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bc0e98d28e8c4ad8dd9f9236601aa1c04baad66"/>
    <w:p>
      <w:pPr>
        <w:pStyle w:val="Heading1"/>
      </w:pPr>
      <w:r>
        <w:t xml:space="preserve">Positioning Decision Memo — Water Research Critical Review vs. Conceptual Perspective/Framework Article</w:t>
      </w:r>
    </w:p>
    <w:p>
      <w:pPr>
        <w:pStyle w:val="FirstParagraph"/>
      </w:pPr>
      <w:r>
        <w:rPr>
          <w:bCs/>
          <w:b/>
        </w:rPr>
        <w:t xml:space="preserve">Round:</w:t>
      </w:r>
      <w:r>
        <w:t xml:space="preserve"> </w:t>
      </w:r>
      <w:r>
        <w:t xml:space="preserve">Water Research compression, post-Phase 3C. 2026-07-19.</w:t>
      </w:r>
      <w:r>
        <w:t xml:space="preserve"> </w:t>
      </w:r>
      <w:r>
        <w:rPr>
          <w:bCs/>
          <w:b/>
        </w:rPr>
        <w:t xml:space="preserve">This memo does not choose a route and does not modify the manuscript.</w:t>
      </w:r>
      <w:r>
        <w:t xml:space="preserve"> </w:t>
      </w:r>
      <w:r>
        <w:t xml:space="preserve">It exists to make the cost, evidentiary requirement, and risk of each of two possible article-type destinations explicit and comparable, so that choice can be made deliberately rather than by default (i.e., rather than by simply continuing to add condensed-manuscript polish without ever confirming the destination it is being polished toward).</w:t>
      </w:r>
    </w:p>
    <w:p>
      <w:pPr>
        <w:pStyle w:val="BodyText"/>
      </w:pPr>
      <w:r>
        <w:rPr>
          <w:bCs/>
          <w:b/>
        </w:rPr>
        <w:t xml:space="preserve">Current manuscript status, unchanged by this memo:</w:t>
      </w:r>
    </w:p>
    <w:p>
      <w:pPr>
        <w:pStyle w:val="SourceCode"/>
      </w:pPr>
      <w:r>
        <w:rPr>
          <w:rStyle w:val="VerbatimChar"/>
        </w:rPr>
        <w:t xml:space="preserve">Conceptual working draft — evidence verification deferred</w:t>
      </w:r>
      <w:r>
        <w:br/>
      </w:r>
      <w:r>
        <w:br/>
      </w:r>
      <w:r>
        <w:rPr>
          <w:rStyle w:val="VerbatimChar"/>
        </w:rPr>
        <w:t xml:space="preserve">Full-text obtained: 0/67</w:t>
      </w:r>
      <w:r>
        <w:br/>
      </w:r>
      <w:r>
        <w:rPr>
          <w:rStyle w:val="VerbatimChar"/>
        </w:rPr>
        <w:t xml:space="preserve">Full-text read: 0/67</w:t>
      </w:r>
      <w:r>
        <w:br/>
      </w:r>
      <w:r>
        <w:rPr>
          <w:rStyle w:val="VerbatimChar"/>
        </w:rPr>
        <w:t xml:space="preserve">Critical claims resolved: 0/9</w:t>
      </w:r>
      <w:r>
        <w:br/>
      </w:r>
      <w:r>
        <w:rPr>
          <w:rStyle w:val="VerbatimChar"/>
        </w:rPr>
        <w:t xml:space="preserve">Submission ready: No</w:t>
      </w:r>
    </w:p>
    <w:p>
      <w:r>
        <w:pict>
          <v:rect style="width:0;height:1.5pt" o:hralign="center" o:hrstd="t" o:hr="t"/>
        </w:pict>
      </w:r>
    </w:p>
    <w:bookmarkStart w:id="20" w:name="route-a-water-research-critical-review"/>
    <w:p>
      <w:pPr>
        <w:pStyle w:val="Heading2"/>
      </w:pPr>
      <w:r>
        <w:t xml:space="preserve">Route A — Water Research Critical Review</w:t>
      </w:r>
    </w:p>
    <w:p>
      <w:pPr>
        <w:pStyle w:val="FirstParagraph"/>
      </w:pPr>
      <w:r>
        <w:t xml:space="preserve">This route keeps the manuscript’s current self-description (a critical review synthesizing WBE’s measurement-inference literature) and completes the evidentiary work that description obligates.</w:t>
      </w:r>
    </w:p>
    <w:p>
      <w:pPr>
        <w:pStyle w:val="BodyText"/>
      </w:pPr>
      <w:r>
        <w:rPr>
          <w:bCs/>
          <w:b/>
        </w:rPr>
        <w:t xml:space="preserve">Must complete before this route reaches submission: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Formal database search.</w:t>
      </w:r>
      <w:r>
        <w:t xml:space="preserve"> </w:t>
      </w:r>
      <w:r>
        <w:t xml:space="preserve">The existing core-plus-seven-complementary-module Boolean strategy (</w:t>
      </w:r>
      <w:r>
        <w:rPr>
          <w:rStyle w:val="VerbatimChar"/>
        </w:rPr>
        <w:t xml:space="preserve">WBE_Review_Systematic_Search_Strategy.md</w:t>
      </w:r>
      <w:r>
        <w:t xml:space="preserve">) must actually be run against Web of Science, Scopus, and PubMed — not merely designed. Zero searches have been executed to date;</w:t>
      </w:r>
      <w:r>
        <w:t xml:space="preserve"> </w:t>
      </w:r>
      <w:r>
        <w:rPr>
          <w:rStyle w:val="VerbatimChar"/>
        </w:rPr>
        <w:t xml:space="preserve">systematic-review/</w:t>
      </w:r>
      <w:r>
        <w:t xml:space="preserve">’s toolkit is built and tested only against synthetic data.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Full text obtained and read.</w:t>
      </w:r>
      <w:r>
        <w:t xml:space="preserve"> </w:t>
      </w:r>
      <w:r>
        <w:t xml:space="preserve">At minimum, the 21 references currently cited in the condensed draft (</w:t>
      </w:r>
      <w:r>
        <w:rPr>
          <w:rStyle w:val="VerbatimChar"/>
        </w:rPr>
        <w:t xml:space="preserve">WBE_Review_Condensed_References_Working.md</w:t>
      </w:r>
      <w:r>
        <w:t xml:space="preserve">); in practice, most of the 67 active references, since a critical review’s claims are expected to rest on the reviewer’s own reading, not abstract summaries. Current state: 0/67 obtained, 0/67 read.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9 Critical + 7 High claim verification.</w:t>
      </w:r>
      <w:r>
        <w:t xml:space="preserve"> </w:t>
      </w:r>
      <w:r>
        <w:t xml:space="preserve">Every row in</w:t>
      </w:r>
      <w:r>
        <w:t xml:space="preserve"> </w:t>
      </w:r>
      <w:r>
        <w:rPr>
          <w:rStyle w:val="VerbatimChar"/>
        </w:rPr>
        <w:t xml:space="preserve">WBE_Review_Critical_Claim_Verification_Queue.csv</w:t>
      </w:r>
      <w:r>
        <w:t xml:space="preserve"> </w:t>
      </w:r>
      <w:r>
        <w:t xml:space="preserve">must reach a</w:t>
      </w:r>
      <w:r>
        <w:t xml:space="preserve"> </w:t>
      </w:r>
      <w:r>
        <w:rPr>
          <w:rStyle w:val="VerbatimChar"/>
        </w:rPr>
        <w:t xml:space="preserve">support_outcome</w:t>
      </w:r>
      <w:r>
        <w:t xml:space="preserve"> </w:t>
      </w:r>
      <w:r>
        <w:t xml:space="preserve">other than</w:t>
      </w:r>
      <w:r>
        <w:t xml:space="preserve"> </w:t>
      </w:r>
      <w:r>
        <w:t xml:space="preserve">“</w:t>
      </w:r>
      <w:r>
        <w:t xml:space="preserve">Unable to verify</w:t>
      </w:r>
      <w:r>
        <w:t xml:space="preserve">”</w:t>
      </w:r>
      <w:r>
        <w:t xml:space="preserve"> </w:t>
      </w:r>
      <w:r>
        <w:t xml:space="preserve">for the manuscript to responsibly retain its current claim strength; rows that cannot be resolved must be narrowed, qualified, or removed per that file’s</w:t>
      </w:r>
      <w:r>
        <w:t xml:space="preserve"> </w:t>
      </w:r>
      <w:r>
        <w:rPr>
          <w:rStyle w:val="VerbatimChar"/>
        </w:rPr>
        <w:t xml:space="preserve">decision_if_unresolved</w:t>
      </w:r>
      <w:r>
        <w:t xml:space="preserve"> </w:t>
      </w:r>
      <w:r>
        <w:t xml:space="preserve">field. Current state: 0/9 resolved.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Table 2 evidence threshold.</w:t>
      </w:r>
      <w:r>
        <w:t xml:space="preserve"> </w:t>
      </w:r>
      <w:r>
        <w:t xml:space="preserve">Every cell needs a defensible answer to</w:t>
      </w:r>
      <w:r>
        <w:t xml:space="preserve"> </w:t>
      </w:r>
      <w:r>
        <w:t xml:space="preserve">“</w:t>
      </w:r>
      <w:r>
        <w:t xml:space="preserve">direct comparison evidence, single-scenario observation, mechanistic inference, or author synthesis?</w:t>
      </w:r>
      <w:r>
        <w:t xml:space="preserve">”</w:t>
      </w:r>
      <w:r>
        <w:t xml:space="preserve"> </w:t>
      </w:r>
      <w:r>
        <w:t xml:space="preserve">(per this project’s own evidence-tier discipline) before it can be presented as a synthesis table rather than a labeled proposal. Currently every cell is abstract-checked only.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Table 3 evidence threshold.</w:t>
      </w:r>
      <w:r>
        <w:t xml:space="preserve"> </w:t>
      </w:r>
      <w:r>
        <w:t xml:space="preserve">Every</w:t>
      </w:r>
      <w:r>
        <w:t xml:space="preserve"> </w:t>
      </w:r>
      <w:r>
        <w:t xml:space="preserve">“</w:t>
      </w:r>
      <w:r>
        <w:t xml:space="preserve">minimum validation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principal failure mode</w:t>
      </w:r>
      <w:r>
        <w:t xml:space="preserve">”</w:t>
      </w:r>
      <w:r>
        <w:t xml:space="preserve"> </w:t>
      </w:r>
      <w:r>
        <w:t xml:space="preserve">cell needs confirmation against the underlying study’s actual validation design (not internal fit, R², or RMSE alone) — this is exactly the kind of check Phase 3D’s stalled full-text acquisition was meant to perform.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PRISMA / Evidence Freeze.</w:t>
      </w:r>
      <w:r>
        <w:t xml:space="preserve"> </w:t>
      </w:r>
      <w:r>
        <w:t xml:space="preserve">If this route retains any framing that implies systematic coverage (even the current, honestly-hedged</w:t>
      </w:r>
      <w:r>
        <w:t xml:space="preserve"> </w:t>
      </w:r>
      <w:r>
        <w:t xml:space="preserve">“</w:t>
      </w:r>
      <w:r>
        <w:t xml:space="preserve">narrative synthesis… establishes a defensible starting evidence set</w:t>
      </w:r>
      <w:r>
        <w:t xml:space="preserve">”</w:t>
      </w:r>
      <w:r>
        <w:t xml:space="preserve"> </w:t>
      </w:r>
      <w:r>
        <w:t xml:space="preserve">framing in §1.2), reviewers at a journal like Water Research may reasonably expect PRISMA-ScR-conformant search documentation. This route either commits to producing that documentation for real, or must state even more explicitly than the current draft that it is not attempting systematic coverage — the latter starts to blur into Route B.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Still missing before actual submission, even after full-text verification completes:</w:t>
      </w:r>
      <w:r>
        <w:t xml:space="preserve"> </w:t>
      </w:r>
      <w:r>
        <w:t xml:space="preserve">a real Abstract, Highlights, and cover letter (only structural outlines currently exist); the SI §S4 existing-review competition matrix (flagged in</w:t>
      </w:r>
      <w:r>
        <w:t xml:space="preserve"> </w:t>
      </w:r>
      <w:r>
        <w:rPr>
          <w:rStyle w:val="VerbatimChar"/>
        </w:rPr>
        <w:t xml:space="preserve">WBE_Review_Supplementary_Outline.md</w:t>
      </w:r>
      <w:r>
        <w:t xml:space="preserve"> </w:t>
      </w:r>
      <w:r>
        <w:t xml:space="preserve">as new content, not yet drafted); final reference renumbering (currently deferred by design); Table 1 and Table 4, which are planned but never drafted (</w:t>
      </w:r>
      <w:r>
        <w:rPr>
          <w:rStyle w:val="VerbatimChar"/>
        </w:rPr>
        <w:t xml:space="preserve">WBE_Review_Table_Design_Brief.md</w:t>
      </w:r>
      <w:r>
        <w:t xml:space="preserve">); and the four figures, which are specified (</w:t>
      </w:r>
      <w:r>
        <w:rPr>
          <w:rStyle w:val="VerbatimChar"/>
        </w:rPr>
        <w:t xml:space="preserve">WBE_Review_Figure_Design_Brief.md</w:t>
      </w:r>
      <w:r>
        <w:t xml:space="preserve">) but not produced as images.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Preserving the four original contributions under this route:</w:t>
      </w:r>
      <w:r>
        <w:t xml:space="preserve"> </w:t>
      </w:r>
      <w:r>
        <w:t xml:space="preserve">the four propositions (§1.3 — inverse-problem framing, amplitude-temporal-spatial taxonomy, normalization-as-mechanism-specific-correction, identifiability/uncertainty-aware framework) can remain the manuscript’s throughline, but every specific empirical example currently illustrating them (Rainey/Darling, Janssens, Zhang, Dai, Link/Garrido, etc.) must individually clear full-text verification before continuing to appear as evidence for them. The propositions themselves do not require external verification (they are explicitly labeled as this review’s own synthesis), but a critical review’s readers will expect the illustrating evidence to be solid, not merely plausible.</w:t>
      </w:r>
    </w:p>
    <w:bookmarkEnd w:id="20"/>
    <w:bookmarkStart w:id="21" w:name="Xd17cf6346851b9b6ade686d4e54a3836ffd9bee"/>
    <w:p>
      <w:pPr>
        <w:pStyle w:val="Heading2"/>
      </w:pPr>
      <w:r>
        <w:t xml:space="preserve">Route B — Conceptual Perspective/Framework Article</w:t>
      </w:r>
    </w:p>
    <w:p>
      <w:pPr>
        <w:pStyle w:val="FirstParagraph"/>
      </w:pPr>
      <w:r>
        <w:t xml:space="preserve">This route repositions the manuscript as an argued conceptual framework illustrated by examples, rather than a critical synthesis of the field’s evidence base — the same four propositions, without the implicit promise of evidentiary coverage a</w:t>
      </w:r>
      <w:r>
        <w:t xml:space="preserve"> </w:t>
      </w:r>
      <w:r>
        <w:t xml:space="preserve">“</w:t>
      </w:r>
      <w:r>
        <w:t xml:space="preserve">critical review</w:t>
      </w:r>
      <w:r>
        <w:t xml:space="preserve">”</w:t>
      </w:r>
      <w:r>
        <w:t xml:space="preserve"> </w:t>
      </w:r>
      <w:r>
        <w:t xml:space="preserve">carries.</w:t>
      </w:r>
    </w:p>
    <w:p>
      <w:pPr>
        <w:pStyle w:val="BodyText"/>
      </w:pPr>
      <w:r>
        <w:rPr>
          <w:bCs/>
          <w:b/>
        </w:rPr>
        <w:t xml:space="preserve">Must remove or change: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Systematic review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adjacent language to delete.</w:t>
      </w:r>
      <w:r>
        <w:t xml:space="preserve"> </w:t>
      </w:r>
      <w:r>
        <w:t xml:space="preserve">§1.2’s entire PRISMA-ScR sentence (</w:t>
      </w:r>
      <w:r>
        <w:t xml:space="preserve">“</w:t>
      </w:r>
      <w:r>
        <w:t xml:space="preserve">a defensible scoping review of this literature would follow PRISMA-ScR… report a PRISMA flow diagram, none of which has been performed at this stage</w:t>
      </w:r>
      <w:r>
        <w:t xml:space="preserve">”</w:t>
      </w:r>
      <w:r>
        <w:t xml:space="preserve">) becomes unnecessary and slightly confusing under this route — a perspective piece does not need to explain why it isn’t a scoping review, because no reader would expect it to be one. This sentence should be deleted, not merely re-hedged.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Comprehensiveness/coverage claims to delete.</w:t>
      </w:r>
      <w:r>
        <w:t xml:space="preserve"> </w:t>
      </w:r>
      <w:r>
        <w:t xml:space="preserve">“</w:t>
      </w:r>
      <w:r>
        <w:t xml:space="preserve">This approach establishes a defensible starting evidence set</w:t>
      </w:r>
      <w:r>
        <w:t xml:space="preserve">”</w:t>
      </w:r>
      <w:r>
        <w:t xml:space="preserve"> </w:t>
      </w:r>
      <w:r>
        <w:t xml:space="preserve">(§1.2) implies an evidence-gathering exercise with a completion criterion; under Route B this becomes</w:t>
      </w:r>
      <w:r>
        <w:t xml:space="preserve"> </w:t>
      </w:r>
      <w:r>
        <w:t xml:space="preserve">“</w:t>
      </w:r>
      <w:r>
        <w:t xml:space="preserve">the examples below illustrate, but do not exhaustively survey, the literature.</w:t>
      </w:r>
      <w:r>
        <w:t xml:space="preserve">”</w:t>
      </w:r>
      <w:r>
        <w:t xml:space="preserve"> </w:t>
      </w:r>
      <w:r>
        <w:t xml:space="preserve">Similarly, phrases like</w:t>
      </w:r>
      <w:r>
        <w:t xml:space="preserve"> </w:t>
      </w:r>
      <w:r>
        <w:t xml:space="preserve">“</w:t>
      </w:r>
      <w:r>
        <w:t xml:space="preserve">the evidence base shows a consistent pattern</w:t>
      </w:r>
      <w:r>
        <w:t xml:space="preserve">”</w:t>
      </w:r>
      <w:r>
        <w:t xml:space="preserve"> </w:t>
      </w:r>
      <w:r>
        <w:t xml:space="preserve">(§4.3, on biomarker validation failures) and</w:t>
      </w:r>
      <w:r>
        <w:t xml:space="preserve"> </w:t>
      </w:r>
      <w:r>
        <w:t xml:space="preserve">“</w:t>
      </w:r>
      <w:r>
        <w:t xml:space="preserve">across independent multi-site validation studies</w:t>
      </w:r>
      <w:r>
        <w:t xml:space="preserve">”</w:t>
      </w:r>
      <w:r>
        <w:t xml:space="preserve"> </w:t>
      </w:r>
      <w:r>
        <w:t xml:space="preserve">(§4.3) assert a literature-wide pattern that a perspective piece is not positioned to claim; these need</w:t>
      </w:r>
      <w:r>
        <w:t xml:space="preserve"> </w:t>
      </w:r>
      <w:r>
        <w:t xml:space="preserve">“</w:t>
      </w:r>
      <w:r>
        <w:t xml:space="preserve">several studies illustrate…</w:t>
      </w:r>
      <w:r>
        <w:t xml:space="preserve">”</w:t>
      </w:r>
      <w:r>
        <w:t xml:space="preserve"> </w:t>
      </w:r>
      <w:r>
        <w:t xml:space="preserve">framing instead.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Empirical comparisons to narrow.</w:t>
      </w:r>
      <w:r>
        <w:t xml:space="preserve"> </w:t>
      </w:r>
      <w:r>
        <w:t xml:space="preserve">Every comparative claim currently framed as a finding about the field — flow-vs-biomarker normalization performance (§3.5, §4.2, citing Rainey et al. and Darling et al. together as if jointly establishing a context-dependent pattern), the four-system data-fusion claim (§6.2, Zhang et al.), the passive-sampler spatial-scale claim (§7.1, Schang et al.) — needs to shift from</w:t>
      </w:r>
      <w:r>
        <w:t xml:space="preserve"> </w:t>
      </w:r>
      <w:r>
        <w:t xml:space="preserve">“</w:t>
      </w:r>
      <w:r>
        <w:t xml:space="preserve">the literature shows X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one study illustrates X; whether this generalizes is not established here.</w:t>
      </w:r>
      <w:r>
        <w:t xml:space="preserve">”</w:t>
      </w:r>
      <w:r>
        <w:t xml:space="preserve"> </w:t>
      </w:r>
      <w:r>
        <w:t xml:space="preserve">This is a framing change, not necessarily a deletion, but it changes almost every citation’s surrounding sentence.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Table 2 and Table 3 → explicit conceptual-framework tables.</w:t>
      </w:r>
      <w:r>
        <w:t xml:space="preserve"> </w:t>
      </w:r>
      <w:r>
        <w:t xml:space="preserve">Both tables already carry a</w:t>
      </w:r>
      <w:r>
        <w:t xml:space="preserve"> </w:t>
      </w:r>
      <w:r>
        <w:t xml:space="preserve">“</w:t>
      </w:r>
      <w:r>
        <w:t xml:space="preserve">synthesized by this review</w:t>
      </w:r>
      <w:r>
        <w:t xml:space="preserve">”</w:t>
      </w:r>
      <w:r>
        <w:t xml:space="preserve"> </w:t>
      </w:r>
      <w:r>
        <w:t xml:space="preserve">caption (added Phase 3C), which is a good start but not sufficient under Route B — the caption should go further, to something like</w:t>
      </w:r>
      <w:r>
        <w:t xml:space="preserve"> </w:t>
      </w:r>
      <w:r>
        <w:t xml:space="preserve">“</w:t>
      </w:r>
      <w:r>
        <w:t xml:space="preserve">a proposed classification, illustrated with single-study examples not intended as a comprehensive evidence synthesis,</w:t>
      </w:r>
      <w:r>
        <w:t xml:space="preserve">”</w:t>
      </w:r>
      <w:r>
        <w:t xml:space="preserve"> </w:t>
      </w:r>
      <w:r>
        <w:t xml:space="preserve">and any cell phrased as reporting a finding (e.g., Table 2’s</w:t>
      </w:r>
      <w:r>
        <w:t xml:space="preserve"> </w:t>
      </w:r>
      <w:r>
        <w:t xml:space="preserve">“</w:t>
      </w:r>
      <w:r>
        <w:t xml:space="preserve">Residual/introduced uncertainty</w:t>
      </w:r>
      <w:r>
        <w:t xml:space="preserve">”</w:t>
      </w:r>
      <w:r>
        <w:t xml:space="preserve"> </w:t>
      </w:r>
      <w:r>
        <w:t xml:space="preserve">column, which currently states outcomes as if established) needs to be explicitly framed as this review’s own risk-assessment, not a literature-derived conclusion.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Quantitative figures and cross-scenario conclusions to delete.</w:t>
      </w:r>
      <w:r>
        <w:t xml:space="preserve"> </w:t>
      </w:r>
      <w:r>
        <w:t xml:space="preserve">Any number tied to a single non-full-text-verified study should be removed outright rather than hedged further — this includes the qualitative-but-still-comparative claims like</w:t>
      </w:r>
      <w:r>
        <w:t xml:space="preserve"> </w:t>
      </w:r>
      <w:r>
        <w:t xml:space="preserve">“</w:t>
      </w:r>
      <w:r>
        <w:t xml:space="preserve">flow normalization outperforming biomarker alternatives in some large multi-site studies… while becoming unreliable under substantial inflow and infiltration in others</w:t>
      </w:r>
      <w:r>
        <w:t xml:space="preserve">”</w:t>
      </w:r>
      <w:r>
        <w:t xml:space="preserve"> </w:t>
      </w:r>
      <w:r>
        <w:t xml:space="preserve">(§3.5, §4.2), which is already appropriately hedged for Route A but is still a stronger empirical claim than Route B should make without full-text verification. Under Route B, the safer version states the</w:t>
      </w:r>
      <w:r>
        <w:t xml:space="preserve"> </w:t>
      </w:r>
      <w:r>
        <w:rPr>
          <w:iCs/>
          <w:i/>
        </w:rPr>
        <w:t xml:space="preserve">conceptual</w:t>
      </w:r>
      <w:r>
        <w:t xml:space="preserve"> </w:t>
      </w:r>
      <w:r>
        <w:t xml:space="preserve">point (normalization validity is condition-dependent) without asserting which specific conditions favor which specific method, since that assertion is exactly what needs full-text confirmation.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Title, abstract structure, and section structure.</w:t>
      </w:r>
      <w:r>
        <w:t xml:space="preserve"> </w:t>
      </w:r>
      <w:r>
        <w:t xml:space="preserve">The current title (</w:t>
      </w:r>
      <w:r>
        <w:t xml:space="preserve">“</w:t>
      </w:r>
      <w:r>
        <w:t xml:space="preserve">Beyond Detection in Wastewater-Based Epidemiology: Sewer Processes, Signal Distortion, Normalization, and Epidemiological Inference</w:t>
      </w:r>
      <w:r>
        <w:t xml:space="preserve">”</w:t>
      </w:r>
      <w:r>
        <w:t xml:space="preserve">) is largely compatible with either route, but could be sharpened toward Route B with an explicit framework/perspective marker, e.g. </w:t>
      </w:r>
      <w:r>
        <w:t xml:space="preserve">“</w:t>
      </w:r>
      <w:r>
        <w:t xml:space="preserve">…: A Conceptual Framework for Signal Distortion and Epidemiological Inference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…: Toward an Inverse-Problem Framework.</w:t>
      </w:r>
      <w:r>
        <w:t xml:space="preserve">”</w:t>
      </w:r>
      <w:r>
        <w:t xml:space="preserve"> </w:t>
      </w:r>
      <w:r>
        <w:t xml:space="preserve">An Abstract under Route B would drop any sentence resembling a coverage claim (compare</w:t>
      </w:r>
      <w:r>
        <w:t xml:space="preserve"> </w:t>
      </w:r>
      <w:r>
        <w:rPr>
          <w:rStyle w:val="VerbatimChar"/>
        </w:rPr>
        <w:t xml:space="preserve">WBE_Review_Abstract_Outline.md</w:t>
      </w:r>
      <w:r>
        <w:t xml:space="preserve"> </w:t>
      </w:r>
      <w:r>
        <w:t xml:space="preserve">slot 3,</w:t>
      </w:r>
      <w:r>
        <w:t xml:space="preserve"> </w:t>
      </w:r>
      <w:r>
        <w:t xml:space="preserve">“</w:t>
      </w:r>
      <w:r>
        <w:t xml:space="preserve">scope sentence,</w:t>
      </w:r>
      <w:r>
        <w:t xml:space="preserve">”</w:t>
      </w:r>
      <w:r>
        <w:t xml:space="preserve"> </w:t>
      </w:r>
      <w:r>
        <w:t xml:space="preserve">which currently must disclose the non-PRISMA-compliant search process — under Route B this disclosure becomes moot, since no reader expects search-based coverage from a perspective piece, and the Abstract can spend that space on the propositions instead). Section structure could compress: Parts 2-4’s evidence-heavy subsections (source-state variation, sewer transport mechanisms, normalization) could be shortened once they no longer need to carry synthesis weight, potentially freeing word budget for a more developed treatment of the identifiability/uncertainty framework (Part 5) and the readiness/decision framework (Part 7), which are this review’s most original material.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Possibly more suitable venues/article types.</w:t>
      </w:r>
      <w:r>
        <w:t xml:space="preserve"> </w:t>
      </w:r>
      <w:r>
        <w:t xml:space="preserve">If Water Research does not have a</w:t>
      </w:r>
      <w:r>
        <w:t xml:space="preserve"> </w:t>
      </w:r>
      <w:r>
        <w:t xml:space="preserve">“</w:t>
      </w:r>
      <w:r>
        <w:t xml:space="preserve">Perspective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Opinion</w:t>
      </w:r>
      <w:r>
        <w:t xml:space="preserve">”</w:t>
      </w:r>
      <w:r>
        <w:t xml:space="preserve"> </w:t>
      </w:r>
      <w:r>
        <w:t xml:space="preserve">category distinct from</w:t>
      </w:r>
      <w:r>
        <w:t xml:space="preserve"> </w:t>
      </w:r>
      <w:r>
        <w:t xml:space="preserve">“</w:t>
      </w:r>
      <w:r>
        <w:t xml:space="preserve">Critical Review,</w:t>
      </w:r>
      <w:r>
        <w:t xml:space="preserve">”</w:t>
      </w:r>
      <w:r>
        <w:t xml:space="preserve"> </w:t>
      </w:r>
      <w:r>
        <w:t xml:space="preserve">comparable venues that regularly publish conceptual-framework pieces in this space include journals with an explicit Perspective/Viewpoint track (e.g., environmental-science journals’</w:t>
      </w:r>
      <w:r>
        <w:t xml:space="preserve"> </w:t>
      </w:r>
      <w:r>
        <w:t xml:space="preserve">“</w:t>
      </w:r>
      <w:r>
        <w:t xml:space="preserve">Perspective</w:t>
      </w:r>
      <w:r>
        <w:t xml:space="preserve">”</w:t>
      </w:r>
      <w:r>
        <w:t xml:space="preserve"> </w:t>
      </w:r>
      <w:r>
        <w:t xml:space="preserve">sections) or a methodology-and-commentary-oriented outlet.</w:t>
      </w:r>
      <w:r>
        <w:t xml:space="preserve"> </w:t>
      </w:r>
      <w:r>
        <w:rPr>
          <w:bCs/>
          <w:b/>
        </w:rPr>
        <w:t xml:space="preserve">This is a suggestion to investigate, not a verified fact about any specific journal’s current editorial policy</w:t>
      </w:r>
      <w:r>
        <w:t xml:space="preserve"> </w:t>
      </w:r>
      <w:r>
        <w:t xml:space="preserve">— confirming which journal/article-type combination actually fits would itself require checking current author guidelines, which is outside this memo’s scope and not something to assert without verification.</w:t>
      </w:r>
    </w:p>
    <w:p>
      <w:r>
        <w:pict>
          <v:rect style="width:0;height:1.5pt" o:hralign="center" o:hrstd="t" o:hr="t"/>
        </w:pict>
      </w:r>
    </w:p>
    <w:bookmarkEnd w:id="21"/>
    <w:bookmarkStart w:id="22" w:name="item-by-item-comparison-table"/>
    <w:p>
      <w:pPr>
        <w:pStyle w:val="Heading2"/>
      </w:pPr>
      <w:r>
        <w:t xml:space="preserve">Item-by-item comparison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 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Review (Route A)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Perspective/Framework (Route B)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manuscript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if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Formal database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actually run the core+7-module search (WoS/Scopus/PubMed)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 — illustrative examples do not need to come from a documented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Designed, never executed (0 searches run)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run it. B: none.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full-text-independent but resource-intensive (needs DB access). B: none.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submitting without this invites a</w:t>
            </w:r>
            <w:r>
              <w:t xml:space="preserve"> </w:t>
            </w:r>
            <w:r>
              <w:t xml:space="preserve">“</w:t>
            </w:r>
            <w:r>
              <w:t xml:space="preserve">not actually systematic</w:t>
            </w:r>
            <w:r>
              <w:t xml:space="preserve">”</w:t>
            </w:r>
            <w:r>
              <w:t xml:space="preserve"> </w:t>
            </w:r>
            <w:r>
              <w:t xml:space="preserve">reviewer objection given the review-length framing. B: none if the review self-identifies as a perspective.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Full-text 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(minimum) to ~67 references read in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 at the same scale — examples can remain abstract-checked if explicitly flagged as illustrative, single-study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0/67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complete Phase 3B/3D. B: keep current abstract-checked status but change surrounding language.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high (the central blocker). B: low.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publishing evidence-tier claims without this is the single largest integrity risk currently outstanding. B: low risk if framing is honest.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Critical claims (Verification Queue)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must reach a definitive support_outcome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must be reframed as an illustrative example, not a field-wide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0/9 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resolve via full text. B: reword, no full text strictly required.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high. B: low-moderate (wording work only).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leaving these as-is under a</w:t>
            </w:r>
            <w:r>
              <w:t xml:space="preserve"> </w:t>
            </w:r>
            <w:r>
              <w:t xml:space="preserve">“</w:t>
            </w:r>
            <w:r>
              <w:t xml:space="preserve">critical review</w:t>
            </w:r>
            <w:r>
              <w:t xml:space="preserve">”</w:t>
            </w:r>
            <w:r>
              <w:t xml:space="preserve"> </w:t>
            </w:r>
            <w:r>
              <w:t xml:space="preserve">label is the primary current risk. B: much lower, since the propositional framing already exists in §1.3/§4.4/§5.2/§7.3.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High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standard as Critical, lower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reframing as Critical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0/7 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above, scaled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pattern as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pattern, lower 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2 (normalization)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cell needs a direct-evidence/single-scenario/mechanistic-inference/author-synthesis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becomes an explicitly labeled proposed classification; single-study examples clearly marked as such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Captioned</w:t>
            </w:r>
            <w:r>
              <w:t xml:space="preserve"> </w:t>
            </w:r>
            <w:r>
              <w:t xml:space="preserve">“</w:t>
            </w:r>
            <w:r>
              <w:t xml:space="preserve">synthesized by this review</w:t>
            </w:r>
            <w:r>
              <w:t xml:space="preserve">”</w:t>
            </w:r>
            <w:r>
              <w:t xml:space="preserve"> </w:t>
            </w:r>
            <w:r>
              <w:t xml:space="preserve">(Phase 3C); cells not yet classified by evidence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classify and verify each cell. B: strengthen caption/cell framing further, no full-text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high. B: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an unverified</w:t>
            </w:r>
            <w:r>
              <w:t xml:space="preserve"> </w:t>
            </w:r>
            <w:r>
              <w:t xml:space="preserve">“</w:t>
            </w:r>
            <w:r>
              <w:t xml:space="preserve">residual uncertainty</w:t>
            </w:r>
            <w:r>
              <w:t xml:space="preserve">”</w:t>
            </w:r>
            <w:r>
              <w:t xml:space="preserve"> </w:t>
            </w:r>
            <w:r>
              <w:t xml:space="preserve">claim presented as established is exactly the overextension risk this project’s discipline exists to prevent. B: low if caption/framing changes are made.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3 (model families)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row’s validation/failure-mode cell checked against the source study’s actual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becomes explicitly this review’s proposed risk taxonomy, not a literature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Captioned</w:t>
            </w:r>
            <w:r>
              <w:t xml:space="preserve"> </w:t>
            </w:r>
            <w:r>
              <w:t xml:space="preserve">“</w:t>
            </w:r>
            <w:r>
              <w:t xml:space="preserve">synthesized by this review</w:t>
            </w:r>
            <w:r>
              <w:t xml:space="preserve">”</w:t>
            </w:r>
            <w:r>
              <w:t xml:space="preserve">; validation claims not yet checked against source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full-text check each row. B: strengthen framing, no full-text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high. B: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</w:t>
            </w:r>
            <w:r>
              <w:t xml:space="preserve"> </w:t>
            </w:r>
            <w:r>
              <w:t xml:space="preserve">“</w:t>
            </w:r>
            <w:r>
              <w:t xml:space="preserve">minimum validation</w:t>
            </w:r>
            <w:r>
              <w:t xml:space="preserve">”</w:t>
            </w:r>
            <w:r>
              <w:t xml:space="preserve"> </w:t>
            </w:r>
            <w:r>
              <w:t xml:space="preserve">claims are currently based on abstract-level trust only — a real risk if this table is read as an evidence synthesis. B: low if reframed.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Quantitative figures (e.g., [57]’s sensitivity/specificity, Rainey/Darling comparison)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number needs full-text confirmation before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Numbers tied to single non-verified studies should be deleted, not merely hedged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hedged (Phase 3A’s [57] Option C edit); other figures qualitatively stated, no raw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verify and restore/replace numbers. B: remove remaining comparative claims, keep only the conceptual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high. B: low (deletion is a wording task)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currently no fabricated numbers exist, but the qualitative comparative claims (e.g.,</w:t>
            </w:r>
            <w:r>
              <w:t xml:space="preserve"> </w:t>
            </w:r>
            <w:r>
              <w:t xml:space="preserve">“</w:t>
            </w:r>
            <w:r>
              <w:t xml:space="preserve">outperforms… in some… unreliable… in others</w:t>
            </w:r>
            <w:r>
              <w:t xml:space="preserve">”</w:t>
            </w:r>
            <w:r>
              <w:t xml:space="preserve">) still assert a literature pattern without full-text confirmation. B: this risk disappears once reframed as single-example illustration.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Cross-scenario/mechanistic claims (biofilm decay, rainfall correction, sedimentation memory)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distinguish mechanistic-experiment evidence from correlational evidence per claim, confirmed via 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distinction, but achievable by rewording without full text — framed as</w:t>
            </w:r>
            <w:r>
              <w:t xml:space="preserve"> </w:t>
            </w:r>
            <w:r>
              <w:t xml:space="preserve">“</w:t>
            </w:r>
            <w:r>
              <w:t xml:space="preserve">one study’s finding,</w:t>
            </w:r>
            <w:r>
              <w:t xml:space="preserve">”</w:t>
            </w:r>
            <w:r>
              <w:t xml:space="preserve"> </w:t>
            </w:r>
            <w:r>
              <w:t xml:space="preserve">not a field-wide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framed with reasonable hedges already (Phase 2B), but not full-text-verified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full-text confirm each mechanism claim. B: reword remaining literature-pattern language to single-study framing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high. B: low-moderate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a correlational study currently read as directly supporting a mechanistic claim would be a real error if full text contradicts the abstract summary. B: risk avoided by explicit single-study framing regardless of full-text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PRISMA / systematic-review framing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produce real PRISMA documentation or make the</w:t>
            </w:r>
            <w:r>
              <w:t xml:space="preserve"> </w:t>
            </w:r>
            <w:r>
              <w:t xml:space="preserve">“</w:t>
            </w:r>
            <w:r>
              <w:t xml:space="preserve">not systematic</w:t>
            </w:r>
            <w:r>
              <w:t xml:space="preserve">”</w:t>
            </w:r>
            <w:r>
              <w:t xml:space="preserve"> </w:t>
            </w:r>
            <w:r>
              <w:t xml:space="preserve">disclaimer even more prominent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PRISMA-ScR sentence in §1.2 entirely — irrelevant under this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§1.2 currently explains why this is not yet PRISMA-compliant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decide and execute one of the two options. B: delete the sentence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high (full search execution) or none (if disclaiming further). B: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an ambiguous middle state (mentioning PRISMA without doing it) is a plausible reviewer-confusion point either way. B: removes the ambiguity entirely by making PRISMA irrelevant to the article type.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References (renumbering, unused entries)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renumber cleanly for submission; 46 currently-unused active references need a final decision (cite or drop from the working 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renumbering task, likely a shorter final reference list since fewer illustrative examples are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used (original numbering retained), 46 unused, 1 withdrawn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routes: renumber at the end, after the reference list stabilizes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(mechanical task, but must happen after content is final)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for either route if handled at the correct stage (after content freeze, not before).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 / Abstract framing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current title; Abstract must disclose non-PRISMA-compliant search process (per</w:t>
            </w:r>
            <w:r>
              <w:t xml:space="preserve"> </w:t>
            </w:r>
            <w:r>
              <w:rPr>
                <w:rStyle w:val="VerbatimChar"/>
              </w:rPr>
              <w:t xml:space="preserve">WBE_Review_Abstract_Outline.md</w:t>
            </w:r>
            <w:r>
              <w:t xml:space="preserve"> </w:t>
            </w:r>
            <w:r>
              <w:t xml:space="preserve">slot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could add an explicit framework/perspective marker; Abstract drops the search-process disclosure, spends that space on the four propositions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stable under either route; Abstract only outlined, not drafted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keep disclosure. B: revise title, drop disclosure sentence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for either (wording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either way, but drafting the Abstract under the wrong route’s assumptions would need a rewrite if the route later 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structure / word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8-part, ~7,200-7,600-prose-word structure is appropriate for review-length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Parts 2-4 (evidence-heavy) could compress further; Parts 5 and 7 (framework-heavy) could expand into the freed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structure and word count already fixed at Route-A-compatible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no change needed. B: would require a real restructuring/redrafting pass, not attempted this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evidentiary dependency, but real drafting effort either 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risk currently, since no restructuring has been attempted prematurely.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Figures (4 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 as specified in</w:t>
            </w:r>
            <w:r>
              <w:t xml:space="preserve"> </w:t>
            </w:r>
            <w:r>
              <w:rPr>
                <w:rStyle w:val="VerbatimChar"/>
              </w:rPr>
              <w:t xml:space="preserve">WBE_Review_Figure_Design_Brief.md</w:t>
            </w:r>
            <w:r>
              <w:t xml:space="preserve">, entirely author-original, still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4 figures remain appropriate — a perspective piece benefits at least as much from framework diagrams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Specified, not yet produced as images, under either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for both routes — produce the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(all 4 are author-original, no full-text dependency either way)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Low; this dimension does not differ meaningfully between routes.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Submission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ready — full-text verification, formal search, Abstract/Highlights/cover letter, SI competition matrix, Tables 1/4, and figures all 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ready — reframing pass, SI competition matrix (if still relevant), Abstract/Highlights/cover letter outstanding, though full-text verification is not a hard blocker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 route is submission-ready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Route-specific work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full-text-dependent (large, external-access-blocked effort). B: primarily wording/reframing (internal effort, achievable without new full-text access)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the only true blocker for Route B is drafting effort; Route A additionally requires external full-text access this session does not currently have.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what-this-memo-does-not-do"/>
    <w:p>
      <w:pPr>
        <w:pStyle w:val="Heading2"/>
      </w:pPr>
      <w:r>
        <w:t xml:space="preserve">What this memo does not do</w:t>
      </w:r>
    </w:p>
    <w:p>
      <w:pPr>
        <w:pStyle w:val="FirstParagraph"/>
      </w:pPr>
      <w:r>
        <w:t xml:space="preserve">No route has been selected. No manuscript file (</w:t>
      </w:r>
      <w:r>
        <w:rPr>
          <w:rStyle w:val="VerbatimChar"/>
        </w:rPr>
        <w:t xml:space="preserve">WBE_Review_WR_Condensed_Draft.md</w:t>
      </w:r>
      <w:r>
        <w:t xml:space="preserve"> </w:t>
      </w:r>
      <w:r>
        <w:t xml:space="preserve">or any other) has been modified as part of this memo. No Abstract, Highlights, or cover letter text was written. No PRISMA numbers were generated. The 0/67, 0/9, and</w:t>
      </w:r>
      <w:r>
        <w:t xml:space="preserve"> </w:t>
      </w:r>
      <w:r>
        <w:t xml:space="preserve">“</w:t>
      </w:r>
      <w:r>
        <w:t xml:space="preserve">Submission ready: No</w:t>
      </w:r>
      <w:r>
        <w:t xml:space="preserve">”</w:t>
      </w:r>
      <w:r>
        <w:t xml:space="preserve"> </w:t>
      </w:r>
      <w:r>
        <w:t xml:space="preserve">facts are unchanged, and no Evidence Gap record in</w:t>
      </w:r>
      <w:r>
        <w:t xml:space="preserve"> </w:t>
      </w:r>
      <w:r>
        <w:rPr>
          <w:rStyle w:val="VerbatimChar"/>
        </w:rPr>
        <w:t xml:space="preserve">WBE_Review_Critical_Claim_Verification_Queue.csv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WBE_Review_Condensed_Claim_Map.csv</w:t>
      </w:r>
      <w:r>
        <w:t xml:space="preserve"> </w:t>
      </w:r>
      <w:r>
        <w:t xml:space="preserve">was deleted or altered. This memo’s sole purpose is to make the two routes’ respective costs and risks comparable so that a deliberate choice — by the user, not by this session — can be made before further manuscript work continues.</w:t>
      </w:r>
    </w:p>
    <w:bookmarkEnd w:id="23"/>
    <w:bookmarkEnd w:id="24"/>
    <w:sectPr>
      <w:pgSz w:h="15840" w:w="12240"/>
      <w:pgMar w:bottom="1008" w:left="864" w:right="864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2026-07-19T04:01:28Z</dcterms:created>
  <dcterms:modified xsi:type="dcterms:W3CDTF">2026-07-19T04:01:28Z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