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9a9d75fd5104fbc950d3dfa9e715805ce4f2c1"/>
    <w:p>
      <w:pPr>
        <w:pStyle w:val="Heading1"/>
      </w:pPr>
      <w:r>
        <w:t xml:space="preserve">Compression Map — Current Draft (Chapters 1–10) to Target 8-Part Submission Structure</w:t>
      </w:r>
    </w:p>
    <w:p>
      <w:pPr>
        <w:pStyle w:val="FirstParagraph"/>
      </w:pPr>
      <w:r>
        <w:rPr>
          <w:bCs/>
          <w:b/>
        </w:rPr>
        <w:t xml:space="preserve">Round:</w:t>
      </w:r>
      <w:r>
        <w:t xml:space="preserve"> </w:t>
      </w:r>
      <w:r>
        <w:t xml:space="preserve">Water Research compression, Phase 1 (mapping only — this file plans the cut, it does not perform it). 2026-07-18.</w:t>
      </w:r>
    </w:p>
    <w:bookmarkStart w:id="20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Every one of the 105 sections tracked in</w:t>
      </w:r>
      <w:r>
        <w:t xml:space="preserve"> </w:t>
      </w:r>
      <w:r>
        <w:rPr>
          <w:rStyle w:val="VerbatimChar"/>
        </w:rPr>
        <w:t xml:space="preserve">WBE_Review_Content_Priority_Audit.csv</w:t>
      </w:r>
      <w:r>
        <w:t xml:space="preserve"> </w:t>
      </w:r>
      <w:r>
        <w:t xml:space="preserve">is assigned to exactly one of the 8 target parts below (never split across parts, and never left unassigned — this script errors if any section has no assignment). Within a target part, every non-internal-audit section’s priority-audit</w:t>
      </w:r>
      <w:r>
        <w:t xml:space="preserve"> </w:t>
      </w:r>
      <w:r>
        <w:rPr>
          <w:rStyle w:val="VerbatimChar"/>
        </w:rPr>
        <w:t xml:space="preserve">target_words</w:t>
      </w:r>
      <w:r>
        <w:t xml:space="preserve"> </w:t>
      </w:r>
      <w:r>
        <w:t xml:space="preserve">value is used as a</w:t>
      </w:r>
      <w:r>
        <w:t xml:space="preserve"> </w:t>
      </w:r>
      <w:r>
        <w:rPr>
          <w:iCs/>
          <w:i/>
        </w:rPr>
        <w:t xml:space="preserve">relative weight</w:t>
      </w:r>
      <w:r>
        <w:t xml:space="preserve">, and those weights are rescaled, once, uniformly within that part, so the part’s total lands exactly on the midpoint of the word-count range specified in the task’s §7 target-length table. This is a computed allocation, not a hand-typed one — re-running</w:t>
      </w:r>
      <w:r>
        <w:t xml:space="preserve"> </w:t>
      </w:r>
      <w:r>
        <w:rPr>
          <w:rStyle w:val="VerbatimChar"/>
        </w:rPr>
        <w:t xml:space="preserve">python3 scripts/build_compression_map.py</w:t>
      </w:r>
      <w:r>
        <w:t xml:space="preserve"> </w:t>
      </w:r>
      <w:r>
        <w:t xml:space="preserve">regenerates this table deterministically from the priority audit. Internal-audit-material sections (front matter status note, the</w:t>
      </w:r>
      <w:r>
        <w:t xml:space="preserve"> </w:t>
      </w:r>
      <w:r>
        <w:t xml:space="preserve">‘</w:t>
      </w:r>
      <w:r>
        <w:t xml:space="preserve">Note on companion files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Editorial self-check</w:t>
      </w:r>
      <w:r>
        <w:t xml:space="preserve">’</w:t>
      </w:r>
      <w:r>
        <w:t xml:space="preserve"> </w:t>
      </w:r>
      <w:r>
        <w:t xml:space="preserve">end-matter, all six</w:t>
      </w:r>
      <w:r>
        <w:t xml:space="preserve"> </w:t>
      </w:r>
      <w:r>
        <w:t xml:space="preserve">‘</w:t>
      </w:r>
      <w:r>
        <w:t xml:space="preserve">Structural bridge</w:t>
      </w:r>
      <w:r>
        <w:t xml:space="preserve">’</w:t>
      </w:r>
      <w:r>
        <w:t xml:space="preserve"> </w:t>
      </w:r>
      <w:r>
        <w:t xml:space="preserve">sections, and each chapter’s own evidentiary status-note preamble in Ch9/Ch10) are excluded from the target-word pool entirely and shown with</w:t>
      </w:r>
      <w:r>
        <w:t xml:space="preserve"> </w:t>
      </w:r>
      <w:r>
        <w:rPr>
          <w:rStyle w:val="VerbatimChar"/>
        </w:rPr>
        <w:t xml:space="preserve">final_target_words=0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action=move_to_SI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delete_as_redundant</w:t>
      </w:r>
      <w:r>
        <w:t xml:space="preserve"> </w:t>
      </w:r>
      <w:r>
        <w:t xml:space="preserve">per the priority audit’s own disposition — they were never candidates for main-text survival regardless of chapter-part assignment.</w:t>
      </w:r>
    </w:p>
    <w:bookmarkEnd w:id="20"/>
    <w:bookmarkStart w:id="21" w:name="X413686414045ae23701493707d3d0e0a01ae060"/>
    <w:p>
      <w:pPr>
        <w:pStyle w:val="Heading2"/>
      </w:pPr>
      <w:r>
        <w:t xml:space="preserve">Part budgets (midpoint of the task’s §7 target range, used as the rescaling target)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 (midpoint, prose body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population states to wastewater signals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Sewers as information filters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priorities and conclusions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on Part 8 (Research priorities and conclusions):</w:t>
      </w:r>
      <w:r>
        <w:t xml:space="preserve"> </w:t>
      </w:r>
      <w:r>
        <w:t xml:space="preserve">no current section of Chapters 1-10 maps to Part 8, because Chapters 11-12 (research gaps, conclusions) have not been drafted yet — this is expected, not an error, and is why Part 8 does not appear in the section-mapping table below. Its 700-word budget is reserved for future drafting per</w:t>
      </w:r>
      <w:r>
        <w:t xml:space="preserve"> </w:t>
      </w:r>
      <w:r>
        <w:rPr>
          <w:rStyle w:val="VerbatimChar"/>
        </w:rPr>
        <w:t xml:space="preserve">WBE_Review_Target_Outline.md</w:t>
      </w:r>
      <w:r>
        <w:t xml:space="preserve">, and per the task’s explicit instruction, Research priorities is capped at 5-7 testable tasks (not a full Chapter 11) and Conclusions at 300-400 words (not a full Chapter 12).</w:t>
      </w:r>
    </w:p>
    <w:bookmarkEnd w:id="21"/>
    <w:bookmarkStart w:id="22" w:name="X151ce545ec86e8b19138bdbf45025b701551047"/>
    <w:p>
      <w:pPr>
        <w:pStyle w:val="Heading2"/>
      </w:pPr>
      <w:r>
        <w:t xml:space="preserve">Full section-level mapping (105 rows — every current section, no chapter-level shortcuts)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819"/>
        <w:gridCol w:w="1092"/>
        <w:gridCol w:w="819"/>
        <w:gridCol w:w="819"/>
        <w:gridCol w:w="1092"/>
        <w:gridCol w:w="819"/>
        <w:gridCol w:w="819"/>
        <w:gridCol w:w="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Current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Retain/merge/move/delete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claim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FRONT_MATTER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and status note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move_to_SI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Project-management status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(deleted/replaced by a short submission-standard evidence statement)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the inverse-problem framing and the three organizing 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Review Methodology and Evidence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move_to_SI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preamble (0 body words)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Review Methodology and Evidence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Review type and 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move_to_SI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1-2 sentence honest-limitations statement is needed in the submission main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Methods (full search-limitation account)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Review Methodology and Evidence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Search process used for this draft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move_to_SI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Search-process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Methods / full search strategy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Review Methodology and Evidence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Source verification procedure and its limitations — read before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move_to_SI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0/N full-text-verification disclosure itself must stay in the main text in some compressed form (a journal reviewer needs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Review Methodology and Evidence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 Terminology and developmental background (compressed)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1’s 5-phase history is background scene-setting, not part of the four original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(developmental phases)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Review Methodology and Evidence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Application taxonomy, organized by inference goal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2 is useful orientation but not load-bearing for the four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(application taxonomy)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Review Methodology and Evidence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 Scope boundaries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scoping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WBE as an Inverse Problem: Source-to-Sample Signal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population states to wastewater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Heading-only preamble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WBE as an Inverse Problem: Source-to-Sample Signal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 Formal problem 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population states to wastewater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X(tau), Y(t), A(t), K(t,tau), and the amplitude/temporal/spatial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WBE as an Inverse Problem: Source-to-Sample Signal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Source-End Biological and Behavioral Variation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population states to wastewater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Illustrates the framework with real evidence (shedding heterogeneity, PK correction-factor uncertainty)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(biomarker/source-variability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WBE as an Inverse Problem: Source-to-Sample Signal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Building and Local Drainage Processes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population states to wastewater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Building-scale distortion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Signal Distortion in Sewer Transport: From 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Sewers as information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chapter-framing paragraph.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Signal Distortion in Sewer Transport: From 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Physical, Chemical, and Biological Transformation in Transit — Amp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Sewers as information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empirical support for the distortion framework (biofilm decay rate-constant studies)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(decay/transformation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Signal Distortion in Sewer Transport: From 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Rainfall- and Warm-Season-Induced Distortion — A Compound Perturba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Sewers as information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Janssens et al. rainfall-correction finding is this review’s clearest single piece of evidence that distortion is a correctable, structu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Signal Distortion in Sewer Transport: From 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Identifiability and the Case for Process-Informed Correction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Sewers as information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the identifiability argument and process-informed-correction thesis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Sampling, Analytical Methods, and Quality Assurance: A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preamble, heading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Sampling, Analytical Methods, and Quality Assurance: A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Bridge from Chapters 1–4, Notation, and Two Observation 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the two observation models (molecular-target, chemical-biomarker)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Sampling, Analytical Methods, and Quality Assurance: A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Sampling Location — A Further Spatial-Distortion and Identifiabili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methodological content but largely standard sampling-design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(sampling design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Sampling, Analytical Methods, and Quality Assurance: A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Sampling Mode — Amplitude and Temporal Distortion at the Point 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Grab-vs-composite distinction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Sampling, Analytical Methods, and Quality Assurance: A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 Sample Matrix — Liquid, Particulate, Settled Solids, and Sludge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Matrix-selection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Sampling, Analytical Methods, and Quality Assurance: A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 Preservation, Pre-Treatment, Concentration, and Extraction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lab-methods background, not specific to this review’s original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Sampling, Analytical Methods, and Quality Assurance: A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 Six Concepts That Should Not Be Collapsed Into One</w:t>
            </w:r>
            <w:r>
              <w:t xml:space="preserve"> </w:t>
            </w:r>
            <w:r>
              <w:t xml:space="preserve">“</w:t>
            </w:r>
            <w:r>
              <w:t xml:space="preserve">Uncertainty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six-concept disambiguation (representativeness/recovery/precision/sensitivity/censoring/replicates) is genuinely original organizing wor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(interlaboratory evidence detail)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Sampling, Analytical Methods, and Quality Assurance: A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 Differential Behavior Across Target Classes: Applying the Two Obse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the two observation models across target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Sampling, Analytical Methods, and Quality Assurance: A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 Carrying Sampling and Analytical Uncertainty Forward: Bias, 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systematic-bias/random-error/information-loss three-way split is used throughout Ch6-8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preamble, heading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Normalization Within the Inverse-Problem 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contribution #3 directly (normalization as conditional statistical adjustment, not source-state reconstruction) with the ’Normalizati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 What Is Normalization Intended to Correct?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five-goal taxonomy is original, load-bearing organizing work referenced throughout the rest of the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Flow-Based Normalization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comparative evidence (Langeveld, Rainey, Darling) grounding the normalization-is-conditional 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(normalization method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 Census Population and Dynamic Population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the five-goal taxonomy’s population-correction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 Chemical Population Biomarkers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per-biomarker narrative (creatinine, cotinine, caffeine, ammonium)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(biomarker validation matrix)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Microbial and Molecular Population Biomarkers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as §6.4 for PMMoV/crAssphage/HF183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(biomarker validation matrix)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 Ratio Normalization and Error Propagation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chapter’s stated</w:t>
            </w:r>
            <w:r>
              <w:t xml:space="preserve"> </w:t>
            </w:r>
            <w:r>
              <w:t xml:space="preserve">‘</w:t>
            </w:r>
            <w:r>
              <w:t xml:space="preserve">principal original contribution</w:t>
            </w:r>
            <w:r>
              <w:t xml:space="preserve">’</w:t>
            </w:r>
            <w:r>
              <w:t xml:space="preserve"> </w:t>
            </w:r>
            <w:r>
              <w:t xml:space="preserve">(the joint-condition proposition for when ratio normalization helps vs. hurts)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 Target- and Purpose-Specific Normalization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two-dimensional (target-type x purpose) framework is original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 When Normalization Fails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failure-mode catalog is original and directly supports contribution #3’s boundary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 Decision Framework for Selecting Normalization Strategies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eight-question decision tree (Figure 1) is an original deliverable explicitly named as a required retained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Normalization in Wastewater-Based Epidemiology: Causal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 Link to Chapters 7 and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Chapter-transition prose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From Normalized Wastewater Signals to Population-Level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preamble, heading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From Normalized Wastewater Signals to Population-Level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Bridge from Chapter 6, and Five Distinctions This Chapter Insists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the five-way evidentiary distinction (association/predictive performance/parameter identifiability/state observability/structural 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From Normalized Wastewater Signals to Population-Level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 Two Reconstruction Goals: Consumption/Exposure and Infection-Level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Surveys 9 method families against the five-way framework with real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(method-family evidence, extends Table 4/5)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From Normalized Wastewater Signals to Population-Level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 A Worked Illustration of Why the Five Distinctions Come Apart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conceptual (not citing a specific study), demonstrates why the five distinctions come apart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From Normalized Wastewater Signals to Population-Level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 The Five Distinctions, Developed Formally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formal development of contribution #4 (identifiability/observability-aware reconstruction)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From Normalized Wastewater Signals to Population-Level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 Evaluating Back-Calculation Method Families Against the Five-Way 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 and Table 5 are named required-retained tables (Model-identifiability-validation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(expanded Table 5 detail)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From Normalized Wastewater Signals to Population-Level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Validation: What</w:t>
            </w:r>
            <w:r>
              <w:t xml:space="preserve"> </w:t>
            </w:r>
            <w:r>
              <w:t xml:space="preserve">“</w:t>
            </w:r>
            <w:r>
              <w:t xml:space="preserve">Validating</w:t>
            </w:r>
            <w:r>
              <w:t xml:space="preserve">”</w:t>
            </w:r>
            <w:r>
              <w:t xml:space="preserve"> </w:t>
            </w:r>
            <w:r>
              <w:t xml:space="preserve">a Back-Calculation Model Actually 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internal/external/mechanistic validation three-way split is original and reused via cross-reference in Ch8/Ch9/Ch10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From Normalized Wastewater Signals to Population-Level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 When State Observability Fails Regardless of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§5.7/§6.8’s failure-taxonomy pattern to reconstruction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From Normalized Wastewater Signals to Population-Level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 Reporting Framework for Back-Calculated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five chapter-closing reporting-standard devices (§5.7,§6.9,§7.7,§8.15,§9.8)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checklist (expanded reporting checklist)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From Normalized Wastewater Signals to Population-Level 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 Link to Chapter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Chapter-transition prose, largely restated in end-matter Structural Bridge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the chapter’s framing (uncertainty entering/interacting/propagating, not a catalog).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 Uncertainty Within the Complete Inverse 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marginalization integral and</w:t>
            </w:r>
            <w:r>
              <w:t xml:space="preserve"> </w:t>
            </w:r>
            <w:r>
              <w:t xml:space="preserve">‘</w:t>
            </w:r>
            <w:r>
              <w:t xml:space="preserve">propagation ≠ bias correction ≠ identifiability restoration</w:t>
            </w:r>
            <w:r>
              <w:t xml:space="preserve">’</w:t>
            </w:r>
            <w:r>
              <w:t xml:space="preserve"> </w:t>
            </w:r>
            <w:r>
              <w:t xml:space="preserve">distinction is contribution #4’s formal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 Variability, Uncertainty, Bias, and Information Loss — Kept Distin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Eight-way uncertainty-type taxonomy used throughout the rest of the 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Source-End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Distributional treatment of §3.1’s qualitative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(Table 6 already holds most of this)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 Sewer-Process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as §8.2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(Table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 Sampling and Analytical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the Overlap Audit, this section re-lists §5.5’s six concepts rather than only referencing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(Table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 Normalization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target/normalizer non-independence point is a genuinely new addition beyond §6.6 (not just a restatement)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 Analytical Error Propagation and the Delta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method exposition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Methods (formal propagation methods)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 Monte Carlo Propagation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WBE-specific MC studies (Jones, Pei, Croft) plus original critique of common misuse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 Global Sensitivity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Largely standard sensitivity-analysis-methods taxonomy (OAT/Morris/Sobol/PRCC/VoI)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 Bayesian Hierarchical Uncertainty Propagation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narrow-posterior-≠-certainty critique is central and reused via cross-reference in Ch7 Table 5 and Ch9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8.10 Correlated and Dependent Uncertainties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named as</w:t>
            </w:r>
            <w:r>
              <w:t xml:space="preserve"> </w:t>
            </w:r>
            <w:r>
              <w:t xml:space="preserve">‘</w:t>
            </w:r>
            <w:r>
              <w:t xml:space="preserve">this chapter’s most consequential subsection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8.11 Censoring, Nondetects, and Missingness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Safford et al. head-to-head comparison is genuine WBE-specific comparative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Methods (censoring-methods box already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8.12 Structural Uncertainty and Model Ensembles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why Monte Carlo alone cannot address structural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8.13 Uncertainty Decomposition Across the WBE Chain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law-of-total-variance decomposition and the</w:t>
            </w:r>
            <w:r>
              <w:t xml:space="preserve"> </w:t>
            </w:r>
            <w:r>
              <w:t xml:space="preserve">‘</w:t>
            </w:r>
            <w:r>
              <w:t xml:space="preserve">uncertainty budget</w:t>
            </w:r>
            <w:r>
              <w:t xml:space="preserve">’</w:t>
            </w:r>
            <w:r>
              <w:t xml:space="preserve"> </w:t>
            </w:r>
            <w:r>
              <w:t xml:space="preserve">(Figure 3) is a named original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8.14 From Scientific Uncertainty to Decision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Introduces the decision-theoretic vocabulary reused in Ch9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8.15 Minimum Reporting Requirements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five chapter-closing reporting-standard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8.16 Link to Validation and Public-Health Interpretation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to MERGE with §7.5 per the Overlap Audit (both address validation) rather than compress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6. Uncertainty Source × Type × Distribution × Propagation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required-retained table (Model-identifiability-validation-adjacent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— Why Monte Carlo Simulation Does Not Solve Model Misspecification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Sharp, quotable statement of a core original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— How to Report Nondetects and Censored Wastewater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Uncertainty Propagation in Wastewater-Based Epidemiology: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2 and Figure 3 (delivered as separate image files alongside thi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figures are named required-retained deliverables (target Figure 3: process-informed reconstruction/uncertainty framework)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Chapter-specific evidentiary status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 What Chapter 8 Hands to Chapter 9, and What Chapter 9 Does With 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the translation-layer framing (epistemic object -&gt; institutional object)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 Three Surveillance Objectives, One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Trend/anomaly/absolute-magnitude as three institutional design problems is original and load-bearing for the rest of Ch9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 Alert-Threshold Design and the Asymmetric Cost of Being Wrong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Link/Garrido detection-performance example and the transfer-validation caution are 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 Multi-Source Data Fusion: Clinical, Mobility, Weather, Pharmacy,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weather-double-role point (confounder AND corroborating stream) is original and 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 Why Fusion Is Not Free: Correlated Uncertainty Across Data Streams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§8.10’s correlated-uncertainty argument to cross-stream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 The Boundary: What Wastewater-Based Surveillance Cannot Replace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WBE’s structural exclusion of non-sewered populations, a required focus area per the compression brief’s original Ch9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(non-sewered-population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 Small-Catchment and Building-Scale Monitoring: Privacy, Stigma, 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Privacy/re-identification/stigma/equity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(equity-framework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 From Detectable Signal to Actionable Information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 detectable-to-actionable conditions are a named, explicitly-protected original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 Minimum Reporting Requirements for a Decision-Ready Wastewater Sig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Fifth of the chapter-closing reporting-standard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7. Surveillance Objective × Decision Requirement × Primary Uncer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required-retained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—</w:t>
            </w:r>
            <w:r>
              <w:t xml:space="preserve"> </w:t>
            </w:r>
            <w:r>
              <w:t xml:space="preserve">“</w:t>
            </w:r>
            <w:r>
              <w:t xml:space="preserve">Detectable</w:t>
            </w:r>
            <w:r>
              <w:t xml:space="preserve">”</w:t>
            </w:r>
            <w:r>
              <w:t xml:space="preserve"> </w:t>
            </w:r>
            <w:r>
              <w:t xml:space="preserve">Is Not</w:t>
            </w:r>
            <w:r>
              <w:t xml:space="preserve"> </w:t>
            </w:r>
            <w:r>
              <w:t xml:space="preserve">“</w:t>
            </w:r>
            <w:r>
              <w:t xml:space="preserve">Actionable</w:t>
            </w:r>
            <w:r>
              <w:t xml:space="preserve">”</w:t>
            </w:r>
            <w:r>
              <w:t xml:space="preserve">: Why the Same Signal Can Be Bot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 restatement of the four-condition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Integration with Public-Health Surveillance and Decision-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 Evidentiary Note: One Source Withdrawn From Citation This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Citation-withdrawal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Chapter-specific evidence-discipline status note plus the Schang/Moore citogenesis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 What Chapter 9 Hands to Chapter 10, and the Boundary Between Them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States the upstream-vs-downstream boundary between Ch9 and Ch10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 Distributed Sewer-Network Sensing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Schang et al. passive-sampling evidence plus the spatial-resolution/signal-stability trade-off (original framing)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 (Table 8 already holds a version of this)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 Near-Real-Time and Online Measurements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Sharma et al. biosensor result with an explicit low-TRL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 Sewer Digital Twins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 et al. digital-twin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 Multi-Omics and Expanded Biomarker Panels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Malcom &amp; Bowes AMR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 Process-Informed Artificial Intelligence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Temporal-leakage/cross-population-failure cautions extend the transfer-validation 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 Standard Reference Materials and Interlaboratory Comparability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Keenum et al. position-paper synthesis, including the flagged author-list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 Interoperable Data 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merge/shorten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Therrien et al. data-model synthesis plus this review’s own reference-management anecdotes (Hsu et al. ambiguity)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 Privacy-Preserving and Equitable Analytics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 et al. federated-learning example, explicitly non-WBE-scoped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 Climate-Resilient WBE 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citation-light, connects Ch4/Ch8 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 A Technology-Readiness Framework for Process-Informed WBE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six-level TRL framework and the analytical-novelty/field-demonstration/operational-readiness distinction is this chapter’s principal 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8. Technology × Required Evidence × Failure Mode × Readiness Lev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required-retained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Enabling Technologies and Research Infrastructures for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 — Why Analytical Innovation Does Not Guarantee Epidemiological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(light compression)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 restatement of the TRL framework’s central caution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 on companion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(not part of submission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project-file-management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Editorial self-check (author-requested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(not part of submission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Author-requested internal audit device (concept-threading 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bridge from Chapters 1–4 to Chapter 5 (retained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(not part of submission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with inline §5.0 bridge per the Overlap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bridge from Chapter 5 to Chapter 6 (new this roun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(not part of submission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with inline §6.0 bridge per the Overlap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bridge from Chapter 6 to Chapter 7 (new this roun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(not part of submission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with inline §7.0 bridge per the Overlap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bridge from Chapter 7 to Chapter 8 (new this roun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(not part of submission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with inline §8.0 bridge per the Overlap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bridge from Chapter 8 to Chapter 9 (new this roun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(not part of submission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with inline §9.0 bridge per the Overlap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bridge from Chapter 9 to Chapter 10 (new this 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(chapter preamble)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(not part of submission 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delete_as_redundant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Redundant with inline §10.0 bridge per the Overlap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 synthesis / metadata-or-abstract-level (see Evidence Freeze Audit)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</w:tbl>
    <w:bookmarkEnd w:id="22"/>
    <w:bookmarkStart w:id="23" w:name="X7792e5938f4646ec5e4f083307c86fd3c8a2819"/>
    <w:p>
      <w:pPr>
        <w:pStyle w:val="Heading2"/>
      </w:pPr>
      <w:r>
        <w:t xml:space="preserve">Part-by-part subtotal check (computed, not asserted)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1863"/>
        <w:gridCol w:w="1863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of final_target_words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Budget midpoint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and review approach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by 1 (rounding)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population states to wastewater signals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(by construction of the rescaling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Sewers as information filters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by -1 (rounding)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and normalization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by -2 (rounding)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Reconstruction, identifiability and uncertainty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(by construction of the rescaling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wastewater signals to public-health 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by 1 (rounding)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Enabling infrastructure and technology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(by construction of the rescaling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priorities and conclusions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Chapters 11-12 (research gaps, conclusions) are not yet drafted in the source document, so there is no current content to map; this budget is reserved for future drafting, not derived from existing text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current words across all 105 sections: 44717.</w:t>
      </w:r>
      <w:r>
        <w:t xml:space="preserve"> </w:t>
      </w:r>
      <w:r>
        <w:rPr>
          <w:bCs/>
          <w:b/>
        </w:rPr>
        <w:t xml:space="preserve">Total target prose-body words across the 8 parts: 8149.</w:t>
      </w:r>
      <w:r>
        <w:t xml:space="preserve"> </w:t>
      </w:r>
      <w:r>
        <w:t xml:space="preserve">This is the prose-body reduction only — it excludes Tables, Abstract, Highlights, and References, which are budgeted separately in</w:t>
      </w:r>
      <w:r>
        <w:t xml:space="preserve"> </w:t>
      </w:r>
      <w:r>
        <w:rPr>
          <w:rStyle w:val="VerbatimChar"/>
        </w:rPr>
        <w:t xml:space="preserve">WBE_Review_Target_Outline.md</w:t>
      </w:r>
      <w:r>
        <w:t xml:space="preserve"> </w:t>
      </w:r>
      <w:r>
        <w:t xml:space="preserve">per the task’s §7 instruction to cost those out independently.</w:t>
      </w:r>
    </w:p>
    <w:bookmarkEnd w:id="23"/>
    <w:bookmarkEnd w:id="24"/>
    <w:sectPr>
      <w:pgSz w:h="15840" w:w="12240"/>
      <w:pgMar w:bottom="1008" w:left="864" w:right="864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2026-07-18T09:31:06Z</dcterms:created>
  <dcterms:modified xsi:type="dcterms:W3CDTF">2026-07-18T09:31:06Z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