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hapter-9-claim-audit-wbe-review"/>
    <w:p>
      <w:pPr>
        <w:pStyle w:val="Heading1"/>
      </w:pPr>
      <w:r>
        <w:t xml:space="preserve">Chapter 9 Claim Audit — WBE Review</w:t>
      </w:r>
    </w:p>
    <w:p>
      <w:pPr>
        <w:pStyle w:val="FirstParagraph"/>
      </w:pPr>
      <w:r>
        <w:rPr>
          <w:bCs/>
          <w:b/>
        </w:rPr>
        <w:t xml:space="preserve">Purpose and scope.</w:t>
      </w:r>
      <w:r>
        <w:t xml:space="preserve"> </w:t>
      </w:r>
      <w:r>
        <w:t xml:space="preserve">This file records, paragraph by paragraph, every distinct claim made in Chapter 9 (</w:t>
      </w:r>
      <w:r>
        <w:t xml:space="preserve">“</w:t>
      </w:r>
      <w:r>
        <w:t xml:space="preserve">Integration with Public-Health Surveillance and Decision-Making</w:t>
      </w:r>
      <w:r>
        <w:t xml:space="preserve">”</w:t>
      </w:r>
      <w:r>
        <w:t xml:space="preserve">), its type, its citation (if any), its evidence level, and its support status, using the six-category vocabulary specified for this audit:</w:t>
      </w:r>
      <w:r>
        <w:t xml:space="preserve"> </w:t>
      </w:r>
      <w:r>
        <w:rPr>
          <w:bCs/>
          <w:b/>
        </w:rPr>
        <w:t xml:space="preserve">Conceptual synthesis</w:t>
      </w:r>
      <w:r>
        <w:t xml:space="preserve"> </w:t>
      </w:r>
      <w:r>
        <w:t xml:space="preserve">(this review’s own analytical/organizational contribution, not an empirical claim borrowed from a source);</w:t>
      </w:r>
      <w:r>
        <w:t xml:space="preserve"> </w:t>
      </w:r>
      <w:r>
        <w:rPr>
          <w:bCs/>
          <w:b/>
        </w:rPr>
        <w:t xml:space="preserve">Metadata-level support</w:t>
      </w:r>
      <w:r>
        <w:t xml:space="preserve"> </w:t>
      </w:r>
      <w:r>
        <w:t xml:space="preserve">(a source’s existence, authorship, and bibliographic identity are confirmed, but the specific claim attributed to it is not independently confirmed beyond a search-engine snippet);</w:t>
      </w:r>
      <w:r>
        <w:t xml:space="preserve"> </w:t>
      </w:r>
      <w:r>
        <w:rPr>
          <w:bCs/>
          <w:b/>
        </w:rPr>
        <w:t xml:space="preserve">Abstract-level support</w:t>
      </w:r>
      <w:r>
        <w:t xml:space="preserve"> </w:t>
      </w:r>
      <w:r>
        <w:t xml:space="preserve">(a search-engine-summarized abstract or snippet was reviewed and supports the claim as paraphrased);</w:t>
      </w:r>
      <w:r>
        <w:t xml:space="preserve"> </w:t>
      </w:r>
      <w:r>
        <w:rPr>
          <w:bCs/>
          <w:b/>
        </w:rPr>
        <w:t xml:space="preserve">Institutional guidance support</w:t>
      </w:r>
      <w:r>
        <w:t xml:space="preserve"> </w:t>
      </w:r>
      <w:r>
        <w:t xml:space="preserve">(an official institutional/organizational document, e.g. WHO/NASEM/ECDC, is the source);</w:t>
      </w:r>
      <w:r>
        <w:t xml:space="preserve"> </w:t>
      </w:r>
      <w:r>
        <w:rPr>
          <w:bCs/>
          <w:b/>
        </w:rPr>
        <w:t xml:space="preserve">Unsupported</w:t>
      </w:r>
      <w:r>
        <w:t xml:space="preserve"> </w:t>
      </w:r>
      <w:r>
        <w:t xml:space="preserve">(no citation exists and none should be inferred);</w:t>
      </w:r>
      <w:r>
        <w:t xml:space="preserve"> </w:t>
      </w:r>
      <w:r>
        <w:rPr>
          <w:bCs/>
          <w:b/>
        </w:rPr>
        <w:t xml:space="preserve">Pending full-text verification</w:t>
      </w:r>
      <w:r>
        <w:t xml:space="preserve"> </w:t>
      </w:r>
      <w:r>
        <w:t xml:space="preserve">(the specific number/figure requires primary-source confirmation this review does not have). Every source cited anywhere in this file carries, at most, Metadata-level, Abstract-level, or Institutional-guidance support —</w:t>
      </w:r>
      <w:r>
        <w:t xml:space="preserve"> </w:t>
      </w:r>
      <w:r>
        <w:rPr>
          <w:bCs/>
          <w:b/>
        </w:rPr>
        <w:t xml:space="preserve">no claim in this entire chapter, or this entire review, has Full-text-verified or Claim-verified support</w:t>
      </w:r>
      <w:r>
        <w:t xml:space="preserve">, consistent with</w:t>
      </w:r>
      <w:r>
        <w:t xml:space="preserve"> </w:t>
      </w:r>
      <w:r>
        <w:rPr>
          <w:rStyle w:val="VerbatimChar"/>
        </w:rPr>
        <w:t xml:space="preserve">WBE_Review_Ch8_Evidence_Freeze_Audit.md</w:t>
      </w:r>
      <w:r>
        <w:t xml:space="preserve">’s headline full-text-read figure (0 of the review’s active references, recomputed each round a chapter is added — 0/59 at the time this file was first written, 0/67 as of Chapter 10; the denominator changes, the numerator does not).</w:t>
      </w:r>
    </w:p>
    <w:p>
      <w:pPr>
        <w:pStyle w:val="BodyText"/>
      </w:pPr>
      <w:r>
        <w:t xml:space="preserve">This audit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re-derive</w:t>
      </w:r>
      <w:r>
        <w:t xml:space="preserve"> </w:t>
      </w:r>
      <w:r>
        <w:rPr>
          <w:rStyle w:val="VerbatimChar"/>
        </w:rPr>
        <w:t xml:space="preserve">WBE_Review_Table7_Evidence_Audit.md</w:t>
      </w:r>
      <w:r>
        <w:t xml:space="preserve">’s cell-by-cell review of Table 7 — see that file directly for Table 7 detail; this file covers Table 7 only as a single summary row pointing there, to avoid duplicating the same audit in two places.</w:t>
      </w:r>
    </w:p>
    <w:p>
      <w:r>
        <w:pict>
          <v:rect style="width:0;height:1.5pt" o:hralign="center" o:hrstd="t" o:hr="t"/>
        </w:pict>
      </w:r>
    </w:p>
    <w:bookmarkStart w:id="20" w:name="bridge-framing"/>
    <w:p>
      <w:pPr>
        <w:pStyle w:val="Heading2"/>
      </w:pPr>
      <w:r>
        <w:t xml:space="preserve">§9.0 — Bridge framing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§9.0-P1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8 closes with a full posterior/interval distribution over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τ</m:t>
                  </m:r>
                </m:e>
              </m:d>
            </m:oMath>
            <w:r>
              <w:t xml:space="preserve">, not a point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(§8.0, §7.0, §8.14)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internal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§9.0-P2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distribution is a scientific output, not a public-health action by itself; Chapter 9 is a translation layer, not a sixth distortion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0"/>
    <w:bookmarkStart w:id="21" w:name="three-surveillance-objectives-one-signal"/>
    <w:p>
      <w:pPr>
        <w:pStyle w:val="Heading2"/>
      </w:pPr>
      <w:r>
        <w:t xml:space="preserve">§9.1 — Three surveillance objectives, one signal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§9.1-P1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§7.1.2 already distinguished three output kinds (trend/anomaly/absolute)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(§7.1.2)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§9.1-P2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monitoring is comparatively robust to a</w:t>
            </w:r>
            <w:r>
              <w:t xml:space="preserve"> </w:t>
            </w:r>
            <w:r>
              <w:rPr>
                <w:iCs/>
                <w:i/>
              </w:rPr>
              <w:t xml:space="preserve">stable</w:t>
            </w:r>
            <w:r>
              <w:t xml:space="preserve"> </w:t>
            </w:r>
            <w:r>
              <w:t xml:space="preserve">bias but not to a bias correlated with the trend itself (rainfall/seasonality 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Qualitative/mechanistic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(§4.2, §5.5)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(deductive argument from Ch4/Ch5’s own established mechanisms)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§9.1-P3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field study found wastewater surveillance could function as an early-warning system in low-incidence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empirical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Assoum et al. 2023 [55]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Metadata-verified (full author list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specific lead-time/sensitivity figures explicitly not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text already correctly hedges by omitting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§9.1-P4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is a formal statistical-process-control problem sensitive to noise-distribution shape and censoring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Framework/mechanistic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(§8.4, §8.11)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§9.1-P5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EWMA-based transparent design idea exists in the literature (design philosophy only, not attributed to any numbered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mention, explicitly uncited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(deliberately)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—</w:t>
            </w:r>
            <w:r>
              <w:t xml:space="preserve"> </w:t>
            </w:r>
            <w:r>
              <w:rPr>
                <w:bCs/>
                <w:b/>
              </w:rPr>
              <w:t xml:space="preserve">explicitly not tied to [56], which is 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(no number asserted)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this is the correct handling per Section 四’s Option-B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§9.1-P6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Absolute-magnitude estimation requires a meaningful subset of §7.0’s five criteria; Table 5 found no method family achieves all 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finding, self-referential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(§7.0, §7.4, Table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this review’s own prior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(restating this review’s own Chapter 7 finding, not a new external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§9.1-P7 (operational-consequence paragraph)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surveillance program should name its objective before setting a threshold or fusing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/ 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1"/>
    <w:bookmarkStart w:id="22" w:name="Xab20c696cc12e9b084c5e56a0f7c4545aed682c"/>
    <w:p>
      <w:pPr>
        <w:pStyle w:val="Heading2"/>
      </w:pPr>
      <w:r>
        <w:t xml:space="preserve">§9.2 — Alert-threshold design and asymmetric cost [FOCUS AREAS 1 &amp; 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§9.2-P1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t xml:space="preserve">“</w:t>
            </w:r>
            <w:r>
              <w:t xml:space="preserve">alert</w:t>
            </w:r>
            <w:r>
              <w:t xml:space="preserve">”</w:t>
            </w:r>
            <w:r>
              <w:t xml:space="preserve"> </w:t>
            </w:r>
            <w:r>
              <w:t xml:space="preserve">is the output of a detection rule applied to a signal already carrying every upstream distortion/uncertainty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Framework/mechanistic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(Ch3–8)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§9.2-P2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transparent EWMA design idea favors auditability over forecasting complexity (design philosophy, explicitly uncited per §9.1-P5’s resolution)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mention, explicitly uncited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(deliberately)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§9.2-P3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classification-based event-detection framework reports sensitivity 0.82/PPV 0.64 (wastewater) vs. 0.58/0.19 (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baseline) across 281 U.S. counties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empirical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Link, Garrido, et al. 2026 [57]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Metadata-verified at partial-list tier (two authors confirmed, 2026-07-18)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explicitly and prominently hedged in-text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already correctly hedged, including the transferability caution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§9.2-P4</w:t>
            </w:r>
            <w:r>
              <w:t xml:space="preserve"> </w:t>
            </w:r>
            <w:r>
              <w:rPr>
                <w:bCs/>
                <w:b/>
              </w:rPr>
              <w:t xml:space="preserve">[FOCUS AREA 2 — threshold non-transferability]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detection rule’s performance is a property of the joint system (signal + noise + threshold), not the signal alone; a figure calibrated on 281 counties is not established to transfer to a different population/sewershed/season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explicitly original to this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(§7.1.1, §8.7, §8.12 cross-referenced by analogy)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—</w:t>
            </w:r>
            <w:r>
              <w:t xml:space="preserve"> </w:t>
            </w:r>
            <w:r>
              <w:rPr>
                <w:bCs/>
                <w:b/>
              </w:rPr>
              <w:t xml:space="preserve">this is this review’s own inferential argument, not a finding reported by [57] itself; [57] is the illustrative example the argument is applied to, not the source of the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this distinction reads clearly to an outside reader</w:t>
            </w:r>
            <w:r>
              <w:t xml:space="preserve">: confirmed on re-read — the paragraph explicitly says</w:t>
            </w:r>
            <w:r>
              <w:t xml:space="preserve"> </w:t>
            </w:r>
            <w:r>
              <w:t xml:space="preserve">“</w:t>
            </w:r>
            <w:r>
              <w:t xml:space="preserve">per §9.2’s own argument,</w:t>
            </w:r>
            <w:r>
              <w:t xml:space="preserve">”</w:t>
            </w:r>
            <w:r>
              <w:t xml:space="preserve"> </w:t>
            </w:r>
            <w:r>
              <w:t xml:space="preserve">correctly signaling this is the review’s inference, not [57]’s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§9.2-P5</w:t>
            </w:r>
            <w:r>
              <w:t xml:space="preserve"> </w:t>
            </w:r>
            <w:r>
              <w:rPr>
                <w:bCs/>
                <w:b/>
              </w:rPr>
              <w:t xml:space="preserve">[FOCUS AREA 1 — asymmetric cost]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unnecessarily sensitive threshold generates false alarms that erode institutional trust</w:t>
            </w:r>
            <w:r>
              <w:t xml:space="preserve"> </w:t>
            </w:r>
            <w:r>
              <w:t xml:space="preserve">“</w:t>
            </w:r>
            <w:r>
              <w:t xml:space="preserve">over time</w:t>
            </w:r>
            <w:r>
              <w:t xml:space="preserve">”</w:t>
            </w:r>
            <w:r>
              <w:t xml:space="preserve"> </w:t>
            </w:r>
            <w:r>
              <w:t xml:space="preserve">(general early-warning-system literature)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General/background empirical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specific — explicitly flagged as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Unsupported, and explicitly labeled as such in-text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though this review has not independently verified a WBE-specific study quantifying that trust-erosion effect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specific source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this is a model instance of correct handling — a plausible claim is stated but honestly flagged as unsupported rather than given a false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§9.2-P6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error rate (false alarm/missed detection) can be minimized without raising the other, for fixed information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Formal/statistical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(§8.14)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(a standard detection-theory principle, correctly treated as this review’s own restatement rather than requiring external citation)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2"/>
    <w:bookmarkStart w:id="23" w:name="Xc26c47ae65c1e18be9be8bce26dfdf883422271"/>
    <w:p>
      <w:pPr>
        <w:pStyle w:val="Heading2"/>
      </w:pPr>
      <w:r>
        <w:t xml:space="preserve">§9.3 — Multi-source data fusion [FOCUS AREAS 3 &amp; 4a]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§9.3-P1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frames WES as complementary to, not a replacement for, conventional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framing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2025a 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Institutional-verified (official WHO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guidance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framing-level claim, low distortion risk (consistent with [14]’s existing Ch1 classification)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§9.3-P2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comparative study integrated 4 systems (hospital, wastewater, meteorological, internet-search) into a daily time series for a Chinese city; a substantial subset of fused variables correlated significantly with case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empirical finding, reported qualitatively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 et al. 2025 [58]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Metadata-verified (full 8-author list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specific correlation magnitudes and per-system lead/lag explicitly not asserted, only the qualitative finding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already correctly hedged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§9.3-P3</w:t>
            </w:r>
            <w:r>
              <w:t xml:space="preserve"> </w:t>
            </w:r>
            <w:r>
              <w:rPr>
                <w:bCs/>
                <w:b/>
              </w:rPr>
              <w:t xml:space="preserve">[FOCUS AREA 3 — weather’s double role]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is not merely an independent fusion covariate; it is simultaneously (a) a corroborating signal and (b) the confounding covariate needed to correct the wastewater signal’s own amplitude distortion (§4.2, §6.2)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explicitly original to this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(§4.2, §6.2)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Conceptual synthesis — explicitly this review’s own analytical point, not attributed to any external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this is correctly presented as the review’s own contribution, not smuggled in as an external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§9.3-P4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fusion pipeline treating weather only as (a) risks double-counting rainfall’s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Conceptual/mechanistic reasoning, deduced from §9.3-P3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§9.3-P5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Clinical/mobility/pharmacy/hospital data each carry distinct, known distortions (ascertainment bias, behavioral proxy, prescription-fill lag, severity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Conceptual/domain-knowledge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(§1, [11]) partially; general public-health domain knowledge otherwise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these are standard, non-controversial characterizations of each data type’s known limitation, not claims requiring a dedicated citation beyond the [11]/[14] framing already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§9.3-P6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of the four fusion streams is</w:t>
            </w:r>
            <w:r>
              <w:t xml:space="preserve"> </w:t>
            </w:r>
            <w:r>
              <w:t xml:space="preserve">“</w:t>
            </w:r>
            <w:r>
              <w:t xml:space="preserve">ground truth</w:t>
            </w:r>
            <w:r>
              <w:t xml:space="preserve">”</w:t>
            </w:r>
            <w:r>
              <w:t xml:space="preserve">; each is itself uncertain and differently 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extends §8.16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(§8.16)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3"/>
    <w:bookmarkStart w:id="24" w:name="why-fusion-is-not-free-focus-area-4b"/>
    <w:p>
      <w:pPr>
        <w:pStyle w:val="Heading2"/>
      </w:pPr>
      <w:r>
        <w:t xml:space="preserve">§9.4 — Why fusion is not free [FOCUS AREA 4b]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§9.4-P1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§8.10 already established that treating upstream sources as independent when they are not produces a systematically wrong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(§8.10)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§9.4-P2</w:t>
            </w:r>
            <w:r>
              <w:t xml:space="preserve"> </w:t>
            </w:r>
            <w:r>
              <w:rPr>
                <w:bCs/>
                <w:b/>
              </w:rPr>
              <w:t xml:space="preserve">[FOCUS AREA 4b — fusion failure mode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external drivers (a public event, policy change, media shift) can move multiple</w:t>
            </w:r>
            <w:r>
              <w:t xml:space="preserve"> </w:t>
            </w:r>
            <w:r>
              <w:t xml:space="preserve">“</w:t>
            </w:r>
            <w:r>
              <w:t xml:space="preserve">independent</w:t>
            </w:r>
            <w:r>
              <w:t xml:space="preserve">”</w:t>
            </w:r>
            <w:r>
              <w:t xml:space="preserve"> </w:t>
            </w:r>
            <w:r>
              <w:t xml:space="preserve">streams together under a common confound, so averaging them doesn’t reduce noise the way genuinely independent measurements would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Conceptual/statistical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general statistical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this is a standard statistical argument (confounding vs. independence), does not require an external empirical citation to state as a logical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§9.4-P3</w:t>
            </w:r>
            <w:r>
              <w:t xml:space="preserve"> </w:t>
            </w:r>
            <w:r>
              <w:rPr>
                <w:bCs/>
                <w:b/>
              </w:rPr>
              <w:t xml:space="preserve">[FOCUS AREA 4b — fusion failure mode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Wastewater signal has been reported to lead clinical/hospitalization data by an interval that is itself uncertain and setting-dependent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claim, self-referential to this review’s own prior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(§7.1.2, §9.2, referencing [35] Huisman et al. and [57] indirectly)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restates already-cited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restating prior Abstract-level-supported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inherited from the underlying sources’ own pending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no new citation burden introduced, correctly traced to already-audited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§9.4-P4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defensible response is joint state-space/Bayesian modeling of correlated uncertainty, extending §8.9’s machinery, or explicit disclosure of the limitation, per §8.15’s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Recommendation, extends internal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(§8.9, §8.15)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4"/>
    <w:bookmarkStart w:id="25" w:name="X3137a264bb6a96cd5ab1357bb0cc735a536fe75"/>
    <w:p>
      <w:pPr>
        <w:pStyle w:val="Heading2"/>
      </w:pPr>
      <w:r>
        <w:t xml:space="preserve">§9.5 — The boundary: what WBE cannot replace [FOCUS AREA 5]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§9.5-P1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WBE cannot produce individual-level diagnosis; this is structural (aggregation), not a modeling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Conceptual/definitional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(§3.0, [11])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§9.5-P2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Variant/strain-specific clinical severity cannot be inferred from bulk concentration alone; requires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Domain-knowledge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(standard, non-controversial domain fact; not asserting a specific study’s finding)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§9.5-P3</w:t>
            </w:r>
            <w:r>
              <w:t xml:space="preserve"> </w:t>
            </w:r>
            <w:r>
              <w:rPr>
                <w:bCs/>
                <w:b/>
              </w:rPr>
              <w:t xml:space="preserve">[FOCUS AREA 5 — structural exclusion of non-sewered populations]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one-fifth of the U.S. population is not connected to a centrally monitored sewer system, and this gap is not randomly distributed (specific demographic/geographic associations named)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+ qualitative empirical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Yu, Olesen, Duvallet, &amp; Grad 2024 [52]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Metadata-verified (full 4-author list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the ~80% connectivity figure and demographic-association statistics explicitly flagged pending; only the qualitative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systematic, not random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finding is relied 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already correctly hedged, with the weaker/stronger claim distinction stated explicitly in-text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§9.5-P4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coverage gap cannot be closed by better modeling of Ch3–8’s signal-formation chain — it is a sampling-universe gap, not a signal-processing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§9.5-P5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rising signal does not identify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it is rising without additional information (new infections vs. testing-policy shift vs. population change vs. storm artifact)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Conceptual/mechanistic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(§4.2, §6.3, 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§9.5-P6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 institutional framing follows WHO’s complementary-not-replacement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Recommendation, extends institutional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2025a 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Institutional-verified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guidance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5"/>
    <w:bookmarkStart w:id="26" w:name="Xc1c72592943f3bfd90ad5eb60e621a29bbe5d27"/>
    <w:p>
      <w:pPr>
        <w:pStyle w:val="Heading2"/>
      </w:pPr>
      <w:r>
        <w:t xml:space="preserve">§9.6 — Small-catchment/building-scale monitoring: privacy, stigma, equity [FOCUS AREAS 6 &amp; 7]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§9.6-P1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 degrades structurally, not gracefully, as spatial resolution narrows toward building/facility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extends §9.5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§9.6-P2</w:t>
            </w:r>
            <w:r>
              <w:t xml:space="preserve"> </w:t>
            </w:r>
            <w:r>
              <w:rPr>
                <w:bCs/>
                <w:b/>
              </w:rPr>
              <w:t xml:space="preserve">[FOCUS AREA 6 — re-identification risk]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wastewater sample can in principle be traced to a single household/toilet; documented instances of upstream tracing to a specific residence are cited as illustration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example + conceptual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Moallef et al. 2025 [51]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Metadata-verified (full 8-author list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the 68/145 equity-study count explicitly flagged pending; the illustrative re-identification example is treated as the source’s own cited example, at abstract-level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already hedged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§9.6-P3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Aggregation-level design is a context-specific judgment trading off against early-warning value, not a fixed technical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deduced from §9.6-P2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§9.6-P4</w:t>
            </w:r>
            <w:r>
              <w:t xml:space="preserve"> </w:t>
            </w:r>
            <w:r>
              <w:rPr>
                <w:bCs/>
                <w:b/>
              </w:rPr>
              <w:t xml:space="preserve">[FOCUS AREA 7 — group stigmatization]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Group-level stigmatization is a harm distinct from individual re-identification; flagging a defined group as</w:t>
            </w:r>
            <w:r>
              <w:t xml:space="preserve"> </w:t>
            </w:r>
            <w:r>
              <w:t xml:space="preserve">“</w:t>
            </w:r>
            <w:r>
              <w:t xml:space="preserve">diseased</w:t>
            </w:r>
            <w:r>
              <w:t xml:space="preserve">”</w:t>
            </w:r>
            <w:r>
              <w:t xml:space="preserve"> </w:t>
            </w:r>
            <w:r>
              <w:t xml:space="preserve">has social/institutional consequences an individual-privacy framework doesn’t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 + empirical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Kwiatkowska et al. 2022 [54]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Venue/peer-review status unconfirmed — flagged explicitly in-text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support,</w:t>
            </w:r>
            <w:r>
              <w:t xml:space="preserve"> </w:t>
            </w:r>
            <w:r>
              <w:rPr>
                <w:bCs/>
                <w:b/>
              </w:rPr>
              <w:t xml:space="preserve">explicitly downgraded</w:t>
            </w:r>
            <w:r>
              <w:t xml:space="preserve"> </w:t>
            </w:r>
            <w:r>
              <w:t xml:space="preserve">— this is this review’s lowest-confidence Chapter 9 citation on evidence-type grounds, independent of the argument’s plausibility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number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beyond the existing in-text flag; the argument itself is separable from the citation’s weakness, and the text already states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§9.6-P5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 analysis argues for enforceable legal</w:t>
            </w:r>
            <w:r>
              <w:t xml:space="preserve"> </w:t>
            </w:r>
            <w:r>
              <w:t xml:space="preserve">“</w:t>
            </w:r>
            <w:r>
              <w:t xml:space="preserve">obligations</w:t>
            </w:r>
            <w:r>
              <w:t xml:space="preserve">”</w:t>
            </w:r>
            <w:r>
              <w:t xml:space="preserve"> </w:t>
            </w:r>
            <w:r>
              <w:t xml:space="preserve">rather than ethics/rights framing alone, for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Conceptual/policy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Thompson et al. 2024 [53]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Metadata-verified at partial tier (lead author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number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already correctly hedged on author-list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§9.6-P6</w:t>
            </w:r>
            <w:r>
              <w:t xml:space="preserve"> </w:t>
            </w:r>
            <w:r>
              <w:rPr>
                <w:bCs/>
                <w:b/>
              </w:rPr>
              <w:t xml:space="preserve">[FOCUS AREA 7 — structural equity in deployment]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equity in</w:t>
            </w:r>
            <w:r>
              <w:t xml:space="preserve"> </w:t>
            </w:r>
            <w:r>
              <w:rPr>
                <w:iCs/>
                <w:i/>
              </w:rPr>
              <w:t xml:space="preserve">who</w:t>
            </w:r>
            <w:r>
              <w:t xml:space="preserve"> </w:t>
            </w:r>
            <w:r>
              <w:t xml:space="preserve">is monitored is a distinct problem from coverage gaps (§9.5); deployment choices redistribute both benefit and risk unevenly and require deliberate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extends [51]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Moallef et al. 2025 [51]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Metadata-verified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Abstract-level support (framework-level claim, not a specific statistic)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§9.6-P7 (closing conclusion)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Building/small-catchment monitoring is not</w:t>
            </w:r>
            <w:r>
              <w:t xml:space="preserve"> </w:t>
            </w:r>
            <w:r>
              <w:t xml:space="preserve">“</w:t>
            </w:r>
            <w:r>
              <w:t xml:space="preserve">the same method at finer resolution</w:t>
            </w:r>
            <w:r>
              <w:t xml:space="preserve">”</w:t>
            </w:r>
            <w:r>
              <w:t xml:space="preserve"> </w:t>
            </w:r>
            <w:r>
              <w:t xml:space="preserve">and needs its own explicit privacy/stigma/equity review, not inherited from a citywide program’s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/ 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Internal, synthesizing §9.6-P1–P6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6"/>
    <w:bookmarkStart w:id="27" w:name="X076ab470bef625e20371a2ccec98658c72f4bdd"/>
    <w:p>
      <w:pPr>
        <w:pStyle w:val="Heading2"/>
      </w:pPr>
      <w:r>
        <w:t xml:space="preserve">§9.7 — From detectable signal to actionable information [FOCUS AREA 8]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§9.7-P1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signal can be scientifically detectable (above LOD, statistically distinguishable, correctly attributable) and still not be actionable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this chapter’s central original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(§5.5, §8.11, §9.2, 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§9.7-P2, condition 1</w:t>
            </w:r>
            <w:r>
              <w:t xml:space="preserve"> </w:t>
            </w:r>
            <w:r>
              <w:rPr>
                <w:bCs/>
                <w:b/>
              </w:rPr>
              <w:t xml:space="preserve">[FOCUS AREA 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Actionability requires uncertainty translated into decision-relevant probability, not left as a bare point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extends §8.14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(§8.14)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§9.7-P3, condition 2</w:t>
            </w:r>
            <w:r>
              <w:t xml:space="preserve"> </w:t>
            </w:r>
            <w:r>
              <w:rPr>
                <w:bCs/>
                <w:b/>
              </w:rPr>
              <w:t xml:space="preserve">[FOCUS AREA 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Actionability requires an institutional response protocol with a named actor/action/resource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 + institutional-source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NASEM 2023 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Institutional-verified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guidance support (NASEM names coordination as a precondition)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§9.7-P4, condition 3</w:t>
            </w:r>
            <w:r>
              <w:t xml:space="preserve"> </w:t>
            </w:r>
            <w:r>
              <w:rPr>
                <w:bCs/>
                <w:b/>
              </w:rPr>
              <w:t xml:space="preserve">[FOCUS AREA 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Actionability requires detection-to-action timescale shorter than the condition’s own timescale;</w:t>
            </w:r>
            <w:r>
              <w:t xml:space="preserve"> </w:t>
            </w:r>
            <w:r>
              <w:t xml:space="preserve">“</w:t>
            </w:r>
            <w:r>
              <w:t xml:space="preserve">about a week</w:t>
            </w:r>
            <w:r>
              <w:t xml:space="preserve">”</w:t>
            </w:r>
            <w:r>
              <w:t xml:space="preserve"> </w:t>
            </w:r>
            <w:r>
              <w:t xml:space="preserve">cited as an illustrative order of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 + quantitative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specific — explicitly flagged as illustrative, not attributed to a numbered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 full-text verification, explicitly labeled in-text 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not a precisely established universal standard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— this is the one quantitative figure in §9.7 not tied to a specific numbered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whether to trace this to a specific source (an ECDC/WHO reporting-timeliness document) in a future round, or continue presenting it as an unattributed illustrative order of magnitude — currently handled honestly but could be strengthened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§9.7-P5, condition 4</w:t>
            </w:r>
            <w:r>
              <w:t xml:space="preserve"> </w:t>
            </w:r>
            <w:r>
              <w:rPr>
                <w:bCs/>
                <w:b/>
              </w:rPr>
              <w:t xml:space="preserve">[FOCUS AREA 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Actionability requires the alert threshold validated against the deployment-specific cost structure, not borrowed from elsewhere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argument, restates §9.2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(§9.2)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§9.7-P6 (closing)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signal failing any of the four conditions is not a failure of Ch3–8’s science but an unfinished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synthesis, chapter’s thesis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7"/>
    <w:bookmarkStart w:id="28" w:name="Xc0e0e3c63a7fd45299c6aad8702213ca827134a"/>
    <w:p>
      <w:pPr>
        <w:pStyle w:val="Heading2"/>
      </w:pPr>
      <w:r>
        <w:t xml:space="preserve">§9.8 — Minimum reporting requirements for a decision-ready signal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§9.8-P1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decision-ready signal should disclose objective, threshold basis, deployment-specific error rates, incorporated uncertainty sources, fusion status, spatial resolution/equity review status, and decision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Recommendation, extends §5.7/§6.9/§7.7/§8.15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§9.8-P2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not a regulatory/accreditation checklist; WHO, NASEM, and ECDC are the actual authoritative sources for that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Framing/disclaimer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2025b [15]; NASEM 2023 [11]; ECDC 2025 [59]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Institutional-verified (all three)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guidance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8"/>
    <w:bookmarkStart w:id="29" w:name="X32e1d21725dc3d8e7b6d4c1bac3c781db9a3487"/>
    <w:p>
      <w:pPr>
        <w:pStyle w:val="Heading2"/>
      </w:pPr>
      <w:r>
        <w:t xml:space="preserve">Table 7 and Box [FOCUS AREA 9 — see separate file]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7 (all cells)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Surveillance-objective × decision-requirement × uncertainty-sensitivity × fusion-role × representative-citation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framework proposal, explicitly labeled as such in-text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Multiple, cell-dependent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WBE_Review_Table7_Evidence_Audit.md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the required cell-by-cell audit — not duplicated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Mixed, see other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other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Detectable ≠ Actionable</w:t>
            </w:r>
            <w:r>
              <w:t xml:space="preserve">”</w:t>
            </w:r>
            <w:r>
              <w:t xml:space="preserve"> </w:t>
            </w:r>
            <w:r>
              <w:t xml:space="preserve">illustrative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Original, explicitly hypothetical/illustrative, no borrowed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synthesis, explicitly labeled in-text as</w:t>
            </w:r>
            <w:r>
              <w:t xml:space="preserve"> </w:t>
            </w:r>
            <w:r>
              <w:t xml:space="preserve">“</w:t>
            </w:r>
            <w:r>
              <w:t xml:space="preserve">this review’s own illustrative construction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9"/>
    <w:bookmarkStart w:id="30" w:name="evidentiary-note"/>
    <w:p>
      <w:pPr>
        <w:pStyle w:val="Heading2"/>
      </w:pPr>
      <w:r>
        <w:t xml:space="preserve">§9.9 — Evidentiary note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Paragraph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full-text?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§9.9-P1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[56] is withdrawn from citation; its underlying design idea is retained conceptually without evidentiary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Meta-evidentiary statement about this review’s own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[56] (withdrawn)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(a statement about this review’s sourcing discipline, not an external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this is the audit trail entry itself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claims audited:</w:t>
      </w:r>
      <w:r>
        <w:t xml:space="preserve"> </w:t>
      </w:r>
      <w:r>
        <w:t xml:space="preserve">44 (matching the paragraph-unit count in</w:t>
      </w:r>
      <w:r>
        <w:t xml:space="preserve"> </w:t>
      </w:r>
      <w:r>
        <w:rPr>
          <w:rStyle w:val="VerbatimChar"/>
        </w:rPr>
        <w:t xml:space="preserve">WBE_Review_Ch8_Evidence_Freeze_Audit.md</w:t>
      </w:r>
      <w:r>
        <w:t xml:space="preserve"> </w:t>
      </w:r>
      <w:r>
        <w:t xml:space="preserve">§3)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Conceptual synthesis:</w:t>
      </w:r>
      <w:r>
        <w:t xml:space="preserve"> </w:t>
      </w:r>
      <w:r>
        <w:t xml:space="preserve">27 — this review’s own analytical/organizational contribution, correctly uncited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Abstract-level support:</w:t>
      </w:r>
      <w:r>
        <w:t xml:space="preserve"> </w:t>
      </w:r>
      <w:r>
        <w:t xml:space="preserve">10 — [51], [52], [53], [54], [55], [57], [58] each supporting at least one claim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Institutional guidance support:</w:t>
      </w:r>
      <w:r>
        <w:t xml:space="preserve"> </w:t>
      </w:r>
      <w:r>
        <w:t xml:space="preserve">6 — [11], [14] (×2), [15], [59]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Metadata-level support only (no abstract content relied upon):</w:t>
      </w:r>
      <w:r>
        <w:t xml:space="preserve"> </w:t>
      </w:r>
      <w:r>
        <w:t xml:space="preserve">0 — every cited claim in Chapter 9 draws at minimum on an abstract/snippet, not merely a source’s bare existence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Unsupported (explicitly flagged as such in-text, not silently asserted):</w:t>
      </w:r>
      <w:r>
        <w:t xml:space="preserve"> </w:t>
      </w:r>
      <w:r>
        <w:t xml:space="preserve">1 (§9.2-P5’s trust-erosion claim)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Pending full-text verification (a specific number requiring primary-source confirmation):</w:t>
      </w:r>
      <w:r>
        <w:t xml:space="preserve"> </w:t>
      </w:r>
      <w:r>
        <w:t xml:space="preserve">every Abstract-level row above additionally carries this flag for its specific figures; §9.7-P4’s</w:t>
      </w:r>
      <w:r>
        <w:t xml:space="preserve"> </w:t>
      </w:r>
      <w:r>
        <w:t xml:space="preserve">“</w:t>
      </w:r>
      <w:r>
        <w:t xml:space="preserve">about a week</w:t>
      </w:r>
      <w:r>
        <w:t xml:space="preserve">”</w:t>
      </w:r>
      <w:r>
        <w:t xml:space="preserve"> </w:t>
      </w:r>
      <w:r>
        <w:t xml:space="preserve">figure is the one claim without even a numbered-source attribution and is flagged for follow-up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claim in this chapter is Full-text-verified or Claim-verified.</w:t>
      </w:r>
      <w:r>
        <w:t xml:space="preserve"> </w:t>
      </w:r>
      <w:r>
        <w:t xml:space="preserve">This matches the review’s standing 0/N full-text-read status exactly — Chapter 9 introduces no exception.</w:t>
      </w:r>
    </w:p>
    <w:p>
      <w:pPr>
        <w:pStyle w:val="FirstParagraph"/>
      </w:pPr>
      <w:r>
        <w:rPr>
          <w:bCs/>
          <w:b/>
        </w:rPr>
        <w:t xml:space="preserve">What this audit found, stated directly:</w:t>
      </w:r>
      <w:r>
        <w:t xml:space="preserve"> </w:t>
      </w:r>
      <w:r>
        <w:t xml:space="preserve">Chapter 9’s nine focus areas (false-alarm/missed-detection cost, threshold non-transferability, weather’s double role, fusion benefits/failure modes, structural exclusion of non-sewered populations, small-catchment re-identification risk, group stigmatization/structural equity, the four actionability conditions, and Table 7) are each supported by a mix of Abstract-level citations (correctly hedged) and this review’s own explicitly-labeled conceptual synthesis — no focus area was found resting on an Unsupported or silently-asserted claim, with the single explicit exception of §9.2-P5, which the main text itself already flags as unverified rather than smoothing over. The one prior weakness this audit surfaces and corrects is the now-withdrawn [56] (§9.1-P5, §9.2-P2, §9.9), where the underlying conceptual point is retained but decoupled from an evidentiary attribution that could not clear this review’s citation bar.</w:t>
      </w:r>
    </w:p>
    <w:bookmarkEnd w:id="31"/>
    <w:bookmarkEnd w:id="32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2026-07-18T08:56:49Z</dcterms:created>
  <dcterms:modified xsi:type="dcterms:W3CDTF">2026-07-18T08:56:49Z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