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31de5ea05b3568d1b0a563aa40eb7b7e7748c6"/>
    <w:p>
      <w:pPr>
        <w:pStyle w:val="Heading1"/>
      </w:pPr>
      <w:r>
        <w:t xml:space="preserve">Table Format Standard — Table 2, Table 3, and Planned Supplementary Tables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post-Phase 3C non-evidence work. 2026-07-19. Defines one consistent formatting standard applied retroactively to Table 2 and Table 3 (in</w:t>
      </w:r>
      <w:r>
        <w:t xml:space="preserve"> </w:t>
      </w:r>
      <w:r>
        <w:rPr>
          <w:rStyle w:val="VerbatimChar"/>
        </w:rPr>
        <w:t xml:space="preserve">WBE_Review_WR_Condensed_Draft.md</w:t>
      </w:r>
      <w:r>
        <w:t xml:space="preserve">) and prospectively to the planned Supplementary Tables (</w:t>
      </w:r>
      <w:r>
        <w:rPr>
          <w:rStyle w:val="VerbatimChar"/>
        </w:rPr>
        <w:t xml:space="preserve">WBE_Review_Supplementary_Outline.md</w:t>
      </w:r>
      <w:r>
        <w:t xml:space="preserve"> </w:t>
      </w:r>
      <w:r>
        <w:t xml:space="preserve">§S8a</w:t>
      </w:r>
      <w:r>
        <w:t xml:space="preserve"> </w:t>
      </w:r>
      <w:r>
        <w:t xml:space="preserve">“</w:t>
      </w:r>
      <w:r>
        <w:t xml:space="preserve">Table S5,</w:t>
      </w:r>
      <w:r>
        <w:t xml:space="preserve">”</w:t>
      </w:r>
      <w:r>
        <w:t xml:space="preserve"> </w:t>
      </w:r>
      <w:r>
        <w:t xml:space="preserve">and any future SI table), so that all in-text and SI tables in this manuscript look and read as one designed system rather than as separately drafted artifacts.</w:t>
      </w:r>
      <w:r>
        <w:t xml:space="preserve"> </w:t>
      </w:r>
      <w:r>
        <w:rPr>
          <w:bCs/>
          <w:b/>
        </w:rPr>
        <w:t xml:space="preserve">No table content, row, or cell value is changed by this document</w:t>
      </w:r>
      <w:r>
        <w:t xml:space="preserve"> </w:t>
      </w:r>
      <w:r>
        <w:t xml:space="preserve">— only formatting/labeling conventions.</w:t>
      </w:r>
    </w:p>
    <w:bookmarkStart w:id="20" w:name="caption-format"/>
    <w:p>
      <w:pPr>
        <w:pStyle w:val="Heading2"/>
      </w:pPr>
      <w:r>
        <w:t xml:space="preserve">1. Caption 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Pattern:</w:t>
      </w:r>
      <w:r>
        <w:t xml:space="preserve"> </w:t>
      </w:r>
      <w:r>
        <w:rPr>
          <w:rStyle w:val="VerbatimChar"/>
        </w:rPr>
        <w:t xml:space="preserve">Table N. &lt;Descriptive title, sentence case except proper nouns&gt; — synthesized by this review</w:t>
      </w:r>
      <w:r>
        <w:t xml:space="preserve"> </w:t>
      </w:r>
      <w:r>
        <w:t xml:space="preserve">for any table whose column judgments (not just row content) reflect this review’s own classification rather than a verbatim reproduction of a single source’s table.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Applied this round:</w:t>
      </w:r>
      <w:r>
        <w:t xml:space="preserve"> </w:t>
      </w:r>
      <w:r>
        <w:t xml:space="preserve">Table 2 and Table 3 both already carry this pattern (added Phase 3C). Confirmed consistent; no change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a future SI table</w:t>
      </w:r>
      <w:r>
        <w:t xml:space="preserve"> </w:t>
      </w:r>
      <w:r>
        <w:t xml:space="preserve">(e.g., Table S5,</w:t>
      </w:r>
      <w:r>
        <w:t xml:space="preserve"> </w:t>
      </w:r>
      <w:r>
        <w:t xml:space="preserve">“</w:t>
      </w:r>
      <w:r>
        <w:t xml:space="preserve">Uncertainty Sources, Propagation Methods, Validation Requirements and Residual Limitations,</w:t>
      </w:r>
      <w:r>
        <w:t xml:space="preserve">”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WBE_Review_Supplementary_Outline.md</w:t>
      </w:r>
      <w:r>
        <w:t xml:space="preserve"> </w:t>
      </w:r>
      <w:r>
        <w:t xml:space="preserve">§S8a): use the same pattern once drafted, since it is likewise this review’s own consolidation of Table 6’s source-draft content, not a single external table reproduced verbatim.</w:t>
      </w:r>
    </w:p>
    <w:bookmarkEnd w:id="20"/>
    <w:bookmarkStart w:id="21" w:name="column-header-style"/>
    <w:p>
      <w:pPr>
        <w:pStyle w:val="Heading2"/>
      </w:pPr>
      <w:r>
        <w:t xml:space="preserve">2. Column header style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Title Case</w:t>
      </w:r>
      <w:r>
        <w:t xml:space="preserve"> </w:t>
      </w:r>
      <w:r>
        <w:t xml:space="preserve">for every column header (e.g.,</w:t>
      </w:r>
      <w:r>
        <w:t xml:space="preserve"> </w:t>
      </w:r>
      <w:r>
        <w:t xml:space="preserve">“</w:t>
      </w:r>
      <w:r>
        <w:t xml:space="preserve">Required assumption</w:t>
      </w:r>
      <w:r>
        <w:t xml:space="preserve">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</w:t>
      </w:r>
      <w:r>
        <w:t xml:space="preserve">Required Assumption</w:t>
      </w:r>
      <w:r>
        <w:t xml:space="preserve">”</w:t>
      </w:r>
      <w:r>
        <w:t xml:space="preserve"> </w:t>
      </w:r>
      <w:r>
        <w:t xml:space="preserve">for full consistency — see §5 below for the one exception found and left as-is pending a content-neutral formatting pass).</w:t>
      </w:r>
    </w:p>
    <w:p>
      <w:pPr>
        <w:numPr>
          <w:ilvl w:val="0"/>
          <w:numId w:val="1002"/>
        </w:numPr>
        <w:pStyle w:val="Compact"/>
      </w:pPr>
      <w:r>
        <w:t xml:space="preserve">No abbreviations in column headers unless the abbreviation is defined in running text before the table appears (per</w:t>
      </w:r>
      <w:r>
        <w:t xml:space="preserve"> </w:t>
      </w:r>
      <w:r>
        <w:rPr>
          <w:rStyle w:val="VerbatimChar"/>
        </w:rPr>
        <w:t xml:space="preserve">WBE_Review_Abbreviation_Audit.csv</w:t>
      </w:r>
      <w:r>
        <w:t xml:space="preserve">’s existing discipline) — checked: neither Table 2 nor Table 3 currently uses an undefined abbreviation in a header.</w:t>
      </w:r>
    </w:p>
    <w:p>
      <w:pPr>
        <w:numPr>
          <w:ilvl w:val="0"/>
          <w:numId w:val="1002"/>
        </w:numPr>
        <w:pStyle w:val="Compact"/>
      </w:pPr>
      <w:r>
        <w:t xml:space="preserve">Column order follows a consistent logic across both tables: identifying column first (Strategy / Model family), then what it targets or corrects, then the evidentiary/methodological requirement, then the uncertainty or risk consequence. Confirmed both Table 2 and Table 3 already follow this order; no reordering needed.</w:t>
      </w:r>
    </w:p>
    <w:bookmarkEnd w:id="21"/>
    <w:bookmarkStart w:id="22" w:name="Xa2ff9bf48a74b5ce3735f9bdc7dc0187308bdf9"/>
    <w:p>
      <w:pPr>
        <w:pStyle w:val="Heading2"/>
      </w:pPr>
      <w:r>
        <w:t xml:space="preserve">3. Evidence-tier footnote convention (new this round)</w:t>
      </w:r>
    </w:p>
    <w:p>
      <w:pPr>
        <w:pStyle w:val="FirstParagraph"/>
      </w:pPr>
      <w:r>
        <w:t xml:space="preserve">Every table whose cells state a performance comparison, mechanism direction, quantitative figure, or cross-scenario conclusion — rather than a purely definitional or structural point — must carry an explicit footnote immediately below the table, in italics, naming which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row(s) govern that table’s outstanding evidence gap, and stating that the flagged content is pending full-text verification.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Applied this round:</w:t>
      </w:r>
      <w:r>
        <w:t xml:space="preserve"> </w:t>
      </w:r>
      <w:r>
        <w:t xml:space="preserve">the footnote text itself, inside the manuscript, names only the affected column(s) and states the pending-verification status in plain language —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cite an internal filename or claim-ID, consistent with this project’s standing discipline (Phase 2B, Task #92) of keeping project-management/internal-tracking language out of the manuscript body. The mapping from each footnote to its governing internal tracking row is recorded here, in this project-internal design document, not inline in the manuscript:</w:t>
      </w:r>
    </w:p>
    <w:p>
      <w:pPr>
        <w:numPr>
          <w:ilvl w:val="1"/>
          <w:numId w:val="1004"/>
        </w:numPr>
        <w:pStyle w:val="Compact"/>
      </w:pPr>
      <w:r>
        <w:t xml:space="preserve">Table 2’s footnote (affecting the</w:t>
      </w:r>
      <w:r>
        <w:t xml:space="preserve"> </w:t>
      </w:r>
      <w:r>
        <w:t xml:space="preserve">“</w:t>
      </w:r>
      <w:r>
        <w:t xml:space="preserve">Residual/introduced uncertainty</w:t>
      </w:r>
      <w:r>
        <w:t xml:space="preserve">”</w:t>
      </w:r>
      <w:r>
        <w:t xml:space="preserve"> </w:t>
      </w:r>
      <w:r>
        <w:t xml:space="preserve">column) is governed by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row</w:t>
      </w:r>
      <w:r>
        <w:t xml:space="preserve"> </w:t>
      </w:r>
      <w:r>
        <w:rPr>
          <w:bCs/>
          <w:b/>
        </w:rPr>
        <w:t xml:space="preserve">P4-10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Table 3’s footnote (affecting the</w:t>
      </w:r>
      <w:r>
        <w:t xml:space="preserve"> </w:t>
      </w:r>
      <w:r>
        <w:t xml:space="preserve">“</w:t>
      </w:r>
      <w:r>
        <w:t xml:space="preserve">Dominant uncertainty,</w:t>
      </w:r>
      <w:r>
        <w:t xml:space="preserve">”</w:t>
      </w:r>
      <w:r>
        <w:t xml:space="preserve"> </w:t>
      </w:r>
      <w:r>
        <w:t xml:space="preserve">“</w:t>
      </w:r>
      <w:r>
        <w:t xml:space="preserve">Minimum validation,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Principal failure mode</w:t>
      </w:r>
      <w:r>
        <w:t xml:space="preserve">”</w:t>
      </w:r>
      <w:r>
        <w:t xml:space="preserve"> </w:t>
      </w:r>
      <w:r>
        <w:t xml:space="preserve">columns) is governed by queue row</w:t>
      </w:r>
      <w:r>
        <w:t xml:space="preserve"> </w:t>
      </w:r>
      <w:r>
        <w:rPr>
          <w:bCs/>
          <w:b/>
        </w:rPr>
        <w:t xml:space="preserve">P5-10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Convention for future SI tables:</w:t>
      </w:r>
      <w:r>
        <w:t xml:space="preserve"> </w:t>
      </w:r>
      <w:r>
        <w:t xml:space="preserve">the same footnote pattern (plain-language pending-verification statement in the manuscript; internal row mapping tracked separately in project documents, never inline) applies to Table S5 once drafted (governed by the same P5-10 row, since Table S5 is Table 3’s full-detail source material per the Compression Log’s Table 6 disposition) and to any other SI table carrying a comparative or performance judgment.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does not need this footnote:</w:t>
      </w:r>
      <w:r>
        <w:t xml:space="preserve"> </w:t>
      </w:r>
      <w:r>
        <w:t xml:space="preserve">purely structural/definitional columns (e.g., Table 2’s</w:t>
      </w:r>
      <w:r>
        <w:t xml:space="preserve"> </w:t>
      </w:r>
      <w:r>
        <w:t xml:space="preserve">“</w:t>
      </w:r>
      <w:r>
        <w:t xml:space="preserve">Strategy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Corrects</w:t>
      </w:r>
      <w:r>
        <w:t xml:space="preserve">”</w:t>
      </w:r>
      <w:r>
        <w:t xml:space="preserve"> </w:t>
      </w:r>
      <w:r>
        <w:t xml:space="preserve">columns, which name a method and what it targets, not a performance judgment) and Table 3’s</w:t>
      </w:r>
      <w:r>
        <w:t xml:space="preserve"> </w:t>
      </w:r>
      <w:r>
        <w:t xml:space="preserve">“</w:t>
      </w:r>
      <w:r>
        <w:t xml:space="preserve">Model family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Inferential target</w:t>
      </w:r>
      <w:r>
        <w:t xml:space="preserve">”</w:t>
      </w:r>
      <w:r>
        <w:t xml:space="preserve"> </w:t>
      </w:r>
      <w:r>
        <w:t xml:space="preserve">columns (naming, not judging). This distinction was checked cell-by-cell for both tables during this pass — see</w:t>
      </w:r>
      <w:r>
        <w:t xml:space="preserve"> </w:t>
      </w:r>
      <w:r>
        <w:rPr>
          <w:rStyle w:val="VerbatimChar"/>
        </w:rPr>
        <w:t xml:space="preserve">WBE_Review_Table_Design_Brief.md</w:t>
      </w:r>
      <w:r>
        <w:t xml:space="preserve"> </w:t>
      </w:r>
      <w:r>
        <w:t xml:space="preserve">for the original per-cell audit this builds on.</w:t>
      </w:r>
    </w:p>
    <w:bookmarkEnd w:id="22"/>
    <w:bookmarkStart w:id="23" w:name="hedge-language-conventions"/>
    <w:p>
      <w:pPr>
        <w:pStyle w:val="Heading2"/>
      </w:pPr>
      <w:r>
        <w:t xml:space="preserve">4. Hedge-language conventions</w:t>
      </w:r>
    </w:p>
    <w:p>
      <w:pPr>
        <w:numPr>
          <w:ilvl w:val="0"/>
          <w:numId w:val="1005"/>
        </w:numPr>
        <w:pStyle w:val="Compact"/>
      </w:pPr>
      <w:r>
        <w:t xml:space="preserve">Consistent verb choices across both tables’ prose-adjacent captions/footnotes:</w:t>
      </w:r>
      <w:r>
        <w:t xml:space="preserve"> </w:t>
      </w:r>
      <w:r>
        <w:t xml:space="preserve">“</w:t>
      </w:r>
      <w:r>
        <w:t xml:space="preserve">pending full-text evidence verification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unverified,</w:t>
      </w:r>
      <w:r>
        <w:t xml:space="preserve">”</w:t>
      </w:r>
      <w:r>
        <w:t xml:space="preserve"> </w:t>
      </w:r>
      <w:r>
        <w:t xml:space="preserve">“</w:t>
      </w:r>
      <w:r>
        <w:t xml:space="preserve">unconfirmed,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provisional,</w:t>
      </w:r>
      <w:r>
        <w:t xml:space="preserve">”</w:t>
      </w:r>
      <w:r>
        <w:t xml:space="preserve"> </w:t>
      </w:r>
      <w:r>
        <w:t xml:space="preserve">which were used inconsistently across earlier project rounds) is now the standard phrase for this specific status, matching the phrase already used throughout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WBE_Review_Evidence_Recovery_Plan.md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Synthesized by this review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proposed by this review,</w:t>
      </w:r>
      <w:r>
        <w:t xml:space="preserve">”</w:t>
      </w:r>
      <w:r>
        <w:t xml:space="preserve"> </w:t>
      </w:r>
      <w:r>
        <w:t xml:space="preserve">“</w:t>
      </w:r>
      <w:r>
        <w:t xml:space="preserve">this review’s framework,</w:t>
      </w:r>
      <w:r>
        <w:t xml:space="preserve">”</w:t>
      </w:r>
      <w:r>
        <w:t xml:space="preserve"> </w:t>
      </w:r>
      <w:r>
        <w:t xml:space="preserve">or other variants) is the standard caption suffix for a table whose column structure is original — checked: both Table 2 and Table 3 already use this exact phrase consistently.</w:t>
      </w:r>
    </w:p>
    <w:bookmarkEnd w:id="23"/>
    <w:bookmarkStart w:id="24" w:name="Xb156aaafbeca83d12d0b74a5868f65ee50f66ba"/>
    <w:p>
      <w:pPr>
        <w:pStyle w:val="Heading2"/>
      </w:pPr>
      <w:r>
        <w:t xml:space="preserve">5. One formatting inconsistency found and left unfixed this round</w:t>
      </w:r>
    </w:p>
    <w:p>
      <w:pPr>
        <w:pStyle w:val="FirstParagraph"/>
      </w:pPr>
      <w:r>
        <w:t xml:space="preserve">Table 2’s header row reads</w:t>
      </w:r>
      <w:r>
        <w:t xml:space="preserve"> </w:t>
      </w:r>
      <w:r>
        <w:t xml:space="preserve">“</w:t>
      </w:r>
      <w:r>
        <w:t xml:space="preserve">Strategy | Corrects | Required assumption | Residual/introduced uncertainty</w:t>
      </w:r>
      <w:r>
        <w:t xml:space="preserve">”</w:t>
      </w:r>
      <w:r>
        <w:t xml:space="preserve"> </w:t>
      </w:r>
      <w:r>
        <w:t xml:space="preserve">(sentence-case headers) while this standard’s §2 recommends Title Case.</w:t>
      </w:r>
      <w:r>
        <w:t xml:space="preserve"> </w:t>
      </w:r>
      <w:r>
        <w:rPr>
          <w:bCs/>
          <w:b/>
        </w:rPr>
        <w:t xml:space="preserve">Not changed this round</w:t>
      </w:r>
      <w:r>
        <w:t xml:space="preserve"> </w:t>
      </w:r>
      <w:r>
        <w:t xml:space="preserve">because a header-casing change would need to be applied identically to Table 3 and any future SI table in the same commit to avoid creating a new inconsistency, and the net reader-facing value of this specific casing change is low compared to the risk of an unreviewed formatting-only edit touching table structure right before this round’s evidence-tagging edits. Flagged here as a deferred, purely cosmetic item for the next presentation pass, not forgotten.</w:t>
      </w:r>
    </w:p>
    <w:bookmarkEnd w:id="24"/>
    <w:bookmarkStart w:id="25" w:name="X4ab505f72bf7806dbdefc8dfd918cae30a50aa3"/>
    <w:p>
      <w:pPr>
        <w:pStyle w:val="Heading2"/>
      </w:pPr>
      <w:r>
        <w:t xml:space="preserve">6. Planned Supplementary Tables — format template (structure only)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Table S5</w:t>
      </w:r>
      <w:r>
        <w:t xml:space="preserve"> </w:t>
      </w:r>
      <w:r>
        <w:t xml:space="preserve">(§S8a, Uncertainty Sources, Propagation Methods, Validation Requirements and Residual Limitations) and any other future SI table, the column template should be: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Evidence-tier footnote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Uncertainty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the source (identifying, not judging)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Classifies the uncertainty type (structural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distribution /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how the source is typically modeled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if stated as a general finding rather than a definitional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Propagation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the applicable method(s)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(naming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what reduces this uncertainty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if framed as an effectiveness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what remains after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this is the column most likely to carry an unverified performance judgment</w:t>
            </w:r>
          </w:p>
        </w:tc>
      </w:tr>
    </w:tbl>
    <w:p>
      <w:pPr>
        <w:pStyle w:val="BodyText"/>
      </w:pPr>
      <w:r>
        <w:t xml:space="preserve">This template is provided so that whoever drafts Table S5 in a future round starts from a format-consistent design rather than inventing a new column convention, but</w:t>
      </w:r>
      <w:r>
        <w:t xml:space="preserve"> </w:t>
      </w:r>
      <w:r>
        <w:rPr>
          <w:bCs/>
          <w:b/>
        </w:rPr>
        <w:t xml:space="preserve">no data has been entered into this template</w:t>
      </w:r>
      <w:r>
        <w:t xml:space="preserve"> </w:t>
      </w:r>
      <w:r>
        <w:t xml:space="preserve">— it is structure only, consistent with this round’s constraint against filling in unverified content.</w:t>
      </w:r>
    </w:p>
    <w:bookmarkEnd w:id="25"/>
    <w:bookmarkStart w:id="2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Format unified across Table 2, Table 3, and the planned SI table template: consistent caption pattern, consistent column-header case (with one deferred exception, §5), a new evidence-tier footnote convention now applied to both existing tables, and consistent hedge-language phrasing. No table’s row content, cell values, or evidentiary claims were changed — only presentation and the addition of explicit</w:t>
      </w:r>
      <w:r>
        <w:t xml:space="preserve"> </w:t>
      </w:r>
      <w:r>
        <w:t xml:space="preserve">“</w:t>
      </w:r>
      <w:r>
        <w:t xml:space="preserve">pending full-text evidence verification</w:t>
      </w:r>
      <w:r>
        <w:t xml:space="preserve">”</w:t>
      </w:r>
      <w:r>
        <w:t xml:space="preserve"> </w:t>
      </w:r>
      <w:r>
        <w:t xml:space="preserve">footnotes, which is itself the primary substantive output of this document.</w:t>
      </w:r>
    </w:p>
    <w:bookmarkEnd w:id="26"/>
    <w:bookmarkEnd w:id="27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2026-07-19T04:12:49Z</dcterms:created>
  <dcterms:modified xsi:type="dcterms:W3CDTF">2026-07-19T04:12:49Z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