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d43953476b7ca0ca42d810e1a4c860acc6d3e8a"/>
    <w:p>
      <w:pPr>
        <w:pStyle w:val="Heading1"/>
      </w:pPr>
      <w:r>
        <w:t xml:space="preserve">Target Outline — Water Research Submission-Length Manuscript (Planning Document Only)</w:t>
      </w:r>
    </w:p>
    <w:p>
      <w:pPr>
        <w:pStyle w:val="FirstParagraph"/>
      </w:pPr>
      <w:r>
        <w:rPr>
          <w:bCs/>
          <w:b/>
        </w:rPr>
        <w:t xml:space="preserve">Round:</w:t>
      </w:r>
      <w:r>
        <w:t xml:space="preserve"> </w:t>
      </w:r>
      <w:r>
        <w:t xml:space="preserve">Water Research compression, Phase 2A. 2026-07-18. First built in Phase 1 (2026-07-18 earlier round);</w:t>
      </w:r>
      <w:r>
        <w:t xml:space="preserve"> </w:t>
      </w:r>
      <w:r>
        <w:rPr>
          <w:bCs/>
          <w:b/>
        </w:rPr>
        <w:t xml:space="preserve">revised this round to correct the total-length target</w:t>
      </w:r>
      <w:r>
        <w:t xml:space="preserve">. Water Research’s actual review-article guidance, as supplied this round, is:</w:t>
      </w:r>
      <w:r>
        <w:t xml:space="preserve"> </w:t>
      </w:r>
      <w:r>
        <w:rPr>
          <w:bCs/>
          <w:b/>
        </w:rPr>
        <w:t xml:space="preserve">“</w:t>
      </w:r>
      <w:r>
        <w:rPr>
          <w:bCs/>
          <w:b/>
        </w:rPr>
        <w:t xml:space="preserve">Review Paper length is comparatively flexible, but a typical review is under 12,000 words, including references.</w:t>
      </w:r>
      <w:r>
        <w:rPr>
          <w:bCs/>
          <w:b/>
        </w:rPr>
        <w:t xml:space="preserve">”</w:t>
      </w:r>
      <w:r>
        <w:t xml:space="preserve"> </w:t>
      </w:r>
      <w:r>
        <w:t xml:space="preserve">The Phase 1 version of this file did not clearly cost references into its ~10,875-word estimate — this revision fixes that, lowering every body-part budget so that references (now explicitly counted) fit inside a safe total.</w:t>
      </w:r>
      <w:r>
        <w:t xml:space="preserve"> </w:t>
      </w:r>
      <w:r>
        <w:rPr>
          <w:bCs/>
          <w:b/>
        </w:rPr>
        <w:t xml:space="preserve">This remains a target outline for a manuscript that does not yet exist in full — Parts 1-4 now exist as actual condensed prose in</w:t>
      </w:r>
      <w:r>
        <w:rPr>
          <w:bCs/>
          <w:b/>
        </w:rPr>
        <w:t xml:space="preserve"> </w:t>
      </w:r>
      <w:r>
        <w:rPr>
          <w:rStyle w:val="VerbatimChar"/>
          <w:bCs/>
          <w:b/>
        </w:rPr>
        <w:t xml:space="preserve">WBE_Review_WR_Condensed_Draft.md</w:t>
      </w:r>
      <w:r>
        <w:rPr>
          <w:bCs/>
          <w:b/>
        </w:rPr>
        <w:t xml:space="preserve"> </w:t>
      </w:r>
      <w:r>
        <w:rPr>
          <w:bCs/>
          <w:b/>
        </w:rPr>
        <w:t xml:space="preserve">(this round’s deliverable); Parts 5-8 remain outline-only, not yet drafted.</w:t>
      </w:r>
    </w:p>
    <w:bookmarkStart w:id="20" w:name="Xc5328da470dc1afa2512b92b89ad5018fefe192"/>
    <w:p>
      <w:pPr>
        <w:pStyle w:val="Heading2"/>
      </w:pPr>
      <w:r>
        <w:t xml:space="preserve">Corrected total-length budget (includes references — the Phase 1 error this revision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right"/>
            </w:pPr>
            <w:r>
              <w:t xml:space="preserve">Target words</w:t>
            </w:r>
          </w:p>
        </w:tc>
      </w:tr>
      <w:tr>
        <w:tc>
          <w:tcPr/>
          <w:p>
            <w:pPr>
              <w:pStyle w:val="Compact"/>
              <w:jc w:val="left"/>
            </w:pPr>
            <w:r>
              <w:t xml:space="preserve">8-part prose body</w:t>
            </w:r>
          </w:p>
        </w:tc>
        <w:tc>
          <w:tcPr/>
          <w:p>
            <w:pPr>
              <w:pStyle w:val="Compact"/>
              <w:jc w:val="right"/>
            </w:pPr>
            <w:r>
              <w:t xml:space="preserve">7,200–7,800</w:t>
            </w:r>
          </w:p>
        </w:tc>
      </w:tr>
      <w:tr>
        <w:tc>
          <w:tcPr/>
          <w:p>
            <w:pPr>
              <w:pStyle w:val="Compact"/>
              <w:jc w:val="left"/>
            </w:pPr>
            <w:r>
              <w:t xml:space="preserve">In-text tables</w:t>
            </w:r>
          </w:p>
        </w:tc>
        <w:tc>
          <w:tcPr/>
          <w:p>
            <w:pPr>
              <w:pStyle w:val="Compact"/>
              <w:jc w:val="right"/>
            </w:pPr>
            <w:r>
              <w:t xml:space="preserve">650–850</w:t>
            </w:r>
          </w:p>
        </w:tc>
      </w:tr>
      <w:tr>
        <w:tc>
          <w:tcPr/>
          <w:p>
            <w:pPr>
              <w:pStyle w:val="Compact"/>
              <w:jc w:val="left"/>
            </w:pPr>
            <w:r>
              <w:t xml:space="preserve">Abstract, figure captions, table captions</w:t>
            </w:r>
          </w:p>
        </w:tc>
        <w:tc>
          <w:tcPr/>
          <w:p>
            <w:pPr>
              <w:pStyle w:val="Compact"/>
              <w:jc w:val="right"/>
            </w:pPr>
            <w:r>
              <w:t xml:space="preserve">350–500</w:t>
            </w:r>
          </w:p>
        </w:tc>
      </w:tr>
      <w:tr>
        <w:tc>
          <w:tcPr/>
          <w:p>
            <w:pPr>
              <w:pStyle w:val="Compact"/>
              <w:jc w:val="left"/>
            </w:pPr>
            <w:r>
              <w:t xml:space="preserve">References (current 67 active)</w:t>
            </w:r>
          </w:p>
        </w:tc>
        <w:tc>
          <w:tcPr/>
          <w:p>
            <w:pPr>
              <w:pStyle w:val="Compact"/>
              <w:jc w:val="right"/>
            </w:pPr>
            <w:r>
              <w:t xml:space="preserve">1,800–2,200</w:t>
            </w:r>
          </w:p>
        </w:tc>
      </w:tr>
      <w:tr>
        <w:tc>
          <w:tcPr/>
          <w:p>
            <w:pPr>
              <w:pStyle w:val="Compact"/>
              <w:jc w:val="left"/>
            </w:pPr>
            <w:r>
              <w:rPr>
                <w:bCs/>
                <w:b/>
              </w:rPr>
              <w:t xml:space="preserve">Estimated total</w:t>
            </w:r>
          </w:p>
        </w:tc>
        <w:tc>
          <w:tcPr/>
          <w:p>
            <w:pPr>
              <w:pStyle w:val="Compact"/>
              <w:jc w:val="right"/>
            </w:pPr>
            <w:r>
              <w:rPr>
                <w:bCs/>
                <w:b/>
              </w:rPr>
              <w:t xml:space="preserve">10,000–11,350</w:t>
            </w:r>
          </w:p>
        </w:tc>
      </w:tr>
    </w:tbl>
    <w:p>
      <w:pPr>
        <w:pStyle w:val="BodyText"/>
      </w:pPr>
      <w:r>
        <w:rPr>
          <w:bCs/>
          <w:b/>
        </w:rPr>
        <w:t xml:space="preserve">Control rules:</w:t>
      </w:r>
      <w:r>
        <w:t xml:space="preserve"> </w:t>
      </w:r>
      <w:r>
        <w:t xml:space="preserve">ideal total ≤10,800 words; ≥11,300 is a warning threshold requiring a cut before proceeding further; the Phase 2 draft must never exceed 11,500 words; at least 500 words of headroom must be preserved below the ceiling for references a future formal database search will add beyond the current 67 active references. All word-count statistics in this file and in</w:t>
      </w:r>
      <w:r>
        <w:t xml:space="preserve"> </w:t>
      </w:r>
      <w:r>
        <w:rPr>
          <w:rStyle w:val="VerbatimChar"/>
        </w:rPr>
        <w:t xml:space="preserve">WBE_Review_Compression_Log.md</w:t>
      </w:r>
      <w:r>
        <w:t xml:space="preserve"> </w:t>
      </w:r>
      <w:r>
        <w:t xml:space="preserve">include references. Highlights are a separate journal-required file, not counted against this budget, and are not produced this round (§15 of this round’s instruction).</w:t>
      </w:r>
    </w:p>
    <w:p>
      <w:pPr>
        <w:pStyle w:val="BodyText"/>
      </w:pPr>
      <w:r>
        <w:rPr>
          <w:bCs/>
          <w:b/>
        </w:rPr>
        <w:t xml:space="preserve">Reference-budget basis:</w:t>
      </w:r>
      <w:r>
        <w:t xml:space="preserve"> </w:t>
      </w:r>
      <w:r>
        <w:t xml:space="preserve">the current</w:t>
      </w:r>
      <w:r>
        <w:t xml:space="preserve"> </w:t>
      </w:r>
      <w:r>
        <w:rPr>
          <w:rStyle w:val="VerbatimChar"/>
        </w:rPr>
        <w:t xml:space="preserve">WBE_Review_References.md</w:t>
      </w:r>
      <w:r>
        <w:t xml:space="preserve"> </w:t>
      </w:r>
      <w:r>
        <w:t xml:space="preserve">project file runs to ~6,500 words, but that figure includes verification annotations, evidence-type notes, and</w:t>
      </w:r>
      <w:r>
        <w:t xml:space="preserve"> </w:t>
      </w:r>
      <w:r>
        <w:t xml:space="preserve">“</w:t>
      </w:r>
      <w:r>
        <w:t xml:space="preserve">pending full-text confirmation</w:t>
      </w:r>
      <w:r>
        <w:t xml:space="preserve">”</w:t>
      </w:r>
      <w:r>
        <w:t xml:space="preserve"> </w:t>
      </w:r>
      <w:r>
        <w:t xml:space="preserve">flags that do not belong in a journal reference list — a plain, standard-format citation (author list, year, title, journal, volume/pages, DOI) for this document’s 67 active references runs approximately 27-33 words each, giving the 1,800-2,200-word estimate above. This has not been mechanically re-typeset this round (the reference list itself is not part of this round’s deliverables) but is a reasonable, checkable estimate.</w:t>
      </w:r>
    </w:p>
    <w:bookmarkEnd w:id="20"/>
    <w:bookmarkStart w:id="21" w:name="prose-body-budget-8-parts"/>
    <w:p>
      <w:pPr>
        <w:pStyle w:val="Heading2"/>
      </w:pPr>
      <w:r>
        <w:t xml:space="preserve">Prose-body budget (8 parts)</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w:t>
            </w:r>
          </w:p>
        </w:tc>
        <w:tc>
          <w:tcPr/>
          <w:p>
            <w:pPr>
              <w:pStyle w:val="Compact"/>
              <w:jc w:val="left"/>
            </w:pPr>
            <w:r>
              <w:t xml:space="preserve">Part</w:t>
            </w:r>
          </w:p>
        </w:tc>
        <w:tc>
          <w:tcPr/>
          <w:p>
            <w:pPr>
              <w:pStyle w:val="Compact"/>
              <w:jc w:val="right"/>
            </w:pPr>
            <w:r>
              <w:t xml:space="preserve">Budget</w:t>
            </w:r>
          </w:p>
        </w:tc>
        <w:tc>
          <w:tcPr/>
          <w:p>
            <w:pPr>
              <w:pStyle w:val="Compact"/>
              <w:jc w:val="left"/>
            </w:pPr>
            <w:r>
              <w:t xml:space="preserve">Status this round</w:t>
            </w:r>
          </w:p>
        </w:tc>
      </w:tr>
      <w:tr>
        <w:tc>
          <w:tcPr/>
          <w:p>
            <w:pPr>
              <w:pStyle w:val="Compact"/>
              <w:jc w:val="left"/>
            </w:pPr>
            <w:r>
              <w:t xml:space="preserve">1</w:t>
            </w:r>
          </w:p>
        </w:tc>
        <w:tc>
          <w:tcPr/>
          <w:p>
            <w:pPr>
              <w:pStyle w:val="Compact"/>
              <w:jc w:val="left"/>
            </w:pPr>
            <w:r>
              <w:t xml:space="preserve">Introduction and review approach</w:t>
            </w:r>
          </w:p>
        </w:tc>
        <w:tc>
          <w:tcPr/>
          <w:p>
            <w:pPr>
              <w:pStyle w:val="Compact"/>
              <w:jc w:val="right"/>
            </w:pPr>
            <w:r>
              <w:t xml:space="preserve">800 (750–850)</w:t>
            </w:r>
          </w:p>
        </w:tc>
        <w:tc>
          <w:tcPr/>
          <w:p>
            <w:pPr>
              <w:pStyle w:val="Compact"/>
              <w:jc w:val="left"/>
            </w:pPr>
            <w:r>
              <w:rPr>
                <w:bCs/>
                <w:b/>
              </w:rPr>
              <w:t xml:space="preserve">Drafted this round</w:t>
            </w:r>
          </w:p>
        </w:tc>
      </w:tr>
      <w:tr>
        <w:tc>
          <w:tcPr/>
          <w:p>
            <w:pPr>
              <w:pStyle w:val="Compact"/>
              <w:jc w:val="left"/>
            </w:pPr>
            <w:r>
              <w:t xml:space="preserve">2</w:t>
            </w:r>
          </w:p>
        </w:tc>
        <w:tc>
          <w:tcPr/>
          <w:p>
            <w:pPr>
              <w:pStyle w:val="Compact"/>
              <w:jc w:val="left"/>
            </w:pPr>
            <w:r>
              <w:t xml:space="preserve">From population states to wastewater signals</w:t>
            </w:r>
          </w:p>
        </w:tc>
        <w:tc>
          <w:tcPr/>
          <w:p>
            <w:pPr>
              <w:pStyle w:val="Compact"/>
              <w:jc w:val="right"/>
            </w:pPr>
            <w:r>
              <w:t xml:space="preserve">900 (850–950)</w:t>
            </w:r>
          </w:p>
        </w:tc>
        <w:tc>
          <w:tcPr/>
          <w:p>
            <w:pPr>
              <w:pStyle w:val="Compact"/>
              <w:jc w:val="left"/>
            </w:pPr>
            <w:r>
              <w:rPr>
                <w:bCs/>
                <w:b/>
              </w:rPr>
              <w:t xml:space="preserve">Drafted this round</w:t>
            </w:r>
          </w:p>
        </w:tc>
      </w:tr>
      <w:tr>
        <w:tc>
          <w:tcPr/>
          <w:p>
            <w:pPr>
              <w:pStyle w:val="Compact"/>
              <w:jc w:val="left"/>
            </w:pPr>
            <w:r>
              <w:t xml:space="preserve">3</w:t>
            </w:r>
          </w:p>
        </w:tc>
        <w:tc>
          <w:tcPr/>
          <w:p>
            <w:pPr>
              <w:pStyle w:val="Compact"/>
              <w:jc w:val="left"/>
            </w:pPr>
            <w:r>
              <w:t xml:space="preserve">Sewers as information filters</w:t>
            </w:r>
          </w:p>
        </w:tc>
        <w:tc>
          <w:tcPr/>
          <w:p>
            <w:pPr>
              <w:pStyle w:val="Compact"/>
              <w:jc w:val="right"/>
            </w:pPr>
            <w:r>
              <w:t xml:space="preserve">1,275 (1,200–1,350)</w:t>
            </w:r>
          </w:p>
        </w:tc>
        <w:tc>
          <w:tcPr/>
          <w:p>
            <w:pPr>
              <w:pStyle w:val="Compact"/>
              <w:jc w:val="left"/>
            </w:pPr>
            <w:r>
              <w:rPr>
                <w:bCs/>
                <w:b/>
              </w:rPr>
              <w:t xml:space="preserve">Drafted this round</w:t>
            </w:r>
          </w:p>
        </w:tc>
      </w:tr>
      <w:tr>
        <w:tc>
          <w:tcPr/>
          <w:p>
            <w:pPr>
              <w:pStyle w:val="Compact"/>
              <w:jc w:val="left"/>
            </w:pPr>
            <w:r>
              <w:t xml:space="preserve">4</w:t>
            </w:r>
          </w:p>
        </w:tc>
        <w:tc>
          <w:tcPr/>
          <w:p>
            <w:pPr>
              <w:pStyle w:val="Compact"/>
              <w:jc w:val="left"/>
            </w:pPr>
            <w:r>
              <w:t xml:space="preserve">Observation and normalization</w:t>
            </w:r>
          </w:p>
        </w:tc>
        <w:tc>
          <w:tcPr/>
          <w:p>
            <w:pPr>
              <w:pStyle w:val="Compact"/>
              <w:jc w:val="right"/>
            </w:pPr>
            <w:r>
              <w:t xml:space="preserve">1,175 (1,100–1,250)</w:t>
            </w:r>
          </w:p>
        </w:tc>
        <w:tc>
          <w:tcPr/>
          <w:p>
            <w:pPr>
              <w:pStyle w:val="Compact"/>
              <w:jc w:val="left"/>
            </w:pPr>
            <w:r>
              <w:rPr>
                <w:bCs/>
                <w:b/>
              </w:rPr>
              <w:t xml:space="preserve">Drafted this round</w:t>
            </w:r>
          </w:p>
        </w:tc>
      </w:tr>
      <w:tr>
        <w:tc>
          <w:tcPr/>
          <w:p>
            <w:pPr>
              <w:pStyle w:val="Compact"/>
              <w:jc w:val="left"/>
            </w:pPr>
            <w:r>
              <w:t xml:space="preserve">5</w:t>
            </w:r>
          </w:p>
        </w:tc>
        <w:tc>
          <w:tcPr/>
          <w:p>
            <w:pPr>
              <w:pStyle w:val="Compact"/>
              <w:jc w:val="left"/>
            </w:pPr>
            <w:r>
              <w:t xml:space="preserve">Reconstruction, identifiability and uncertainty</w:t>
            </w:r>
          </w:p>
        </w:tc>
        <w:tc>
          <w:tcPr/>
          <w:p>
            <w:pPr>
              <w:pStyle w:val="Compact"/>
              <w:jc w:val="right"/>
            </w:pPr>
            <w:r>
              <w:t xml:space="preserve">1,300</w:t>
            </w:r>
            <w:r>
              <w:t xml:space="preserve"> </w:t>
            </w:r>
            <w:r>
              <w:rPr>
                <w:iCs/>
                <w:i/>
              </w:rPr>
              <w:t xml:space="preserve">(tentative)</w:t>
            </w:r>
          </w:p>
        </w:tc>
        <w:tc>
          <w:tcPr/>
          <w:p>
            <w:pPr>
              <w:pStyle w:val="Compact"/>
              <w:jc w:val="left"/>
            </w:pPr>
            <w:r>
              <w:t xml:space="preserve">Title + placeholder only</w:t>
            </w:r>
          </w:p>
        </w:tc>
      </w:tr>
      <w:tr>
        <w:tc>
          <w:tcPr/>
          <w:p>
            <w:pPr>
              <w:pStyle w:val="Compact"/>
              <w:jc w:val="left"/>
            </w:pPr>
            <w:r>
              <w:t xml:space="preserve">6</w:t>
            </w:r>
          </w:p>
        </w:tc>
        <w:tc>
          <w:tcPr/>
          <w:p>
            <w:pPr>
              <w:pStyle w:val="Compact"/>
              <w:jc w:val="left"/>
            </w:pPr>
            <w:r>
              <w:t xml:space="preserve">From wastewater signals to public-health action</w:t>
            </w:r>
          </w:p>
        </w:tc>
        <w:tc>
          <w:tcPr/>
          <w:p>
            <w:pPr>
              <w:pStyle w:val="Compact"/>
              <w:jc w:val="right"/>
            </w:pPr>
            <w:r>
              <w:t xml:space="preserve">750</w:t>
            </w:r>
            <w:r>
              <w:t xml:space="preserve"> </w:t>
            </w:r>
            <w:r>
              <w:rPr>
                <w:iCs/>
                <w:i/>
              </w:rPr>
              <w:t xml:space="preserve">(tentative)</w:t>
            </w:r>
          </w:p>
        </w:tc>
        <w:tc>
          <w:tcPr/>
          <w:p>
            <w:pPr>
              <w:pStyle w:val="Compact"/>
              <w:jc w:val="left"/>
            </w:pPr>
            <w:r>
              <w:t xml:space="preserve">Title + placeholder only</w:t>
            </w:r>
          </w:p>
        </w:tc>
      </w:tr>
      <w:tr>
        <w:tc>
          <w:tcPr/>
          <w:p>
            <w:pPr>
              <w:pStyle w:val="Compact"/>
              <w:jc w:val="left"/>
            </w:pPr>
            <w:r>
              <w:t xml:space="preserve">7</w:t>
            </w:r>
          </w:p>
        </w:tc>
        <w:tc>
          <w:tcPr/>
          <w:p>
            <w:pPr>
              <w:pStyle w:val="Compact"/>
              <w:jc w:val="left"/>
            </w:pPr>
            <w:r>
              <w:t xml:space="preserve">Enabling infrastructure and technology readiness</w:t>
            </w:r>
          </w:p>
        </w:tc>
        <w:tc>
          <w:tcPr/>
          <w:p>
            <w:pPr>
              <w:pStyle w:val="Compact"/>
              <w:jc w:val="right"/>
            </w:pPr>
            <w:r>
              <w:t xml:space="preserve">600</w:t>
            </w:r>
            <w:r>
              <w:t xml:space="preserve"> </w:t>
            </w:r>
            <w:r>
              <w:rPr>
                <w:iCs/>
                <w:i/>
              </w:rPr>
              <w:t xml:space="preserve">(tentative)</w:t>
            </w:r>
          </w:p>
        </w:tc>
        <w:tc>
          <w:tcPr/>
          <w:p>
            <w:pPr>
              <w:pStyle w:val="Compact"/>
              <w:jc w:val="left"/>
            </w:pPr>
            <w:r>
              <w:t xml:space="preserve">Title + placeholder only</w:t>
            </w:r>
          </w:p>
        </w:tc>
      </w:tr>
      <w:tr>
        <w:tc>
          <w:tcPr/>
          <w:p>
            <w:pPr>
              <w:pStyle w:val="Compact"/>
              <w:jc w:val="left"/>
            </w:pPr>
            <w:r>
              <w:t xml:space="preserve">8</w:t>
            </w:r>
          </w:p>
        </w:tc>
        <w:tc>
          <w:tcPr/>
          <w:p>
            <w:pPr>
              <w:pStyle w:val="Compact"/>
              <w:jc w:val="left"/>
            </w:pPr>
            <w:r>
              <w:t xml:space="preserve">Research priorities and conclusions</w:t>
            </w:r>
          </w:p>
        </w:tc>
        <w:tc>
          <w:tcPr/>
          <w:p>
            <w:pPr>
              <w:pStyle w:val="Compact"/>
              <w:jc w:val="right"/>
            </w:pPr>
            <w:r>
              <w:t xml:space="preserve">700</w:t>
            </w:r>
            <w:r>
              <w:t xml:space="preserve"> </w:t>
            </w:r>
            <w:r>
              <w:rPr>
                <w:iCs/>
                <w:i/>
              </w:rPr>
              <w:t xml:space="preserve">(unchanged)</w:t>
            </w:r>
          </w:p>
        </w:tc>
        <w:tc>
          <w:tcPr/>
          <w:p>
            <w:pPr>
              <w:pStyle w:val="Compact"/>
              <w:jc w:val="left"/>
            </w:pPr>
            <w:r>
              <w:t xml:space="preserve">Title + placeholder only</w:t>
            </w:r>
          </w:p>
        </w:tc>
      </w:tr>
      <w:tr>
        <w:tc>
          <w:tcPr/>
          <w:p>
            <w:pPr>
              <w:pStyle w:val="Compact"/>
              <w:jc w:val="left"/>
            </w:pPr>
            <w:r>
              <w:rPr>
                <w:bCs/>
                <w:b/>
              </w:rPr>
              <w:t xml:space="preserve">Prose-body total</w:t>
            </w:r>
          </w:p>
        </w:tc>
        <w:tc>
          <w:tcPr/>
          <w:p>
            <w:pPr>
              <w:pStyle w:val="Compact"/>
            </w:pPr>
          </w:p>
        </w:tc>
        <w:tc>
          <w:tcPr/>
          <w:p>
            <w:pPr>
              <w:pStyle w:val="Compact"/>
              <w:jc w:val="right"/>
            </w:pPr>
            <w:r>
              <w:rPr>
                <w:bCs/>
                <w:b/>
              </w:rPr>
              <w:t xml:space="preserve">7,500</w:t>
            </w:r>
          </w:p>
        </w:tc>
        <w:tc>
          <w:tcPr/>
          <w:p>
            <w:pPr>
              <w:pStyle w:val="Compact"/>
            </w:pPr>
          </w:p>
        </w:tc>
      </w:tr>
    </w:tbl>
    <w:p>
      <w:pPr>
        <w:pStyle w:val="BodyText"/>
      </w:pPr>
      <w:r>
        <w:rPr>
          <w:bCs/>
          <w:b/>
        </w:rPr>
        <w:t xml:space="preserve">Parts 5-8 budgets are tentative</w:t>
      </w:r>
      <w:r>
        <w:t xml:space="preserve">, scaled down proportionally from their Phase 1 values so the 8-part sum lands on the new 7,500-word midpoint; they are not confirmed and should be revisited explicitly in Phase 2B once Parts 1-4’s actual drafted density is known (Parts 1-4 came in close to, but not always exactly at, their targets — see</w:t>
      </w:r>
      <w:r>
        <w:t xml:space="preserve"> </w:t>
      </w:r>
      <w:r>
        <w:rPr>
          <w:rStyle w:val="VerbatimChar"/>
        </w:rPr>
        <w:t xml:space="preserve">WBE_Review_Compression_Log.md</w:t>
      </w:r>
      <w:r>
        <w:t xml:space="preserve"> </w:t>
      </w:r>
      <w:r>
        <w:t xml:space="preserve">for the real numbers). Part 8’s 700-word budget is unchanged from Phase 1 and remains bound by its own explicit caps (research priorities: 5-7 items; conclusions: 300-400 words), independent of proportional scaling.</w:t>
      </w:r>
    </w:p>
    <w:bookmarkEnd w:id="21"/>
    <w:bookmarkStart w:id="22" w:name="non-body-budget-costed-independently"/>
    <w:p>
      <w:pPr>
        <w:pStyle w:val="Heading2"/>
      </w:pPr>
      <w:r>
        <w:t xml:space="preserve">Non-body budget (costed independently)</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Element</w:t>
            </w:r>
          </w:p>
        </w:tc>
        <w:tc>
          <w:tcPr/>
          <w:p>
            <w:pPr>
              <w:pStyle w:val="Compact"/>
              <w:jc w:val="right"/>
            </w:pPr>
            <w:r>
              <w:t xml:space="preserve">Budget</w:t>
            </w:r>
          </w:p>
        </w:tc>
        <w:tc>
          <w:tcPr/>
          <w:p>
            <w:pPr>
              <w:pStyle w:val="Compact"/>
              <w:jc w:val="left"/>
            </w:pPr>
            <w:r>
              <w:t xml:space="preserve">Basis</w:t>
            </w:r>
          </w:p>
        </w:tc>
      </w:tr>
      <w:tr>
        <w:tc>
          <w:tcPr/>
          <w:p>
            <w:pPr>
              <w:pStyle w:val="Compact"/>
              <w:jc w:val="left"/>
            </w:pPr>
            <w:r>
              <w:t xml:space="preserve">Tables (4 in-text: see the Table 6 disposition below for how the former Table 6 is handled)</w:t>
            </w:r>
          </w:p>
        </w:tc>
        <w:tc>
          <w:tcPr/>
          <w:p>
            <w:pPr>
              <w:pStyle w:val="Compact"/>
              <w:jc w:val="right"/>
            </w:pPr>
            <w:r>
              <w:t xml:space="preserve">650–850 words (~160-210 each)</w:t>
            </w:r>
          </w:p>
        </w:tc>
        <w:tc>
          <w:tcPr/>
          <w:p>
            <w:pPr>
              <w:pStyle w:val="Compact"/>
              <w:jc w:val="left"/>
            </w:pPr>
            <w:r>
              <w:t xml:space="preserve">Narrower per-table budget than Phase 1’s estimate, reflecting this round’s explicit instruction to keep in-text tables lean and move detailed evidence to SI tables instead.</w:t>
            </w:r>
          </w:p>
        </w:tc>
      </w:tr>
      <w:tr>
        <w:tc>
          <w:tcPr/>
          <w:p>
            <w:pPr>
              <w:pStyle w:val="Compact"/>
              <w:jc w:val="left"/>
            </w:pPr>
            <w:r>
              <w:t xml:space="preserve">Figures (4, captions only — images are not word-counted)</w:t>
            </w:r>
          </w:p>
        </w:tc>
        <w:tc>
          <w:tcPr/>
          <w:p>
            <w:pPr>
              <w:pStyle w:val="Compact"/>
              <w:jc w:val="right"/>
            </w:pPr>
            <w:r>
              <w:t xml:space="preserve">~200 words (~50/caption)</w:t>
            </w:r>
          </w:p>
        </w:tc>
        <w:tc>
          <w:tcPr/>
          <w:p>
            <w:pPr>
              <w:pStyle w:val="Compact"/>
              <w:jc w:val="left"/>
            </w:pPr>
            <w:r>
              <w:t xml:space="preserve">Unchanged from Phase 1.</w:t>
            </w:r>
          </w:p>
        </w:tc>
      </w:tr>
      <w:tr>
        <w:tc>
          <w:tcPr/>
          <w:p>
            <w:pPr>
              <w:pStyle w:val="Compact"/>
              <w:jc w:val="left"/>
            </w:pPr>
            <w:r>
              <w:t xml:space="preserve">References (current 67 active, plain citation format)</w:t>
            </w:r>
          </w:p>
        </w:tc>
        <w:tc>
          <w:tcPr/>
          <w:p>
            <w:pPr>
              <w:pStyle w:val="Compact"/>
              <w:jc w:val="right"/>
            </w:pPr>
            <w:r>
              <w:t xml:space="preserve">1,800–2,200 words</w:t>
            </w:r>
          </w:p>
        </w:tc>
        <w:tc>
          <w:tcPr/>
          <w:p>
            <w:pPr>
              <w:pStyle w:val="Compact"/>
              <w:jc w:val="left"/>
            </w:pPr>
            <w:r>
              <w:t xml:space="preserve">See reference-budget basis above — this is the corrected figure that Phase 1 omitted from the length total.</w:t>
            </w:r>
          </w:p>
        </w:tc>
      </w:tr>
      <w:tr>
        <w:tc>
          <w:tcPr/>
          <w:p>
            <w:pPr>
              <w:pStyle w:val="Compact"/>
              <w:jc w:val="left"/>
            </w:pPr>
            <w:r>
              <w:t xml:space="preserve">Abstract</w:t>
            </w:r>
          </w:p>
        </w:tc>
        <w:tc>
          <w:tcPr/>
          <w:p>
            <w:pPr>
              <w:pStyle w:val="Compact"/>
              <w:jc w:val="right"/>
            </w:pPr>
            <w:r>
              <w:t xml:space="preserve">200–250 words</w:t>
            </w:r>
          </w:p>
        </w:tc>
        <w:tc>
          <w:tcPr/>
          <w:p>
            <w:pPr>
              <w:pStyle w:val="Compact"/>
              <w:jc w:val="left"/>
            </w:pPr>
            <w:r>
              <w:t xml:space="preserve">Water Research’s stated abstract limit;</w:t>
            </w:r>
            <w:r>
              <w:t xml:space="preserve"> </w:t>
            </w:r>
            <w:r>
              <w:rPr>
                <w:bCs/>
                <w:b/>
              </w:rPr>
              <w:t xml:space="preserve">placeholder only this round, not drafted</w:t>
            </w:r>
            <w:r>
              <w:t xml:space="preserve"> </w:t>
            </w:r>
            <w:r>
              <w:t xml:space="preserve">(§15 of this round’s instruction).</w:t>
            </w:r>
          </w:p>
        </w:tc>
      </w:tr>
      <w:tr>
        <w:tc>
          <w:tcPr/>
          <w:p>
            <w:pPr>
              <w:pStyle w:val="Compact"/>
              <w:jc w:val="left"/>
            </w:pPr>
            <w:r>
              <w:t xml:space="preserve">Highlights</w:t>
            </w:r>
          </w:p>
        </w:tc>
        <w:tc>
          <w:tcPr/>
          <w:p>
            <w:pPr>
              <w:pStyle w:val="Compact"/>
              <w:jc w:val="right"/>
            </w:pPr>
            <w:r>
              <w:t xml:space="preserve">3–5 bullet points, ≤85 characters each</w:t>
            </w:r>
          </w:p>
        </w:tc>
        <w:tc>
          <w:tcPr/>
          <w:p>
            <w:pPr>
              <w:pStyle w:val="Compact"/>
              <w:jc w:val="left"/>
            </w:pPr>
            <w:r>
              <w:t xml:space="preserve">Separate file, not counted against body/table/reference budget;</w:t>
            </w:r>
            <w:r>
              <w:t xml:space="preserve"> </w:t>
            </w:r>
            <w:r>
              <w:rPr>
                <w:bCs/>
                <w:b/>
              </w:rPr>
              <w:t xml:space="preserve">not produced this round</w:t>
            </w:r>
            <w:r>
              <w:t xml:space="preserve">.</w:t>
            </w:r>
          </w:p>
        </w:tc>
      </w:tr>
      <w:tr>
        <w:tc>
          <w:tcPr/>
          <w:p>
            <w:pPr>
              <w:pStyle w:val="Compact"/>
              <w:jc w:val="left"/>
            </w:pPr>
            <w:r>
              <w:t xml:space="preserve">Graphical abstract</w:t>
            </w:r>
          </w:p>
        </w:tc>
        <w:tc>
          <w:tcPr/>
          <w:p>
            <w:pPr>
              <w:pStyle w:val="Compact"/>
              <w:jc w:val="right"/>
            </w:pPr>
            <w:r>
              <w:t xml:space="preserve">1 image, ~20-word caption</w:t>
            </w:r>
          </w:p>
        </w:tc>
        <w:tc>
          <w:tcPr/>
          <w:p>
            <w:pPr>
              <w:pStyle w:val="Compact"/>
              <w:jc w:val="left"/>
            </w:pPr>
            <w:r>
              <w:rPr>
                <w:bCs/>
                <w:b/>
              </w:rPr>
              <w:t xml:space="preserve">Not produced this round</w:t>
            </w:r>
            <w:r>
              <w:t xml:space="preserve">.</w:t>
            </w:r>
          </w:p>
        </w:tc>
      </w:tr>
    </w:tbl>
    <w:p>
      <w:pPr>
        <w:pStyle w:val="BodyText"/>
      </w:pPr>
      <w:r>
        <w:rPr>
          <w:bCs/>
          <w:b/>
        </w:rPr>
        <w:t xml:space="preserve">Estimated full submission length: 7,500 (body midpoint) + 750 (tables midpoint) + 425 (abstract/captions midpoint) + 2,000 (references midpoint) ≈ 10,675 words</w:t>
      </w:r>
      <w:r>
        <w:t xml:space="preserve"> </w:t>
      </w:r>
      <w:r>
        <w:t xml:space="preserve">— within the 10,000-11,350 target range and below the 10,800-word ideal ceiling, leaving roughly 825 words of headroom below the 11,500-word hard maximum, comfortably above the 500-word reserve this round’s instruction requires for references a future formal search will add.</w:t>
      </w:r>
    </w:p>
    <w:p>
      <w:r>
        <w:pict>
          <v:rect style="width:0;height:1.5pt" o:hralign="center" o:hrstd="t" o:hr="t"/>
        </w:pict>
      </w:r>
    </w:p>
    <w:bookmarkEnd w:id="22"/>
    <w:bookmarkStart w:id="23" w:name="Xc175c99fb7f4a5c85a455ec75bde6b5e0bf707c"/>
    <w:p>
      <w:pPr>
        <w:pStyle w:val="Heading2"/>
      </w:pPr>
      <w:r>
        <w:t xml:space="preserve">Part 1. Introduction and review approach (target 800; drafted this round — see</w:t>
      </w:r>
      <w:r>
        <w:t xml:space="preserve"> </w:t>
      </w:r>
      <w:r>
        <w:rPr>
          <w:rStyle w:val="VerbatimChar"/>
        </w:rPr>
        <w:t xml:space="preserve">WBE_Review_WR_Condensed_Draft.md</w:t>
      </w:r>
      <w:r>
        <w:t xml:space="preserve">)</w:t>
      </w:r>
    </w:p>
    <w:p>
      <w:pPr>
        <w:pStyle w:val="FirstParagraph"/>
      </w:pPr>
      <w:r>
        <w:rPr>
          <w:bCs/>
          <w:b/>
        </w:rPr>
        <w:t xml:space="preserve">Final structure (per this round’s explicit instruction, superseding Phase 1’s 1.1/1.2 split):</w:t>
      </w:r>
      <w:r>
        <w:t xml:space="preserve"> </w:t>
      </w:r>
      <w:r>
        <w:t xml:space="preserve">-</w:t>
      </w:r>
      <w:r>
        <w:t xml:space="preserve"> </w:t>
      </w:r>
      <w:r>
        <w:rPr>
          <w:bCs/>
          <w:b/>
        </w:rPr>
        <w:t xml:space="preserve">1.1 The measurement-inference gap</w:t>
      </w:r>
      <w:r>
        <w:t xml:space="preserve"> </w:t>
      </w:r>
      <w:r>
        <w:t xml:space="preserve">— WBE does not observe the target population state directly; concentration/load is the output of multiple superimposed processes; this review reframes WBE as an inverse problem.</w:t>
      </w:r>
      <w:r>
        <w:t xml:space="preserve"> </w:t>
      </w:r>
      <w:r>
        <w:t xml:space="preserve">-</w:t>
      </w:r>
      <w:r>
        <w:t xml:space="preserve"> </w:t>
      </w:r>
      <w:r>
        <w:rPr>
          <w:bCs/>
          <w:b/>
        </w:rPr>
        <w:t xml:space="preserve">1.2 Scope and critical-review approach</w:t>
      </w:r>
      <w:r>
        <w:t xml:space="preserve"> </w:t>
      </w:r>
      <w:r>
        <w:t xml:space="preserve">— review scope, evidence-identification approach, process-based synthesis, stated briefly; the full systematic-search/full-text-verification status is pointed at the internal evidence-audit files rather than restated in prose (per this round’s explicit instruction not to repeat</w:t>
      </w:r>
      <w:r>
        <w:t xml:space="preserve"> </w:t>
      </w:r>
      <w:r>
        <w:t xml:space="preserve">“</w:t>
      </w:r>
      <w:r>
        <w:t xml:space="preserve">pending full-text verification</w:t>
      </w:r>
      <w:r>
        <w:t xml:space="preserve">”</w:t>
      </w:r>
      <w:r>
        <w:t xml:space="preserve"> </w:t>
      </w:r>
      <w:r>
        <w:t xml:space="preserve">through the body text).</w:t>
      </w:r>
      <w:r>
        <w:t xml:space="preserve"> </w:t>
      </w:r>
      <w:r>
        <w:t xml:space="preserve">-</w:t>
      </w:r>
      <w:r>
        <w:t xml:space="preserve"> </w:t>
      </w:r>
      <w:r>
        <w:rPr>
          <w:bCs/>
          <w:b/>
        </w:rPr>
        <w:t xml:space="preserve">1.3 Conceptual contributions</w:t>
      </w:r>
      <w:r>
        <w:t xml:space="preserve"> </w:t>
      </w:r>
      <w:r>
        <w:t xml:space="preserve">— the four original contributions stated together as this review’s thesis: (1) WBE as an inverse problem; (2) amplitude-temporal-spatial distortion; (3) normalization as mechanism-specific causal correction; (4) identifiability- and uncertainty-aware reconstruction from detection to decision.</w:t>
      </w:r>
      <w:r>
        <w:t xml:space="preserve"> </w:t>
      </w:r>
      <w:r>
        <w:t xml:space="preserve">-</w:t>
      </w:r>
      <w:r>
        <w:t xml:space="preserve"> </w:t>
      </w:r>
      <w:r>
        <w:rPr>
          <w:bCs/>
          <w:b/>
        </w:rPr>
        <w:t xml:space="preserve">Removed this round, per explicit instruction:</w:t>
      </w:r>
      <w:r>
        <w:t xml:space="preserve"> </w:t>
      </w:r>
      <w:r>
        <w:t xml:space="preserve">the developmental-history narrative, the multi-disease/multi-target application list, the chapter-by-chapter roadmap restatement, structural-bridge-style prose, and the repeated</w:t>
      </w:r>
      <w:r>
        <w:t xml:space="preserve"> </w:t>
      </w:r>
      <w:r>
        <w:t xml:space="preserve">“</w:t>
      </w:r>
      <w:r>
        <w:t xml:space="preserve">conceptual scaffold</w:t>
      </w:r>
      <w:r>
        <w:t xml:space="preserve">”</w:t>
      </w:r>
      <w:r>
        <w:t xml:space="preserve"> </w:t>
      </w:r>
      <w:r>
        <w:t xml:space="preserve">disclaimer (now stated once, in Part 2).</w:t>
      </w:r>
      <w:r>
        <w:t xml:space="preserve"> </w:t>
      </w:r>
      <w:r>
        <w:t xml:space="preserve">-</w:t>
      </w:r>
      <w:r>
        <w:t xml:space="preserve"> </w:t>
      </w:r>
      <w:r>
        <w:rPr>
          <w:bCs/>
          <w:b/>
        </w:rPr>
        <w:t xml:space="preserve">Evidence needing full-text verification:</w:t>
      </w:r>
      <w:r>
        <w:t xml:space="preserve"> </w:t>
      </w:r>
      <w:r>
        <w:t xml:space="preserve">institutional figures (EU dashboard, China’s national system) — carried as a single evidence-status pointer, not restated per-claim.</w:t>
      </w:r>
    </w:p>
    <w:p>
      <w:r>
        <w:pict>
          <v:rect style="width:0;height:1.5pt" o:hralign="center" o:hrstd="t" o:hr="t"/>
        </w:pict>
      </w:r>
    </w:p>
    <w:bookmarkEnd w:id="23"/>
    <w:bookmarkStart w:id="24" w:name="X715157946df8960aa4fd79e43ef4ea4f15eabef"/>
    <w:p>
      <w:pPr>
        <w:pStyle w:val="Heading2"/>
      </w:pPr>
      <w:r>
        <w:t xml:space="preserve">Part 2. From population states to wastewater signals (target 900; drafted this round)</w:t>
      </w:r>
    </w:p>
    <w:p>
      <w:pPr>
        <w:pStyle w:val="FirstParagraph"/>
      </w:pPr>
      <w:r>
        <w:rPr>
          <w:bCs/>
          <w:b/>
        </w:rPr>
        <w:t xml:space="preserve">Final structure (per this round’s explicit instruction — a single continuous argument, not further subdivided into named subsections):</w:t>
      </w:r>
      <w:r>
        <w:t xml:space="preserve"> </w:t>
      </w:r>
      <w:r>
        <w:t xml:space="preserve">infection/consumption/exposure states; metabolism and excretion; inter-individual variability; shedding/excretion distributions; dynamic contributing population; building drainage; non-human sources; the source-state-vs-sewer-entry-load distinction. The formal</w:t>
      </w:r>
      <w:r>
        <w:t xml:space="preserve"> </w:t>
      </w:r>
      <m:oMath>
        <m:r>
          <m:t>Y</m:t>
        </m:r>
        <m:d>
          <m:dPr>
            <m:begChr m:val="("/>
            <m:endChr m:val=")"/>
            <m:sepChr m:val=""/>
            <m:grow/>
          </m:dPr>
          <m:e>
            <m:r>
              <m:t>t</m:t>
            </m:r>
          </m:e>
        </m:d>
        <m:r>
          <m:rPr>
            <m:sty m:val="p"/>
          </m:rPr>
          <m:t>≈</m:t>
        </m:r>
        <m:r>
          <m:t>A</m:t>
        </m:r>
        <m:d>
          <m:dPr>
            <m:begChr m:val="("/>
            <m:endChr m:val=")"/>
            <m:sepChr m:val=""/>
            <m:grow/>
          </m:dPr>
          <m:e>
            <m:r>
              <m:t>t</m:t>
            </m:r>
          </m:e>
        </m:d>
        <m:d>
          <m:dPr>
            <m:begChr m:val="["/>
            <m:endChr m:val="]"/>
            <m:sepChr m:val=""/>
            <m:grow/>
          </m:dPr>
          <m:e>
            <m:r>
              <m:t>K</m:t>
            </m:r>
            <m:d>
              <m:dPr>
                <m:begChr m:val="("/>
                <m:endChr m:val=")"/>
                <m:sepChr m:val=""/>
                <m:grow/>
              </m:dPr>
              <m:e>
                <m:r>
                  <m:t>t</m:t>
                </m:r>
                <m:r>
                  <m:rPr>
                    <m:sty m:val="p"/>
                  </m:rPr>
                  <m:t>,</m:t>
                </m:r>
                <m:r>
                  <m:t>τ</m:t>
                </m:r>
              </m:e>
            </m:d>
            <m:r>
              <m:rPr>
                <m:sty m:val="p"/>
              </m:rPr>
              <m:t>*</m:t>
            </m:r>
            <m:r>
              <m:t>X</m:t>
            </m:r>
            <m:d>
              <m:dPr>
                <m:begChr m:val="("/>
                <m:endChr m:val=")"/>
                <m:sepChr m:val=""/>
                <m:grow/>
              </m:dPr>
              <m:e>
                <m:r>
                  <m:t>τ</m:t>
                </m:r>
              </m:e>
            </m:d>
          </m:e>
        </m:d>
        <m:r>
          <m:rPr>
            <m:sty m:val="p"/>
          </m:rPr>
          <m:t>+</m:t>
        </m:r>
        <m:r>
          <m:t>ε</m:t>
        </m:r>
        <m:d>
          <m:dPr>
            <m:begChr m:val="("/>
            <m:endChr m:val=")"/>
            <m:sepChr m:val=""/>
            <m:grow/>
          </m:dPr>
          <m:e>
            <m:r>
              <m:t>t</m:t>
            </m:r>
          </m:e>
        </m:d>
      </m:oMath>
      <w:r>
        <w:t xml:space="preserve"> </w:t>
      </w:r>
      <w:r>
        <w:t xml:space="preserve">statement and the amplitude/temporal/spatial taxonomy (Original Contribution #2, stated in full here — its canonical, single location in the condensed draft) anchor this part.</w:t>
      </w:r>
    </w:p>
    <w:p>
      <w:pPr>
        <w:pStyle w:val="BodyText"/>
      </w:pPr>
      <w:r>
        <w:rPr>
          <w:bCs/>
          <w:b/>
        </w:rPr>
        <w:t xml:space="preserve">Removed this round, per explicit instruction:</w:t>
      </w:r>
      <w:r>
        <w:t xml:space="preserve"> </w:t>
      </w:r>
      <w:r>
        <w:t xml:space="preserve">per-biomarker listing, repeated mass-balance explanation, any anticipation of sewer-transport decay or back-calculation content (reserved for Parts 3 and 5), excess textbook background.</w:t>
      </w:r>
    </w:p>
    <w:p>
      <w:pPr>
        <w:pStyle w:val="BodyText"/>
      </w:pPr>
      <w:r>
        <w:rPr>
          <w:bCs/>
          <w:b/>
        </w:rPr>
        <w:t xml:space="preserve">Evidence needing full-text verification:</w:t>
      </w:r>
      <w:r>
        <w:t xml:space="preserve"> </w:t>
      </w:r>
      <w:r>
        <w:t xml:space="preserve">Miura, Kitajima &amp; Omori (2021) shedding-duration figures (flagged internally inconsistent); Boogaerts et al. (2024) pharmacokinetic correction-factor claims.</w:t>
      </w:r>
    </w:p>
    <w:p>
      <w:r>
        <w:pict>
          <v:rect style="width:0;height:1.5pt" o:hralign="center" o:hrstd="t" o:hr="t"/>
        </w:pict>
      </w:r>
    </w:p>
    <w:bookmarkEnd w:id="24"/>
    <w:bookmarkStart w:id="25" w:name="X8c797f46d113ad80f4220a2475dd1cb846231ae"/>
    <w:p>
      <w:pPr>
        <w:pStyle w:val="Heading2"/>
      </w:pPr>
      <w:r>
        <w:t xml:space="preserve">Part 3. Sewers as information filters (target 1,275; drafted this round)</w:t>
      </w:r>
    </w:p>
    <w:p>
      <w:pPr>
        <w:pStyle w:val="FirstParagraph"/>
      </w:pPr>
      <w:r>
        <w:rPr>
          <w:bCs/>
          <w:b/>
        </w:rPr>
        <w:t xml:space="preserve">Final structure (per this round’s explicit 5-subsection instruction, replacing Phase 1’s 3-subsection version):</w:t>
      </w:r>
      <w:r>
        <w:t xml:space="preserve"> </w:t>
      </w:r>
      <w:r>
        <w:t xml:space="preserve">-</w:t>
      </w:r>
      <w:r>
        <w:t xml:space="preserve"> </w:t>
      </w:r>
      <w:r>
        <w:rPr>
          <w:bCs/>
          <w:b/>
        </w:rPr>
        <w:t xml:space="preserve">3.1 Hydraulic transport and residence-time distributions</w:t>
      </w:r>
      <w:r>
        <w:t xml:space="preserve"> </w:t>
      </w:r>
      <w:r>
        <w:t xml:space="preserve">-</w:t>
      </w:r>
      <w:r>
        <w:t xml:space="preserve"> </w:t>
      </w:r>
      <w:r>
        <w:rPr>
          <w:bCs/>
          <w:b/>
        </w:rPr>
        <w:t xml:space="preserve">3.2 Transformation, partitioning and biological interactions</w:t>
      </w:r>
      <w:r>
        <w:t xml:space="preserve"> </w:t>
      </w:r>
      <w:r>
        <w:t xml:space="preserve">-</w:t>
      </w:r>
      <w:r>
        <w:t xml:space="preserve"> </w:t>
      </w:r>
      <w:r>
        <w:rPr>
          <w:bCs/>
          <w:b/>
        </w:rPr>
        <w:t xml:space="preserve">3.3 Sedimentation, resuspension and memory effects</w:t>
      </w:r>
      <w:r>
        <w:t xml:space="preserve"> </w:t>
      </w:r>
      <w:r>
        <w:t xml:space="preserve">-</w:t>
      </w:r>
      <w:r>
        <w:t xml:space="preserve"> </w:t>
      </w:r>
      <w:r>
        <w:rPr>
          <w:bCs/>
          <w:b/>
        </w:rPr>
        <w:t xml:space="preserve">3.4 Rainfall, infiltration, overflow and warm-season forcing</w:t>
      </w:r>
      <w:r>
        <w:t xml:space="preserve"> </w:t>
      </w:r>
      <w:r>
        <w:t xml:space="preserve">-</w:t>
      </w:r>
      <w:r>
        <w:t xml:space="preserve"> </w:t>
      </w:r>
      <w:r>
        <w:rPr>
          <w:bCs/>
          <w:b/>
        </w:rPr>
        <w:t xml:space="preserve">3.5 Amplitude, temporal and spatial distortion</w:t>
      </w:r>
    </w:p>
    <w:p>
      <w:pPr>
        <w:pStyle w:val="BodyText"/>
      </w:pPr>
      <w:r>
        <w:t xml:space="preserve">Organized around one core conclusion, stated once and not re-derived per subsection:</w:t>
      </w:r>
      <w:r>
        <w:t xml:space="preserve"> </w:t>
      </w:r>
      <w:r>
        <w:rPr>
          <w:bCs/>
          <w:b/>
        </w:rPr>
        <w:t xml:space="preserve">the sewer network is an active information filter, not a passive conduit.</w:t>
      </w:r>
      <w:r>
        <w:t xml:space="preserve"> </w:t>
      </w:r>
      <w:r>
        <w:t xml:space="preserve">“</w:t>
      </w:r>
      <w:r>
        <w:t xml:space="preserve">Rainfall is not merely dilution</w:t>
      </w:r>
      <w:r>
        <w:t xml:space="preserve">”</w:t>
      </w:r>
      <w:r>
        <w:t xml:space="preserve"> </w:t>
      </w:r>
      <w:r>
        <w:t xml:space="preserve">is argued fully once (3.4) and referenced, not re-argued, wherever else it matters.</w:t>
      </w:r>
    </w:p>
    <w:p>
      <w:pPr>
        <w:pStyle w:val="BodyText"/>
      </w:pPr>
      <w:r>
        <w:rPr>
          <w:bCs/>
          <w:b/>
        </w:rPr>
        <w:t xml:space="preserve">Removed this round, per explicit instruction:</w:t>
      </w:r>
      <w:r>
        <w:t xml:space="preserve"> </w:t>
      </w:r>
      <w:r>
        <w:t xml:space="preserve">the repeated process-list structure from the source draft’s §4.1-§4.2 (each process named once here, not enumerated by amplitude/temporal/spatial tag every time); the repeated temperature caveat; the repeated residence-time warning; reconstruction-model technical detail reserved for Part 5; end-of-section structural-bridge prose.</w:t>
      </w:r>
    </w:p>
    <w:p>
      <w:pPr>
        <w:pStyle w:val="BodyText"/>
      </w:pPr>
      <w:r>
        <w:rPr>
          <w:bCs/>
          <w:b/>
        </w:rPr>
        <w:t xml:space="preserve">Evidence needing full-text verification:</w:t>
      </w:r>
      <w:r>
        <w:t xml:space="preserve"> </w:t>
      </w:r>
      <w:r>
        <w:t xml:space="preserve">Zhang et al. (2023) biofilm-decay figure; Jung et al. (2026) rate-constant comparisons; Guo et al. (2023) temperature threshold; Janssens et al. (2022) rain-correction improvement magnitude.</w:t>
      </w:r>
    </w:p>
    <w:p>
      <w:r>
        <w:pict>
          <v:rect style="width:0;height:1.5pt" o:hralign="center" o:hrstd="t" o:hr="t"/>
        </w:pict>
      </w:r>
    </w:p>
    <w:bookmarkEnd w:id="25"/>
    <w:bookmarkStart w:id="26" w:name="Xfce1f1928b287d28fcd70171285ceb443f77fbb"/>
    <w:p>
      <w:pPr>
        <w:pStyle w:val="Heading2"/>
      </w:pPr>
      <w:r>
        <w:t xml:space="preserve">Part 4. Observation and normalization (target 1,175; drafted this round)</w:t>
      </w:r>
    </w:p>
    <w:p>
      <w:pPr>
        <w:pStyle w:val="FirstParagraph"/>
      </w:pPr>
      <w:r>
        <w:rPr>
          <w:bCs/>
          <w:b/>
        </w:rPr>
        <w:t xml:space="preserve">Final structure (per §5 of this round’s instruction, replacing Phase 1’s differently-scoped 4-subsection version):</w:t>
      </w:r>
      <w:r>
        <w:t xml:space="preserve"> </w:t>
      </w:r>
      <w:r>
        <w:t xml:space="preserve">-</w:t>
      </w:r>
      <w:r>
        <w:t xml:space="preserve"> </w:t>
      </w:r>
      <w:r>
        <w:rPr>
          <w:bCs/>
          <w:b/>
        </w:rPr>
        <w:t xml:space="preserve">4.1 Sampling and analytical observation</w:t>
      </w:r>
      <w:r>
        <w:t xml:space="preserve"> </w:t>
      </w:r>
      <w:r>
        <w:t xml:space="preserve">(target 250-300)</w:t>
      </w:r>
      <w:r>
        <w:t xml:space="preserve"> </w:t>
      </w:r>
      <w:r>
        <w:t xml:space="preserve">-</w:t>
      </w:r>
      <w:r>
        <w:t xml:space="preserve"> </w:t>
      </w:r>
      <w:r>
        <w:rPr>
          <w:bCs/>
          <w:b/>
        </w:rPr>
        <w:t xml:space="preserve">4.2 Flow and population normalization</w:t>
      </w:r>
      <w:r>
        <w:t xml:space="preserve"> </w:t>
      </w:r>
      <w:r>
        <w:t xml:space="preserve">(target 300-350)</w:t>
      </w:r>
      <w:r>
        <w:t xml:space="preserve"> </w:t>
      </w:r>
      <w:r>
        <w:t xml:space="preserve">-</w:t>
      </w:r>
      <w:r>
        <w:t xml:space="preserve"> </w:t>
      </w:r>
      <w:r>
        <w:rPr>
          <w:bCs/>
          <w:b/>
        </w:rPr>
        <w:t xml:space="preserve">4.3 Biomarker normalization and fate matching</w:t>
      </w:r>
      <w:r>
        <w:t xml:space="preserve"> </w:t>
      </w:r>
      <w:r>
        <w:t xml:space="preserve">(target 300-350)</w:t>
      </w:r>
      <w:r>
        <w:t xml:space="preserve"> </w:t>
      </w:r>
      <w:r>
        <w:t xml:space="preserve">-</w:t>
      </w:r>
      <w:r>
        <w:t xml:space="preserve"> </w:t>
      </w:r>
      <w:r>
        <w:rPr>
          <w:bCs/>
          <w:b/>
        </w:rPr>
        <w:t xml:space="preserve">4.4 When normalization fails</w:t>
      </w:r>
      <w:r>
        <w:t xml:space="preserve"> </w:t>
      </w:r>
      <w:r>
        <w:t xml:space="preserve">(target 250-300)</w:t>
      </w:r>
    </w:p>
    <w:p>
      <w:pPr>
        <w:pStyle w:val="BodyText"/>
      </w:pPr>
      <w:r>
        <w:t xml:space="preserve">Core proposition, stated once and preserved verbatim:</w:t>
      </w:r>
      <w:r>
        <w:t xml:space="preserve"> </w:t>
      </w:r>
      <w:r>
        <w:rPr>
          <w:bCs/>
          <w:b/>
        </w:rPr>
        <w:t xml:space="preserve">“</w:t>
      </w:r>
      <w:r>
        <w:rPr>
          <w:bCs/>
          <w:b/>
        </w:rPr>
        <w:t xml:space="preserve">Normalization is a mechanism-specific correction, not reconstruction of the source state.</w:t>
      </w:r>
      <w:r>
        <w:rPr>
          <w:bCs/>
          <w:b/>
        </w:rPr>
        <w:t xml:space="preserve">”</w:t>
      </w:r>
      <w:r>
        <w:t xml:space="preserve"> </w:t>
      </w:r>
      <w:r>
        <w:t xml:space="preserve">Only one in-text table is retained here —</w:t>
      </w:r>
      <w:r>
        <w:t xml:space="preserve"> </w:t>
      </w:r>
      <w:r>
        <w:rPr>
          <w:bCs/>
          <w:b/>
        </w:rPr>
        <w:t xml:space="preserve">Table 2. Normalization strategy, corrected mechanism, required assumption and residual uncertainty</w:t>
      </w:r>
      <w:r>
        <w:t xml:space="preserve"> </w:t>
      </w:r>
      <w:r>
        <w:t xml:space="preserve">— with all per-biomarker narrative evidence, extended candidate-normalizer comparisons, and the full method-assumption-limitation matrix moved to SI (per §5’s explicit SI-destination list).</w:t>
      </w:r>
    </w:p>
    <w:p>
      <w:pPr>
        <w:pStyle w:val="BodyText"/>
      </w:pPr>
      <w:r>
        <w:rPr>
          <w:bCs/>
          <w:b/>
        </w:rPr>
        <w:t xml:space="preserve">Compression-risk note (unchanged in substance from Phase 1, now sharper):</w:t>
      </w:r>
      <w:r>
        <w:t xml:space="preserve"> </w:t>
      </w:r>
      <w:r>
        <w:t xml:space="preserve">this part compresses source Chapters 5+6 (~11,800 words) into ~1,175 words — a ~90% reduction. This is achievable only because nearly all per-study evidentiary detail moves to SI (Table 2 in-text carries the pattern-level finding, not the individual-study narrative) — flagged for author confirmation, not silently assumed.</w:t>
      </w:r>
    </w:p>
    <w:p>
      <w:pPr>
        <w:pStyle w:val="BodyText"/>
      </w:pPr>
      <w:r>
        <w:rPr>
          <w:bCs/>
          <w:b/>
        </w:rPr>
        <w:t xml:space="preserve">Evidence needing full-text verification:</w:t>
      </w:r>
      <w:r>
        <w:t xml:space="preserve"> </w:t>
      </w:r>
      <w:r>
        <w:t xml:space="preserve">the highest concentration of pending-verification claims of any part (Rainey et al., Darling et al., Maal-Bared et al., Dhiyebi et al., Hsu et al., Chen et al., Chettleburgh et al., Langeveld et al., Baz-Lomba et al.) — carried as a single evidence-status pointer in the condensed draft rather than repeated after each claim, per this round’s explicit instruction against repeating</w:t>
      </w:r>
      <w:r>
        <w:t xml:space="preserve"> </w:t>
      </w:r>
      <w:r>
        <w:t xml:space="preserve">“</w:t>
      </w:r>
      <w:r>
        <w:t xml:space="preserve">pending full-text verification</w:t>
      </w:r>
      <w:r>
        <w:t xml:space="preserve">”</w:t>
      </w:r>
      <w:r>
        <w:t xml:space="preserve"> </w:t>
      </w:r>
      <w:r>
        <w:t xml:space="preserve">throughout the body text.</w:t>
      </w:r>
    </w:p>
    <w:p>
      <w:r>
        <w:pict>
          <v:rect style="width:0;height:1.5pt" o:hralign="center" o:hrstd="t" o:hr="t"/>
        </w:pict>
      </w:r>
    </w:p>
    <w:bookmarkEnd w:id="26"/>
    <w:bookmarkStart w:id="32" w:name="X85951273668ed370d85511d7db936efc3d41f4d"/>
    <w:p>
      <w:pPr>
        <w:pStyle w:val="Heading2"/>
      </w:pPr>
      <w:r>
        <w:t xml:space="preserve">Part 5. Reconstruction, identifiability and uncertainty (target 1,300, tentative — NOT drafted this round; title + placeholder only in the condensed draft)</w:t>
      </w:r>
    </w:p>
    <w:p>
      <w:pPr>
        <w:pStyle w:val="FirstParagraph"/>
      </w:pPr>
      <w:r>
        <w:rPr>
          <w:bCs/>
          <w:b/>
        </w:rPr>
        <w:t xml:space="preserve">Budget revised down from Phase 1’s 1,750 to a tentative 1,300</w:t>
      </w:r>
      <w:r>
        <w:t xml:space="preserve"> </w:t>
      </w:r>
      <w:r>
        <w:t xml:space="preserve">per this round’s corrected total-length constraint (§68 of the task tracker; see the corrected total-length budget table above). The subsection plan below is retained from Phase 1 as a Phase 2B starting point, not a confirmed structure — it will need re-costing once Phase 2B actually drafts this part, and the</w:t>
      </w:r>
      <w:r>
        <w:t xml:space="preserve"> </w:t>
      </w:r>
      <w:r>
        <w:rPr>
          <w:bCs/>
          <w:b/>
        </w:rPr>
        <w:t xml:space="preserve">Table 6 disposition below is now finalized</w:t>
      </w:r>
      <w:r>
        <w:t xml:space="preserve"> </w:t>
      </w:r>
      <w:r>
        <w:t xml:space="preserve">(see</w:t>
      </w:r>
      <w:r>
        <w:t xml:space="preserve"> </w:t>
      </w:r>
      <w:r>
        <w:t xml:space="preserve">“</w:t>
      </w:r>
      <w:r>
        <w:t xml:space="preserve">Table 6 disposition</w:t>
      </w:r>
      <w:r>
        <w:t xml:space="preserve">”</w:t>
      </w:r>
      <w:r>
        <w:t xml:space="preserve"> </w:t>
      </w:r>
      <w:r>
        <w:t xml:space="preserve">note immediately following this header), which changes what 5.1-5.2 need to carry relative to the Phase 1 version.</w:t>
      </w:r>
    </w:p>
    <w:p>
      <w:pPr>
        <w:pStyle w:val="BodyText"/>
      </w:pPr>
      <w:r>
        <w:rPr>
          <w:bCs/>
          <w:b/>
        </w:rPr>
        <w:t xml:space="preserve">Table 6 disposition (finalized this round, per §四 of this round’s instruction):</w:t>
      </w:r>
      <w:r>
        <w:t xml:space="preserve"> </w:t>
      </w:r>
      <w:r>
        <w:t xml:space="preserve">the former Table 6 (Uncertainty Source × Type × Distribution × Propagation Method × Mitigation × Residual Effect) is</w:t>
      </w:r>
      <w:r>
        <w:t xml:space="preserve"> </w:t>
      </w:r>
      <w:r>
        <w:rPr>
          <w:bCs/>
          <w:b/>
        </w:rPr>
        <w:t xml:space="preserve">not retained as an independent in-text table</w:t>
      </w:r>
      <w:r>
        <w:t xml:space="preserve">. Its full detail moves to</w:t>
      </w:r>
      <w:r>
        <w:t xml:space="preserve"> </w:t>
      </w:r>
      <w:r>
        <w:rPr>
          <w:bCs/>
          <w:b/>
        </w:rPr>
        <w:t xml:space="preserve">Table S5 (SI):</w:t>
      </w:r>
      <w:r>
        <w:rPr>
          <w:bCs/>
          <w:b/>
        </w:rPr>
        <w:t xml:space="preserve"> </w:t>
      </w:r>
      <w:r>
        <w:rPr>
          <w:bCs/>
          <w:b/>
        </w:rPr>
        <w:t xml:space="preserve">“</w:t>
      </w:r>
      <w:r>
        <w:rPr>
          <w:bCs/>
          <w:b/>
        </w:rPr>
        <w:t xml:space="preserve">Uncertainty sources, propagation methods, validation requirements and residual limitations.</w:t>
      </w:r>
      <w:r>
        <w:rPr>
          <w:bCs/>
          <w:b/>
        </w:rPr>
        <w:t xml:space="preserve">”</w:t>
      </w:r>
      <w:r>
        <w:t xml:space="preserve"> </w:t>
      </w:r>
      <w:r>
        <w:t xml:space="preserve">A maximum of 4-6 items that materially affect model choice or result interpretation are selected from it and merged into the in-text</w:t>
      </w:r>
      <w:r>
        <w:t xml:space="preserve"> </w:t>
      </w:r>
      <w:r>
        <w:rPr>
          <w:bCs/>
          <w:b/>
        </w:rPr>
        <w:t xml:space="preserve">Table 3, redesigned as</w:t>
      </w:r>
      <w:r>
        <w:rPr>
          <w:bCs/>
          <w:b/>
        </w:rPr>
        <w:t xml:space="preserve"> </w:t>
      </w:r>
      <w:r>
        <w:rPr>
          <w:bCs/>
          <w:b/>
        </w:rPr>
        <w:t xml:space="preserve">“</w:t>
      </w:r>
      <w:r>
        <w:rPr>
          <w:bCs/>
          <w:b/>
        </w:rPr>
        <w:t xml:space="preserve">Model-identifiability-validation matrix</w:t>
      </w:r>
      <w:r>
        <w:rPr>
          <w:bCs/>
          <w:b/>
        </w:rPr>
        <w:t xml:space="preserve">”</w:t>
      </w:r>
      <w:r>
        <w:t xml:space="preserve"> </w:t>
      </w:r>
      <w:r>
        <w:t xml:space="preserve">(replacing the Phase 1 plan of merely merging former Tables 4-5), with exactly six columns:</w:t>
      </w:r>
      <w:r>
        <w:t xml:space="preserve"> </w:t>
      </w:r>
      <w:r>
        <w:rPr>
          <w:bCs/>
          <w:b/>
        </w:rPr>
        <w:t xml:space="preserve">model family; inferential target; principal identifiability requirement; dominant uncertainty; minimum validation; principal failure mode.</w:t>
      </w:r>
      <w:r>
        <w:t xml:space="preserve"> </w:t>
      </w:r>
      <w:r>
        <w:t xml:space="preserve">No uncertainty source may appear fully restated in main-text prose, Table 3, and Table S5 simultaneously — each uncertainty item has exactly one full-detail home (Table S5) and, where material to model choice, one compressed cross-reference (Table 3’s</w:t>
      </w:r>
      <w:r>
        <w:t xml:space="preserve"> </w:t>
      </w:r>
      <w:r>
        <w:t xml:space="preserve">“</w:t>
      </w:r>
      <w:r>
        <w:t xml:space="preserve">dominant uncertainty</w:t>
      </w:r>
      <w:r>
        <w:t xml:space="preserve">”</w:t>
      </w:r>
      <w:r>
        <w:t xml:space="preserve"> </w:t>
      </w:r>
      <w:r>
        <w:t xml:space="preserve">column).</w:t>
      </w:r>
    </w:p>
    <w:bookmarkStart w:id="27" w:name="X7b1456fd9df07433a2cbdaf335444d852f69f2d"/>
    <w:p>
      <w:pPr>
        <w:pStyle w:val="Heading3"/>
      </w:pPr>
      <w:r>
        <w:t xml:space="preserve">5.1 Five distinctions: association, predictive performance, identifiability, observability, structural adequacy (450 words)</w:t>
      </w:r>
    </w:p>
    <w:p>
      <w:pPr>
        <w:numPr>
          <w:ilvl w:val="0"/>
          <w:numId w:val="1001"/>
        </w:numPr>
        <w:pStyle w:val="Compact"/>
      </w:pPr>
      <w:r>
        <w:rPr>
          <w:bCs/>
          <w:b/>
        </w:rPr>
        <w:t xml:space="preserve">Core question:</w:t>
      </w:r>
      <w:r>
        <w:t xml:space="preserve"> </w:t>
      </w:r>
      <w:r>
        <w:t xml:space="preserve">Why is</w:t>
      </w:r>
      <w:r>
        <w:t xml:space="preserve"> </w:t>
      </w:r>
      <w:r>
        <w:t xml:space="preserve">“</w:t>
      </w:r>
      <w:r>
        <w:t xml:space="preserve">the back-calculated series correlates with clinical cases</w:t>
      </w:r>
      <w:r>
        <w:t xml:space="preserve">”</w:t>
      </w:r>
      <w:r>
        <w:t xml:space="preserve"> </w:t>
      </w:r>
      <w:r>
        <w:t xml:space="preserve">the weakest, not the only, form of evidence a reconstruction claim needs?</w:t>
      </w:r>
    </w:p>
    <w:p>
      <w:pPr>
        <w:numPr>
          <w:ilvl w:val="0"/>
          <w:numId w:val="1001"/>
        </w:numPr>
        <w:pStyle w:val="Compact"/>
      </w:pPr>
      <w:r>
        <w:rPr>
          <w:bCs/>
          <w:b/>
        </w:rPr>
        <w:t xml:space="preserve">Must-retain arguments:</w:t>
      </w:r>
      <w:r>
        <w:t xml:space="preserve"> </w:t>
      </w:r>
      <w:r>
        <w:t xml:space="preserve">The full five-way distinction (§7.0, §7.3) — Original Contribution #4’s conceptual core, and the parameter-identifiability/state-observability split specifically, which the source draft revises most substantially from earlier framings; the boxed central-sentence proposition.</w:t>
      </w:r>
    </w:p>
    <w:p>
      <w:pPr>
        <w:numPr>
          <w:ilvl w:val="0"/>
          <w:numId w:val="1001"/>
        </w:numPr>
        <w:pStyle w:val="Compact"/>
      </w:pPr>
      <w:r>
        <w:rPr>
          <w:bCs/>
          <w:b/>
        </w:rPr>
        <w:t xml:space="preserve">Source chapters:</w:t>
      </w:r>
      <w:r>
        <w:t xml:space="preserve"> </w:t>
      </w:r>
      <w:r>
        <w:t xml:space="preserve">Current §7.0, §7.3 (compressed from ~2,500 to 450 words — this is a steep cut for genuinely core material, largely achieved by moving the general, non-WBE-specific epidemic-modeling-identifiability literature discussion to SI).</w:t>
      </w:r>
    </w:p>
    <w:p>
      <w:pPr>
        <w:numPr>
          <w:ilvl w:val="0"/>
          <w:numId w:val="1001"/>
        </w:numPr>
        <w:pStyle w:val="Compact"/>
      </w:pPr>
      <w:r>
        <w:rPr>
          <w:bCs/>
          <w:b/>
        </w:rPr>
        <w:t xml:space="preserve">Suggested figures/tables:</w:t>
      </w:r>
      <w:r>
        <w:t xml:space="preserve"> </w:t>
      </w:r>
      <w:r>
        <w:rPr>
          <w:bCs/>
          <w:b/>
        </w:rPr>
        <w:t xml:space="preserve">Figure 3 (Process-informed reconstruction and uncertainty framework)</w:t>
      </w:r>
      <w:r>
        <w:t xml:space="preserve"> </w:t>
      </w:r>
      <w:r>
        <w:t xml:space="preserve">belongs at this subsection’s opening.</w:t>
      </w:r>
    </w:p>
    <w:p>
      <w:pPr>
        <w:numPr>
          <w:ilvl w:val="0"/>
          <w:numId w:val="1001"/>
        </w:numPr>
        <w:pStyle w:val="Compact"/>
      </w:pPr>
      <w:r>
        <w:rPr>
          <w:bCs/>
          <w:b/>
        </w:rPr>
        <w:t xml:space="preserve">Duplication to remove:</w:t>
      </w:r>
      <w:r>
        <w:t xml:space="preserve"> </w:t>
      </w:r>
      <w:r>
        <w:t xml:space="preserve">None (canonical location).</w:t>
      </w:r>
    </w:p>
    <w:p>
      <w:pPr>
        <w:numPr>
          <w:ilvl w:val="0"/>
          <w:numId w:val="1001"/>
        </w:numPr>
        <w:pStyle w:val="Compact"/>
      </w:pPr>
      <w:r>
        <w:rPr>
          <w:bCs/>
          <w:b/>
        </w:rPr>
        <w:t xml:space="preserve">Evidence needing full-text verification:</w:t>
      </w:r>
      <w:r>
        <w:t xml:space="preserve"> </w:t>
      </w:r>
      <w:r>
        <w:t xml:space="preserve">Liyanage et al. (2025), Deva et al. (2021) — both general (non-WBE) epidemic-modeling-identifiability sources, currently abstract-level.</w:t>
      </w:r>
    </w:p>
    <w:bookmarkEnd w:id="27"/>
    <w:bookmarkStart w:id="28" w:name="X5d3b4a92532d0c3b199118314fd363690b7b9d4"/>
    <w:p>
      <w:pPr>
        <w:pStyle w:val="Heading3"/>
      </w:pPr>
      <w:r>
        <w:t xml:space="preserve">5.2 Reconstruction method families and the evidence for each (450 words)</w:t>
      </w:r>
    </w:p>
    <w:p>
      <w:pPr>
        <w:numPr>
          <w:ilvl w:val="0"/>
          <w:numId w:val="1002"/>
        </w:numPr>
        <w:pStyle w:val="Compact"/>
      </w:pPr>
      <w:r>
        <w:rPr>
          <w:bCs/>
          <w:b/>
        </w:rPr>
        <w:t xml:space="preserve">Core question:</w:t>
      </w:r>
      <w:r>
        <w:t xml:space="preserve"> </w:t>
      </w:r>
      <w:r>
        <w:t xml:space="preserve">Against the five-way framework, what does each major WBE reconstruction method family (mass-balance, regression, deconvolution, Bayesian/state-space, compartmental, ML, ensemble) actually demonstrate, and what does it not?</w:t>
      </w:r>
    </w:p>
    <w:p>
      <w:pPr>
        <w:numPr>
          <w:ilvl w:val="0"/>
          <w:numId w:val="1002"/>
        </w:numPr>
        <w:pStyle w:val="Compact"/>
      </w:pPr>
      <w:r>
        <w:rPr>
          <w:bCs/>
          <w:b/>
        </w:rPr>
        <w:t xml:space="preserve">Must-retain arguments:</w:t>
      </w:r>
      <w:r>
        <w:t xml:space="preserve"> </w:t>
      </w:r>
      <w:r>
        <w:t xml:space="preserve">The headline finding that no method family achieves all five criteria in the surveyed evidence base — stated once, clearly, rather than re-derived per family in prose.</w:t>
      </w:r>
    </w:p>
    <w:p>
      <w:pPr>
        <w:numPr>
          <w:ilvl w:val="0"/>
          <w:numId w:val="1002"/>
        </w:numPr>
        <w:pStyle w:val="Compact"/>
      </w:pPr>
      <w:r>
        <w:rPr>
          <w:bCs/>
          <w:b/>
        </w:rPr>
        <w:t xml:space="preserve">Source chapters:</w:t>
      </w:r>
      <w:r>
        <w:t xml:space="preserve"> </w:t>
      </w:r>
      <w:r>
        <w:t xml:space="preserve">Current §7.1-§7.2, §7.4, heavily compressed (from ~4,900 to 450 words) — per-study narrative (Zuccato, Ramin, Huisman, Dai, McMahan, Ai, Alhassan) moves almost entirely into</w:t>
      </w:r>
      <w:r>
        <w:t xml:space="preserve"> </w:t>
      </w:r>
      <w:r>
        <w:rPr>
          <w:bCs/>
          <w:b/>
        </w:rPr>
        <w:t xml:space="preserve">Table 3 (Model-identifiability-validation matrix, consolidating current Tables 4-5)</w:t>
      </w:r>
      <w:r>
        <w:t xml:space="preserve">.</w:t>
      </w:r>
    </w:p>
    <w:p>
      <w:pPr>
        <w:numPr>
          <w:ilvl w:val="0"/>
          <w:numId w:val="1002"/>
        </w:numPr>
        <w:pStyle w:val="Compact"/>
      </w:pPr>
      <w:r>
        <w:rPr>
          <w:bCs/>
          <w:b/>
        </w:rPr>
        <w:t xml:space="preserve">Suggested figures/tables:</w:t>
      </w:r>
      <w:r>
        <w:t xml:space="preserve"> </w:t>
      </w:r>
      <w:r>
        <w:t xml:space="preserve">Table 3 does most of this subsection’s evidentiary work; §7.2’s worked conceptual illustration compresses to 1-2 sentences or moves to a supplementary box.</w:t>
      </w:r>
    </w:p>
    <w:p>
      <w:pPr>
        <w:numPr>
          <w:ilvl w:val="0"/>
          <w:numId w:val="1002"/>
        </w:numPr>
        <w:pStyle w:val="Compact"/>
      </w:pPr>
      <w:r>
        <w:rPr>
          <w:bCs/>
          <w:b/>
        </w:rPr>
        <w:t xml:space="preserve">Duplication to remove:</w:t>
      </w:r>
      <w:r>
        <w:t xml:space="preserve"> </w:t>
      </w:r>
      <w:r>
        <w:t xml:space="preserve">The Dai et al. (2024)</w:t>
      </w:r>
      <w:r>
        <w:t xml:space="preserve"> </w:t>
      </w:r>
      <w:r>
        <w:t xml:space="preserve">“</w:t>
      </w:r>
      <w:r>
        <w:t xml:space="preserve">narrow posterior ≠ identifiability</w:t>
      </w:r>
      <w:r>
        <w:t xml:space="preserve">”</w:t>
      </w:r>
      <w:r>
        <w:t xml:space="preserve"> </w:t>
      </w:r>
      <w:r>
        <w:t xml:space="preserve">point currently appears in both the Table 5 cell and in full in §8.9 (Part 5.4 below) — per the Overlap Audit, state it once in 5.4, reference briefly from the table.</w:t>
      </w:r>
    </w:p>
    <w:p>
      <w:pPr>
        <w:numPr>
          <w:ilvl w:val="0"/>
          <w:numId w:val="1002"/>
        </w:numPr>
        <w:pStyle w:val="Compact"/>
      </w:pPr>
      <w:r>
        <w:rPr>
          <w:bCs/>
          <w:b/>
        </w:rPr>
        <w:t xml:space="preserve">Evidence needing full-text verification:</w:t>
      </w:r>
      <w:r>
        <w:t xml:space="preserve"> </w:t>
      </w:r>
      <w:r>
        <w:t xml:space="preserve">Every named study in this subsection (Zuccato et al. 2008, Ramin et al. 2017, Huisman et al. 2022, Schoen et al. 2022, Dai et al. 2024, McMahan et al. 2021, Ai et al. 2022, Alhassan et al. 2025) — currently abstract/metadata-level only; this is the second-highest concentration of pending-verification claims after Part 4.3.</w:t>
      </w:r>
    </w:p>
    <w:bookmarkEnd w:id="28"/>
    <w:bookmarkStart w:id="29" w:name="Xa5f1dc9f1852a84327692debcc28d14ff72552e"/>
    <w:p>
      <w:pPr>
        <w:pStyle w:val="Heading3"/>
      </w:pPr>
      <w:r>
        <w:t xml:space="preserve">5.3 Validation levels and hard reconstruction failure modes (250 words)</w:t>
      </w:r>
    </w:p>
    <w:p>
      <w:pPr>
        <w:numPr>
          <w:ilvl w:val="0"/>
          <w:numId w:val="1003"/>
        </w:numPr>
        <w:pStyle w:val="Compact"/>
      </w:pPr>
      <w:r>
        <w:rPr>
          <w:bCs/>
          <w:b/>
        </w:rPr>
        <w:t xml:space="preserve">Core question:</w:t>
      </w:r>
      <w:r>
        <w:t xml:space="preserve"> </w:t>
      </w:r>
      <w:r>
        <w:t xml:space="preserve">What does</w:t>
      </w:r>
      <w:r>
        <w:t xml:space="preserve"> </w:t>
      </w:r>
      <w:r>
        <w:t xml:space="preserve">“</w:t>
      </w:r>
      <w:r>
        <w:t xml:space="preserve">validating</w:t>
      </w:r>
      <w:r>
        <w:t xml:space="preserve">”</w:t>
      </w:r>
      <w:r>
        <w:t xml:space="preserve"> </w:t>
      </w:r>
      <w:r>
        <w:t xml:space="preserve">a back-calculation model actually require, and when does no amount of methodological sophistication fix a reconstruction problem?</w:t>
      </w:r>
    </w:p>
    <w:p>
      <w:pPr>
        <w:numPr>
          <w:ilvl w:val="0"/>
          <w:numId w:val="1003"/>
        </w:numPr>
        <w:pStyle w:val="Compact"/>
      </w:pPr>
      <w:r>
        <w:rPr>
          <w:bCs/>
          <w:b/>
        </w:rPr>
        <w:t xml:space="preserve">Must-retain arguments:</w:t>
      </w:r>
      <w:r>
        <w:t xml:space="preserve"> </w:t>
      </w:r>
      <w:r>
        <w:t xml:space="preserve">The internal/external/mechanistic three-level validation distinction (§7.5) merged with §8.16’s coverage/posterior-predictive-check validation discussion, per the Overlap Audit’s explicit merge recommendation — this pairing should become one subsection, not two; the hard-failure catalog (§7.6) compressed to a short list.</w:t>
      </w:r>
    </w:p>
    <w:p>
      <w:pPr>
        <w:numPr>
          <w:ilvl w:val="0"/>
          <w:numId w:val="1003"/>
        </w:numPr>
        <w:pStyle w:val="Compact"/>
      </w:pPr>
      <w:r>
        <w:rPr>
          <w:bCs/>
          <w:b/>
        </w:rPr>
        <w:t xml:space="preserve">Source chapters:</w:t>
      </w:r>
      <w:r>
        <w:t xml:space="preserve"> </w:t>
      </w:r>
      <w:r>
        <w:t xml:space="preserve">Current §7.5-§7.6 + §8.16 (merged), compressed from ~1,050 to 250 words.</w:t>
      </w:r>
    </w:p>
    <w:p>
      <w:pPr>
        <w:numPr>
          <w:ilvl w:val="0"/>
          <w:numId w:val="1003"/>
        </w:numPr>
        <w:pStyle w:val="Compact"/>
      </w:pPr>
      <w:r>
        <w:rPr>
          <w:bCs/>
          <w:b/>
        </w:rPr>
        <w:t xml:space="preserve">Suggested figures/tables:</w:t>
      </w:r>
      <w:r>
        <w:t xml:space="preserve"> </w:t>
      </w:r>
      <w:r>
        <w:t xml:space="preserve">None additional.</w:t>
      </w:r>
    </w:p>
    <w:p>
      <w:pPr>
        <w:numPr>
          <w:ilvl w:val="0"/>
          <w:numId w:val="1003"/>
        </w:numPr>
        <w:pStyle w:val="Compact"/>
      </w:pPr>
      <w:r>
        <w:rPr>
          <w:bCs/>
          <w:b/>
        </w:rPr>
        <w:t xml:space="preserve">Duplication to remove:</w:t>
      </w:r>
      <w:r>
        <w:t xml:space="preserve"> </w:t>
      </w:r>
      <w:r>
        <w:t xml:space="preserve">This is itself the Overlap Audit’s flagged §7.5/§8.16 merge point, executed here.</w:t>
      </w:r>
    </w:p>
    <w:p>
      <w:pPr>
        <w:numPr>
          <w:ilvl w:val="0"/>
          <w:numId w:val="1003"/>
        </w:numPr>
        <w:pStyle w:val="Compact"/>
      </w:pPr>
      <w:r>
        <w:rPr>
          <w:bCs/>
          <w:b/>
        </w:rPr>
        <w:t xml:space="preserve">Evidence needing full-text verification:</w:t>
      </w:r>
      <w:r>
        <w:t xml:space="preserve"> </w:t>
      </w:r>
      <w:r>
        <w:t xml:space="preserve">None beyond what 5.2 already flags.</w:t>
      </w:r>
    </w:p>
    <w:bookmarkEnd w:id="29"/>
    <w:bookmarkStart w:id="30" w:name="Xc9cc8add375e7e514163a8efe67b2a301931bc2"/>
    <w:p>
      <w:pPr>
        <w:pStyle w:val="Heading3"/>
      </w:pPr>
      <w:r>
        <w:t xml:space="preserve">5.4 Uncertainty propagation framework: sources, correlation, structural uncertainty (450 words)</w:t>
      </w:r>
    </w:p>
    <w:p>
      <w:pPr>
        <w:numPr>
          <w:ilvl w:val="0"/>
          <w:numId w:val="1004"/>
        </w:numPr>
        <w:pStyle w:val="Compact"/>
      </w:pPr>
      <w:r>
        <w:rPr>
          <w:bCs/>
          <w:b/>
        </w:rPr>
        <w:t xml:space="preserve">Core question:</w:t>
      </w:r>
      <w:r>
        <w:t xml:space="preserve"> </w:t>
      </w:r>
      <w:r>
        <w:t xml:space="preserve">How does uncertainty enter at each pipeline stage, interact rather than add independently, and propagate to a final confidence statement?</w:t>
      </w:r>
    </w:p>
    <w:p>
      <w:pPr>
        <w:numPr>
          <w:ilvl w:val="0"/>
          <w:numId w:val="1004"/>
        </w:numPr>
        <w:pStyle w:val="Compact"/>
      </w:pPr>
      <w:r>
        <w:rPr>
          <w:bCs/>
          <w:b/>
        </w:rPr>
        <w:t xml:space="preserve">Must-retain arguments:</w:t>
      </w:r>
      <w:r>
        <w:t xml:space="preserve"> </w:t>
      </w:r>
      <w:r>
        <w:t xml:space="preserve">The marginalization-integral formalization and</w:t>
      </w:r>
      <w:r>
        <w:t xml:space="preserve"> </w:t>
      </w:r>
      <w:r>
        <w:t xml:space="preserve">“</w:t>
      </w:r>
      <w:r>
        <w:t xml:space="preserve">propagation ≠ bias correction ≠ identifiability restoration</w:t>
      </w:r>
      <w:r>
        <w:t xml:space="preserve">”</w:t>
      </w:r>
      <w:r>
        <w:t xml:space="preserve"> </w:t>
      </w:r>
      <w:r>
        <w:t xml:space="preserve">distinction (§8.0) — Original Contribution #4’s formal core; the correlated-uncertainty argument (§8.10, explicitly named the chapter’s</w:t>
      </w:r>
      <w:r>
        <w:t xml:space="preserve"> </w:t>
      </w:r>
      <w:r>
        <w:t xml:space="preserve">“</w:t>
      </w:r>
      <w:r>
        <w:t xml:space="preserve">most consequential subsection</w:t>
      </w:r>
      <w:r>
        <w:t xml:space="preserve">”</w:t>
      </w:r>
      <w:r>
        <w:t xml:space="preserve">); the narrow-posterior-≠-certainty critique (§8.9, canonical location per the Overlap Audit merge with 5.2); the structural-uncertainty/Monte-Carlo-does-not-fix-misspecification point (§8.12, box).</w:t>
      </w:r>
    </w:p>
    <w:p>
      <w:pPr>
        <w:numPr>
          <w:ilvl w:val="0"/>
          <w:numId w:val="1004"/>
        </w:numPr>
        <w:pStyle w:val="Compact"/>
      </w:pPr>
      <w:r>
        <w:rPr>
          <w:bCs/>
          <w:b/>
        </w:rPr>
        <w:t xml:space="preserve">Source chapters:</w:t>
      </w:r>
      <w:r>
        <w:t xml:space="preserve"> </w:t>
      </w:r>
      <w:r>
        <w:t xml:space="preserve">Current §8.0-§8.3, §8.5, §8.9-§8.13 (compressed from ~4,800 to 450 words) — §8.4’s six-concept re-listing is cut entirely per the Overlap Audit (cross-reference Part 4.1 instead); §8.6-§8.8, §8.11 (delta method, Monte Carlo mechanics, sensitivity analysis, censoring methods) move to Supplementary Methods as largely standard technique exposition.</w:t>
      </w:r>
    </w:p>
    <w:p>
      <w:pPr>
        <w:numPr>
          <w:ilvl w:val="0"/>
          <w:numId w:val="1004"/>
        </w:numPr>
        <w:pStyle w:val="Compact"/>
      </w:pPr>
      <w:r>
        <w:rPr>
          <w:bCs/>
          <w:b/>
        </w:rPr>
        <w:t xml:space="preserve">Suggested figures/tables:</w:t>
      </w:r>
      <w:r>
        <w:t xml:space="preserve"> </w:t>
      </w:r>
      <w:r>
        <w:rPr>
          <w:bCs/>
          <w:b/>
        </w:rPr>
        <w:t xml:space="preserve">Table 4 (Minimum reporting and decision-readiness framework)</w:t>
      </w:r>
      <w:r>
        <w:t xml:space="preserve"> </w:t>
      </w:r>
      <w:r>
        <w:t xml:space="preserve">could absorb Table 6’s uncertainty-source breakdown if space allows, otherwise Table 6 itself is retained in redesigned form as one of the four target tables (see disposition plan — this creates a 5-table tension the author must resolve, flagged explicitly below).</w:t>
      </w:r>
    </w:p>
    <w:p>
      <w:pPr>
        <w:numPr>
          <w:ilvl w:val="0"/>
          <w:numId w:val="1004"/>
        </w:numPr>
        <w:pStyle w:val="Compact"/>
      </w:pPr>
      <w:r>
        <w:rPr>
          <w:bCs/>
          <w:b/>
        </w:rPr>
        <w:t xml:space="preserve">Duplication to remove:</w:t>
      </w:r>
      <w:r>
        <w:t xml:space="preserve"> </w:t>
      </w:r>
      <w:r>
        <w:t xml:space="preserve">§8.4’s near-total restatement of §5.5’s six concepts (per Overlap Audit) — removed here by construction (not drafted in the first place, only cross-referenced).</w:t>
      </w:r>
    </w:p>
    <w:p>
      <w:pPr>
        <w:numPr>
          <w:ilvl w:val="0"/>
          <w:numId w:val="1004"/>
        </w:numPr>
        <w:pStyle w:val="Compact"/>
      </w:pPr>
      <w:r>
        <w:rPr>
          <w:bCs/>
          <w:b/>
        </w:rPr>
        <w:t xml:space="preserve">Evidence needing full-text verification:</w:t>
      </w:r>
      <w:r>
        <w:t xml:space="preserve"> </w:t>
      </w:r>
      <w:r>
        <w:t xml:space="preserve">Jones et al. (2014) MCMC framework findings; Pei et al. (2016) and Croft et al. (2020) Monte Carlo consumption-estimate figures; Safford et al. (2022) censoring-method comparison.</w:t>
      </w:r>
    </w:p>
    <w:bookmarkEnd w:id="30"/>
    <w:bookmarkStart w:id="31" w:name="X5807451fab900be54045943335ba57fc45db11e"/>
    <w:p>
      <w:pPr>
        <w:pStyle w:val="Heading3"/>
      </w:pPr>
      <w:r>
        <w:t xml:space="preserve">5.5 From scientific to decision uncertainty; minimum reporting (150 words)</w:t>
      </w:r>
    </w:p>
    <w:p>
      <w:pPr>
        <w:numPr>
          <w:ilvl w:val="0"/>
          <w:numId w:val="1005"/>
        </w:numPr>
        <w:pStyle w:val="Compact"/>
      </w:pPr>
      <w:r>
        <w:rPr>
          <w:bCs/>
          <w:b/>
        </w:rPr>
        <w:t xml:space="preserve">Core question:</w:t>
      </w:r>
      <w:r>
        <w:t xml:space="preserve"> </w:t>
      </w:r>
      <w:r>
        <w:t xml:space="preserve">How does a propagated uncertainty distribution become a decision-relevant probability?</w:t>
      </w:r>
    </w:p>
    <w:p>
      <w:pPr>
        <w:numPr>
          <w:ilvl w:val="0"/>
          <w:numId w:val="1005"/>
        </w:numPr>
        <w:pStyle w:val="Compact"/>
      </w:pPr>
      <w:r>
        <w:rPr>
          <w:bCs/>
          <w:b/>
        </w:rPr>
        <w:t xml:space="preserve">Must-retain arguments:</w:t>
      </w:r>
      <w:r>
        <w:t xml:space="preserve"> </w:t>
      </w:r>
      <w:r>
        <w:t xml:space="preserve">The exceedance-probability/asymmetric-cost vocabulary (§8.14) — canonical location per the Overlap Audit (Part 6.1’s alert-threshold discussion should reference this rather than re-explain it); a 1-2 sentence compressed reporting-standard statement (§8.15), full checklist to SI.</w:t>
      </w:r>
    </w:p>
    <w:p>
      <w:pPr>
        <w:numPr>
          <w:ilvl w:val="0"/>
          <w:numId w:val="1005"/>
        </w:numPr>
        <w:pStyle w:val="Compact"/>
      </w:pPr>
      <w:r>
        <w:rPr>
          <w:bCs/>
          <w:b/>
        </w:rPr>
        <w:t xml:space="preserve">Source chapters:</w:t>
      </w:r>
      <w:r>
        <w:t xml:space="preserve"> </w:t>
      </w:r>
      <w:r>
        <w:t xml:space="preserve">Current §8.14-§8.15, compressed from ~590 to 150 words.</w:t>
      </w:r>
    </w:p>
    <w:p>
      <w:pPr>
        <w:numPr>
          <w:ilvl w:val="0"/>
          <w:numId w:val="1005"/>
        </w:numPr>
        <w:pStyle w:val="Compact"/>
      </w:pPr>
      <w:r>
        <w:rPr>
          <w:bCs/>
          <w:b/>
        </w:rPr>
        <w:t xml:space="preserve">Suggested figures/tables:</w:t>
      </w:r>
      <w:r>
        <w:t xml:space="preserve"> </w:t>
      </w:r>
      <w:r>
        <w:t xml:space="preserve">None additional.</w:t>
      </w:r>
    </w:p>
    <w:p>
      <w:pPr>
        <w:numPr>
          <w:ilvl w:val="0"/>
          <w:numId w:val="1005"/>
        </w:numPr>
        <w:pStyle w:val="Compact"/>
      </w:pPr>
      <w:r>
        <w:rPr>
          <w:bCs/>
          <w:b/>
        </w:rPr>
        <w:t xml:space="preserve">Duplication to remove:</w:t>
      </w:r>
      <w:r>
        <w:t xml:space="preserve"> </w:t>
      </w:r>
      <w:r>
        <w:t xml:space="preserve">None (canonical location; Part 6.1 is the one that should shorten).</w:t>
      </w:r>
    </w:p>
    <w:p>
      <w:pPr>
        <w:numPr>
          <w:ilvl w:val="0"/>
          <w:numId w:val="1005"/>
        </w:numPr>
        <w:pStyle w:val="Compact"/>
      </w:pPr>
      <w:r>
        <w:rPr>
          <w:bCs/>
          <w:b/>
        </w:rPr>
        <w:t xml:space="preserve">Evidence needing full-text verification:</w:t>
      </w:r>
      <w:r>
        <w:t xml:space="preserve"> </w:t>
      </w:r>
      <w:r>
        <w:t xml:space="preserve">None (this subsection is decision theory, not an evidence-dependent empirical claim).</w:t>
      </w:r>
    </w:p>
    <w:p>
      <w:r>
        <w:pict>
          <v:rect style="width:0;height:1.5pt" o:hralign="center" o:hrstd="t" o:hr="t"/>
        </w:pict>
      </w:r>
    </w:p>
    <w:bookmarkEnd w:id="31"/>
    <w:bookmarkEnd w:id="32"/>
    <w:bookmarkStart w:id="37" w:name="Xb9cd30fe9b32fb818723fd929587eddeb2c9d61"/>
    <w:p>
      <w:pPr>
        <w:pStyle w:val="Heading2"/>
      </w:pPr>
      <w:r>
        <w:t xml:space="preserve">Part 6. From wastewater signals to public-health action (target 750, tentative — NOT drafted this round; title + placeholder only in the condensed draft)</w:t>
      </w:r>
    </w:p>
    <w:p>
      <w:pPr>
        <w:pStyle w:val="FirstParagraph"/>
      </w:pPr>
      <w:r>
        <w:rPr>
          <w:bCs/>
          <w:b/>
        </w:rPr>
        <w:t xml:space="preserve">Budget revised down from Phase 1’s 1,000 to a tentative 750</w:t>
      </w:r>
      <w:r>
        <w:t xml:space="preserve"> </w:t>
      </w:r>
      <w:r>
        <w:t xml:space="preserve">per this round’s corrected total-length constraint. Subsection plan below retained from Phase 1 as a Phase 2B starting point only.</w:t>
      </w:r>
    </w:p>
    <w:bookmarkStart w:id="33" w:name="X454ee729355af4d97a8bd5e357a3b144a6c915e"/>
    <w:p>
      <w:pPr>
        <w:pStyle w:val="Heading3"/>
      </w:pPr>
      <w:r>
        <w:t xml:space="preserve">6.1 Three surveillance objectives and alert-threshold design under asymmetric cost (350 words)</w:t>
      </w:r>
    </w:p>
    <w:p>
      <w:pPr>
        <w:numPr>
          <w:ilvl w:val="0"/>
          <w:numId w:val="1006"/>
        </w:numPr>
        <w:pStyle w:val="Compact"/>
      </w:pPr>
      <w:r>
        <w:rPr>
          <w:bCs/>
          <w:b/>
        </w:rPr>
        <w:t xml:space="preserve">Core question:</w:t>
      </w:r>
      <w:r>
        <w:t xml:space="preserve"> </w:t>
      </w:r>
      <w:r>
        <w:t xml:space="preserve">Why do trend monitoring, anomaly detection, and absolute-magnitude estimation require genuinely different evidentiary standards, and how should an asymmetric false-alarm/missed-detection cost structure set a threshold?</w:t>
      </w:r>
    </w:p>
    <w:p>
      <w:pPr>
        <w:numPr>
          <w:ilvl w:val="0"/>
          <w:numId w:val="1006"/>
        </w:numPr>
        <w:pStyle w:val="Compact"/>
      </w:pPr>
      <w:r>
        <w:rPr>
          <w:bCs/>
          <w:b/>
        </w:rPr>
        <w:t xml:space="preserve">Must-retain arguments:</w:t>
      </w:r>
      <w:r>
        <w:t xml:space="preserve"> </w:t>
      </w:r>
      <w:r>
        <w:t xml:space="preserve">The three-objective distinction (§9.1); a compressed version of the asymmetric-cost point that references Part 5.5 rather than re-explaining exceedance probability and decision thresholds from scratch (per the Overlap Audit); the Link/Garrido 281-county detection-performance example, compressed to its headline sensitivity/PPV comparison and its transfer-validation caveat.</w:t>
      </w:r>
    </w:p>
    <w:p>
      <w:pPr>
        <w:numPr>
          <w:ilvl w:val="0"/>
          <w:numId w:val="1006"/>
        </w:numPr>
        <w:pStyle w:val="Compact"/>
      </w:pPr>
      <w:r>
        <w:rPr>
          <w:bCs/>
          <w:b/>
        </w:rPr>
        <w:t xml:space="preserve">Source chapters:</w:t>
      </w:r>
      <w:r>
        <w:t xml:space="preserve"> </w:t>
      </w:r>
      <w:r>
        <w:t xml:space="preserve">Current §9.1-§9.2, compressed from ~1,290 to 350 words.</w:t>
      </w:r>
    </w:p>
    <w:p>
      <w:pPr>
        <w:numPr>
          <w:ilvl w:val="0"/>
          <w:numId w:val="1006"/>
        </w:numPr>
        <w:pStyle w:val="Compact"/>
      </w:pPr>
      <w:r>
        <w:rPr>
          <w:bCs/>
          <w:b/>
        </w:rPr>
        <w:t xml:space="preserve">Suggested figures/tables:</w:t>
      </w:r>
      <w:r>
        <w:t xml:space="preserve"> </w:t>
      </w:r>
      <w:r>
        <w:rPr>
          <w:bCs/>
          <w:b/>
        </w:rPr>
        <w:t xml:space="preserve">Table 4 (Minimum reporting and decision-readiness framework)</w:t>
      </w:r>
      <w:r>
        <w:t xml:space="preserve"> </w:t>
      </w:r>
      <w:r>
        <w:t xml:space="preserve">could absorb a compressed version of Table 7 here.</w:t>
      </w:r>
    </w:p>
    <w:p>
      <w:pPr>
        <w:numPr>
          <w:ilvl w:val="0"/>
          <w:numId w:val="1006"/>
        </w:numPr>
        <w:pStyle w:val="Compact"/>
      </w:pPr>
      <w:r>
        <w:rPr>
          <w:bCs/>
          <w:b/>
        </w:rPr>
        <w:t xml:space="preserve">Duplication to remove:</w:t>
      </w:r>
      <w:r>
        <w:t xml:space="preserve"> </w:t>
      </w:r>
      <w:r>
        <w:t xml:space="preserve">The asymmetric-cost re-explanation (per Overlap Audit, §8.14/§9.2 pairing) — reference Part 5.5, do not restate.</w:t>
      </w:r>
    </w:p>
    <w:p>
      <w:pPr>
        <w:numPr>
          <w:ilvl w:val="0"/>
          <w:numId w:val="1006"/>
        </w:numPr>
        <w:pStyle w:val="Compact"/>
      </w:pPr>
      <w:r>
        <w:rPr>
          <w:bCs/>
          <w:b/>
        </w:rPr>
        <w:t xml:space="preserve">Evidence needing full-text verification:</w:t>
      </w:r>
      <w:r>
        <w:t xml:space="preserve"> </w:t>
      </w:r>
      <w:r>
        <w:t xml:space="preserve">Assoum et al. (2023) early-warning field-study findings; Link, Garrido et al. (2026) 281-county sensitivity/PPV figures.</w:t>
      </w:r>
    </w:p>
    <w:bookmarkEnd w:id="33"/>
    <w:bookmarkStart w:id="34" w:name="X75c975bbf7db8d6ecb88337c7ef854eeec69135"/>
    <w:p>
      <w:pPr>
        <w:pStyle w:val="Heading3"/>
      </w:pPr>
      <w:r>
        <w:t xml:space="preserve">6.2 Multi-source data fusion and its limits (200 words)</w:t>
      </w:r>
    </w:p>
    <w:p>
      <w:pPr>
        <w:numPr>
          <w:ilvl w:val="0"/>
          <w:numId w:val="1007"/>
        </w:numPr>
        <w:pStyle w:val="Compact"/>
      </w:pPr>
      <w:r>
        <w:rPr>
          <w:bCs/>
          <w:b/>
        </w:rPr>
        <w:t xml:space="preserve">Core question:</w:t>
      </w:r>
      <w:r>
        <w:t xml:space="preserve"> </w:t>
      </w:r>
      <w:r>
        <w:t xml:space="preserve">Why is naive averaging across wastewater, clinical, mobility, weather, and pharmacy data streams risky rather than merely suboptimal?</w:t>
      </w:r>
    </w:p>
    <w:p>
      <w:pPr>
        <w:numPr>
          <w:ilvl w:val="0"/>
          <w:numId w:val="1007"/>
        </w:numPr>
        <w:pStyle w:val="Compact"/>
      </w:pPr>
      <w:r>
        <w:rPr>
          <w:bCs/>
          <w:b/>
        </w:rPr>
        <w:t xml:space="preserve">Must-retain arguments:</w:t>
      </w:r>
      <w:r>
        <w:t xml:space="preserve"> </w:t>
      </w:r>
      <w:r>
        <w:t xml:space="preserve">Weather’s double role (confounder needing correction AND corroborating stream) — an original, non-obvious point worth keeping explicitly; the shared-external-driver and differential-lag-structure fusion failure mechanisms, compressed to one sentence each.</w:t>
      </w:r>
    </w:p>
    <w:p>
      <w:pPr>
        <w:numPr>
          <w:ilvl w:val="0"/>
          <w:numId w:val="1007"/>
        </w:numPr>
        <w:pStyle w:val="Compact"/>
      </w:pPr>
      <w:r>
        <w:rPr>
          <w:bCs/>
          <w:b/>
        </w:rPr>
        <w:t xml:space="preserve">Source chapters:</w:t>
      </w:r>
      <w:r>
        <w:t xml:space="preserve"> </w:t>
      </w:r>
      <w:r>
        <w:t xml:space="preserve">Current §9.3-§9.4, compressed from ~980 to 200 words.</w:t>
      </w:r>
    </w:p>
    <w:p>
      <w:pPr>
        <w:numPr>
          <w:ilvl w:val="0"/>
          <w:numId w:val="1007"/>
        </w:numPr>
        <w:pStyle w:val="Compact"/>
      </w:pPr>
      <w:r>
        <w:rPr>
          <w:bCs/>
          <w:b/>
        </w:rPr>
        <w:t xml:space="preserve">Suggested figures/tables:</w:t>
      </w:r>
      <w:r>
        <w:t xml:space="preserve"> </w:t>
      </w:r>
      <w:r>
        <w:t xml:space="preserve">None additional.</w:t>
      </w:r>
    </w:p>
    <w:p>
      <w:pPr>
        <w:numPr>
          <w:ilvl w:val="0"/>
          <w:numId w:val="1007"/>
        </w:numPr>
        <w:pStyle w:val="Compact"/>
      </w:pPr>
      <w:r>
        <w:rPr>
          <w:bCs/>
          <w:b/>
        </w:rPr>
        <w:t xml:space="preserve">Duplication to remove:</w:t>
      </w:r>
      <w:r>
        <w:t xml:space="preserve"> </w:t>
      </w:r>
      <w:r>
        <w:t xml:space="preserve">None significant.</w:t>
      </w:r>
    </w:p>
    <w:p>
      <w:pPr>
        <w:numPr>
          <w:ilvl w:val="0"/>
          <w:numId w:val="1007"/>
        </w:numPr>
        <w:pStyle w:val="Compact"/>
      </w:pPr>
      <w:r>
        <w:rPr>
          <w:bCs/>
          <w:b/>
        </w:rPr>
        <w:t xml:space="preserve">Evidence needing full-text verification:</w:t>
      </w:r>
      <w:r>
        <w:t xml:space="preserve"> </w:t>
      </w:r>
      <w:r>
        <w:t xml:space="preserve">Zhang et al. (2025) four-system fusion comparison.</w:t>
      </w:r>
    </w:p>
    <w:bookmarkEnd w:id="34"/>
    <w:bookmarkStart w:id="35" w:name="X663c4aa2bbba3ee3cd7b6cd1c86e7a120eb055e"/>
    <w:p>
      <w:pPr>
        <w:pStyle w:val="Heading3"/>
      </w:pPr>
      <w:r>
        <w:t xml:space="preserve">6.3 The boundary: what WBE cannot replace, and equity/privacy at fine spatial resolution (300 words)</w:t>
      </w:r>
    </w:p>
    <w:p>
      <w:pPr>
        <w:numPr>
          <w:ilvl w:val="0"/>
          <w:numId w:val="1008"/>
        </w:numPr>
        <w:pStyle w:val="Compact"/>
      </w:pPr>
      <w:r>
        <w:rPr>
          <w:bCs/>
          <w:b/>
        </w:rPr>
        <w:t xml:space="preserve">Core question:</w:t>
      </w:r>
      <w:r>
        <w:t xml:space="preserve"> </w:t>
      </w:r>
      <w:r>
        <w:t xml:space="preserve">What are WBE’s structural (not merely practical) limits, and what changes ethically as spatial resolution narrows toward a single building?</w:t>
      </w:r>
    </w:p>
    <w:p>
      <w:pPr>
        <w:numPr>
          <w:ilvl w:val="0"/>
          <w:numId w:val="1008"/>
        </w:numPr>
        <w:pStyle w:val="Compact"/>
      </w:pPr>
      <w:r>
        <w:rPr>
          <w:bCs/>
          <w:b/>
        </w:rPr>
        <w:t xml:space="preserve">Must-retain arguments:</w:t>
      </w:r>
      <w:r>
        <w:t xml:space="preserve"> </w:t>
      </w:r>
      <w:r>
        <w:t xml:space="preserve">The individual-diagnosis-impossibility point; the non-sewered-population structural-exclusion finding (Yu et al.) — a required focus area, must survive compression; the three-way privacy/stigma/equity distinction (§9.6) — re-identification risk, group-level stigmatization, and structural equity-in-who-is-monitored are three different problems requiring different mitigations, and this three-way split must not collapse into one undifferentiated</w:t>
      </w:r>
      <w:r>
        <w:t xml:space="preserve"> </w:t>
      </w:r>
      <w:r>
        <w:t xml:space="preserve">“</w:t>
      </w:r>
      <w:r>
        <w:t xml:space="preserve">privacy</w:t>
      </w:r>
      <w:r>
        <w:t xml:space="preserve">”</w:t>
      </w:r>
      <w:r>
        <w:t xml:space="preserve"> </w:t>
      </w:r>
      <w:r>
        <w:t xml:space="preserve">sentence even under compression.</w:t>
      </w:r>
    </w:p>
    <w:p>
      <w:pPr>
        <w:numPr>
          <w:ilvl w:val="0"/>
          <w:numId w:val="1008"/>
        </w:numPr>
        <w:pStyle w:val="Compact"/>
      </w:pPr>
      <w:r>
        <w:rPr>
          <w:bCs/>
          <w:b/>
        </w:rPr>
        <w:t xml:space="preserve">Source chapters:</w:t>
      </w:r>
      <w:r>
        <w:t xml:space="preserve"> </w:t>
      </w:r>
      <w:r>
        <w:t xml:space="preserve">Current §9.5-§9.6, compressed from ~1,280 to 300 words.</w:t>
      </w:r>
    </w:p>
    <w:p>
      <w:pPr>
        <w:numPr>
          <w:ilvl w:val="0"/>
          <w:numId w:val="1008"/>
        </w:numPr>
        <w:pStyle w:val="Compact"/>
      </w:pPr>
      <w:r>
        <w:rPr>
          <w:bCs/>
          <w:b/>
        </w:rPr>
        <w:t xml:space="preserve">Suggested figures/tables:</w:t>
      </w:r>
      <w:r>
        <w:t xml:space="preserve"> </w:t>
      </w:r>
      <w:r>
        <w:t xml:space="preserve">None additional (this content is argument-dense, not table-friendly).</w:t>
      </w:r>
    </w:p>
    <w:p>
      <w:pPr>
        <w:numPr>
          <w:ilvl w:val="0"/>
          <w:numId w:val="1008"/>
        </w:numPr>
        <w:pStyle w:val="Compact"/>
      </w:pPr>
      <w:r>
        <w:rPr>
          <w:bCs/>
          <w:b/>
        </w:rPr>
        <w:t xml:space="preserve">Duplication to remove:</w:t>
      </w:r>
      <w:r>
        <w:t xml:space="preserve"> </w:t>
      </w:r>
      <w:r>
        <w:t xml:space="preserve">None significant.</w:t>
      </w:r>
    </w:p>
    <w:p>
      <w:pPr>
        <w:numPr>
          <w:ilvl w:val="0"/>
          <w:numId w:val="1008"/>
        </w:numPr>
        <w:pStyle w:val="Compact"/>
      </w:pPr>
      <w:r>
        <w:rPr>
          <w:bCs/>
          <w:b/>
        </w:rPr>
        <w:t xml:space="preserve">Evidence needing full-text verification:</w:t>
      </w:r>
      <w:r>
        <w:t xml:space="preserve"> </w:t>
      </w:r>
      <w:r>
        <w:t xml:space="preserve">Yu et al. (2024) ~80% sewer-connectivity figure and demographic associations; Moallef et al. (2025) 68/145 health-equity-consideration count; Kwiatkowska et al. (2022) and Thompson et al. (2024) group-stigmatization framing.</w:t>
      </w:r>
    </w:p>
    <w:bookmarkEnd w:id="35"/>
    <w:bookmarkStart w:id="36" w:name="X023e692e0d6d143b5e85d7c92aae13694eac082"/>
    <w:p>
      <w:pPr>
        <w:pStyle w:val="Heading3"/>
      </w:pPr>
      <w:r>
        <w:t xml:space="preserve">6.4 From detectable to actionable; minimum reporting (150 words)</w:t>
      </w:r>
    </w:p>
    <w:p>
      <w:pPr>
        <w:numPr>
          <w:ilvl w:val="0"/>
          <w:numId w:val="1009"/>
        </w:numPr>
        <w:pStyle w:val="Compact"/>
      </w:pPr>
      <w:r>
        <w:rPr>
          <w:bCs/>
          <w:b/>
        </w:rPr>
        <w:t xml:space="preserve">Core question:</w:t>
      </w:r>
      <w:r>
        <w:t xml:space="preserve"> </w:t>
      </w:r>
      <w:r>
        <w:t xml:space="preserve">Under what conditions does a scientifically valid signal become institutionally actionable?</w:t>
      </w:r>
    </w:p>
    <w:p>
      <w:pPr>
        <w:numPr>
          <w:ilvl w:val="0"/>
          <w:numId w:val="1009"/>
        </w:numPr>
        <w:pStyle w:val="Compact"/>
      </w:pPr>
      <w:r>
        <w:rPr>
          <w:bCs/>
          <w:b/>
        </w:rPr>
        <w:t xml:space="preserve">Must-retain arguments:</w:t>
      </w:r>
      <w:r>
        <w:t xml:space="preserve"> </w:t>
      </w:r>
      <w:r>
        <w:t xml:space="preserve">The four detectable-to-actionable conditions (§9.7) — a named, explicitly protected original framework (uncertainty translated to decision-relevant terms; institutional response protocol exists; detection-to-action timescale adequate; threshold validated against the specific deployment’s cost structure) must be retained as a numbered list even under maximum compression, not paraphrased into prose that loses the four-way structure.</w:t>
      </w:r>
    </w:p>
    <w:p>
      <w:pPr>
        <w:numPr>
          <w:ilvl w:val="0"/>
          <w:numId w:val="1009"/>
        </w:numPr>
        <w:pStyle w:val="Compact"/>
      </w:pPr>
      <w:r>
        <w:rPr>
          <w:bCs/>
          <w:b/>
        </w:rPr>
        <w:t xml:space="preserve">Source chapters:</w:t>
      </w:r>
      <w:r>
        <w:t xml:space="preserve"> </w:t>
      </w:r>
      <w:r>
        <w:t xml:space="preserve">Current §9.7-§9.8, compressed from ~940 to 150 words — §9.8’s minimum-reporting list compresses to a cross-reference to the consolidated Table 4.</w:t>
      </w:r>
    </w:p>
    <w:p>
      <w:pPr>
        <w:numPr>
          <w:ilvl w:val="0"/>
          <w:numId w:val="1009"/>
        </w:numPr>
        <w:pStyle w:val="Compact"/>
      </w:pPr>
      <w:r>
        <w:rPr>
          <w:bCs/>
          <w:b/>
        </w:rPr>
        <w:t xml:space="preserve">Suggested figures/tables:</w:t>
      </w:r>
      <w:r>
        <w:t xml:space="preserve"> </w:t>
      </w:r>
      <w:r>
        <w:t xml:space="preserve">Table 4.</w:t>
      </w:r>
    </w:p>
    <w:p>
      <w:pPr>
        <w:numPr>
          <w:ilvl w:val="0"/>
          <w:numId w:val="1009"/>
        </w:numPr>
        <w:pStyle w:val="Compact"/>
      </w:pPr>
      <w:r>
        <w:rPr>
          <w:bCs/>
          <w:b/>
        </w:rPr>
        <w:t xml:space="preserve">Duplication to remove:</w:t>
      </w:r>
      <w:r>
        <w:t xml:space="preserve"> </w:t>
      </w:r>
      <w:r>
        <w:t xml:space="preserve">None (canonical location for this framework).</w:t>
      </w:r>
    </w:p>
    <w:p>
      <w:pPr>
        <w:numPr>
          <w:ilvl w:val="0"/>
          <w:numId w:val="1009"/>
        </w:numPr>
        <w:pStyle w:val="Compact"/>
      </w:pPr>
      <w:r>
        <w:rPr>
          <w:bCs/>
          <w:b/>
        </w:rPr>
        <w:t xml:space="preserve">Evidence needing full-text verification:</w:t>
      </w:r>
      <w:r>
        <w:t xml:space="preserve"> </w:t>
      </w:r>
      <w:r>
        <w:t xml:space="preserve">National strategy guidance’s ~1-week reporting-timeliness figure (currently flagged as illustrative order-of-magnitude only, not an established standard).</w:t>
      </w:r>
    </w:p>
    <w:p>
      <w:r>
        <w:pict>
          <v:rect style="width:0;height:1.5pt" o:hralign="center" o:hrstd="t" o:hr="t"/>
        </w:pict>
      </w:r>
    </w:p>
    <w:bookmarkEnd w:id="36"/>
    <w:bookmarkEnd w:id="37"/>
    <w:bookmarkStart w:id="41" w:name="X43e55c3fcd791bd7ae103e84cfa830e6d8b9a76"/>
    <w:p>
      <w:pPr>
        <w:pStyle w:val="Heading2"/>
      </w:pPr>
      <w:r>
        <w:t xml:space="preserve">Part 7. Enabling infrastructure and technology readiness (target 600, tentative — NOT drafted this round; title + placeholder only in the condensed draft)</w:t>
      </w:r>
    </w:p>
    <w:p>
      <w:pPr>
        <w:pStyle w:val="FirstParagraph"/>
      </w:pPr>
      <w:r>
        <w:rPr>
          <w:bCs/>
          <w:b/>
        </w:rPr>
        <w:t xml:space="preserve">Budget revised down from Phase 1’s 800 to a tentative 600</w:t>
      </w:r>
      <w:r>
        <w:t xml:space="preserve"> </w:t>
      </w:r>
      <w:r>
        <w:t xml:space="preserve">per this round’s corrected total-length constraint. Subsection plan below retained from Phase 1 as a Phase 2B starting point only.</w:t>
      </w:r>
    </w:p>
    <w:bookmarkStart w:id="38" w:name="X6df492eeef7510d39295a81168f5b39aa11c2da"/>
    <w:p>
      <w:pPr>
        <w:pStyle w:val="Heading3"/>
      </w:pPr>
      <w:r>
        <w:t xml:space="preserve">7.1 Sensing, measurement, and modeling infrastructure (300 words)</w:t>
      </w:r>
    </w:p>
    <w:p>
      <w:pPr>
        <w:numPr>
          <w:ilvl w:val="0"/>
          <w:numId w:val="1010"/>
        </w:numPr>
        <w:pStyle w:val="Compact"/>
      </w:pPr>
      <w:r>
        <w:rPr>
          <w:bCs/>
          <w:b/>
        </w:rPr>
        <w:t xml:space="preserve">Core question:</w:t>
      </w:r>
      <w:r>
        <w:t xml:space="preserve"> </w:t>
      </w:r>
      <w:r>
        <w:t xml:space="preserve">What infrastructural capabilities determine whether a finer-resolution, lower-latency, mechanistically-grounded signal can be produced at all?</w:t>
      </w:r>
    </w:p>
    <w:p>
      <w:pPr>
        <w:numPr>
          <w:ilvl w:val="0"/>
          <w:numId w:val="1010"/>
        </w:numPr>
        <w:pStyle w:val="Compact"/>
      </w:pPr>
      <w:r>
        <w:rPr>
          <w:bCs/>
          <w:b/>
        </w:rPr>
        <w:t xml:space="preserve">Must-retain arguments:</w:t>
      </w:r>
      <w:r>
        <w:t xml:space="preserve"> </w:t>
      </w:r>
      <w:r>
        <w:t xml:space="preserve">The spatial-resolution/signal-stability trade-off (§10.1, an original framing); the explicit TRL-1-2 classification of near-real-time biosensor results (§10.2) as a demonstration of this chapter’s evidentiary discipline; the digital twin as</w:t>
      </w:r>
      <w:r>
        <w:t xml:space="preserve"> </w:t>
      </w:r>
      <w:r>
        <w:t xml:space="preserve">“</w:t>
      </w:r>
      <w:r>
        <w:t xml:space="preserve">process-constraint-generating tool, not automatic source-signal validator</w:t>
      </w:r>
      <w:r>
        <w:t xml:space="preserve">”</w:t>
      </w:r>
      <w:r>
        <w:t xml:space="preserve"> </w:t>
      </w:r>
      <w:r>
        <w:t xml:space="preserve">distinction (§10.3).</w:t>
      </w:r>
    </w:p>
    <w:p>
      <w:pPr>
        <w:numPr>
          <w:ilvl w:val="0"/>
          <w:numId w:val="1010"/>
        </w:numPr>
        <w:pStyle w:val="Compact"/>
      </w:pPr>
      <w:r>
        <w:rPr>
          <w:bCs/>
          <w:b/>
        </w:rPr>
        <w:t xml:space="preserve">Source chapters:</w:t>
      </w:r>
      <w:r>
        <w:t xml:space="preserve"> </w:t>
      </w:r>
      <w:r>
        <w:t xml:space="preserve">Current §10.1-§10.4, compressed from ~1,460 to 300 words.</w:t>
      </w:r>
    </w:p>
    <w:p>
      <w:pPr>
        <w:numPr>
          <w:ilvl w:val="0"/>
          <w:numId w:val="1010"/>
        </w:numPr>
        <w:pStyle w:val="Compact"/>
      </w:pPr>
      <w:r>
        <w:rPr>
          <w:bCs/>
          <w:b/>
        </w:rPr>
        <w:t xml:space="preserve">Suggested figures/tables:</w:t>
      </w:r>
      <w:r>
        <w:t xml:space="preserve"> </w:t>
      </w:r>
      <w:r>
        <w:t xml:space="preserve">Table 5 rows (Technology-required-evidence-failure-mode-readiness-level matrix, retained/redesigned from current Table 8).</w:t>
      </w:r>
    </w:p>
    <w:p>
      <w:pPr>
        <w:numPr>
          <w:ilvl w:val="0"/>
          <w:numId w:val="1010"/>
        </w:numPr>
        <w:pStyle w:val="Compact"/>
      </w:pPr>
      <w:r>
        <w:rPr>
          <w:bCs/>
          <w:b/>
        </w:rPr>
        <w:t xml:space="preserve">Duplication to remove:</w:t>
      </w:r>
      <w:r>
        <w:t xml:space="preserve"> </w:t>
      </w:r>
      <w:r>
        <w:t xml:space="preserve">None significant.</w:t>
      </w:r>
    </w:p>
    <w:p>
      <w:pPr>
        <w:numPr>
          <w:ilvl w:val="0"/>
          <w:numId w:val="1010"/>
        </w:numPr>
        <w:pStyle w:val="Compact"/>
      </w:pPr>
      <w:r>
        <w:rPr>
          <w:bCs/>
          <w:b/>
        </w:rPr>
        <w:t xml:space="preserve">Evidence needing full-text verification:</w:t>
      </w:r>
      <w:r>
        <w:t xml:space="preserve"> </w:t>
      </w:r>
      <w:r>
        <w:t xml:space="preserve">Schang et al. (2021) low-prevalence detection-floor figures; Sharma et al. (2024) turnaround-time figures; Bam et al. (2025) 147-study digital-twin synthesis.</w:t>
      </w:r>
    </w:p>
    <w:bookmarkEnd w:id="38"/>
    <w:bookmarkStart w:id="39" w:name="X7b800b4e14a59085e1587d4e9bd3a2fc2b8ef2e"/>
    <w:p>
      <w:pPr>
        <w:pStyle w:val="Heading3"/>
      </w:pPr>
      <w:r>
        <w:t xml:space="preserve">7.2 Process-informed AI, standards, and data interoperability (200 words)</w:t>
      </w:r>
    </w:p>
    <w:p>
      <w:pPr>
        <w:numPr>
          <w:ilvl w:val="0"/>
          <w:numId w:val="1011"/>
        </w:numPr>
        <w:pStyle w:val="Compact"/>
      </w:pPr>
      <w:r>
        <w:rPr>
          <w:bCs/>
          <w:b/>
        </w:rPr>
        <w:t xml:space="preserve">Core question:</w:t>
      </w:r>
      <w:r>
        <w:t xml:space="preserve"> </w:t>
      </w:r>
      <w:r>
        <w:t xml:space="preserve">What distinguishes process-informed AI from purely statistical ML, and what infrastructural gaps (reference materials, data schemas) currently limit cross-study comparability?</w:t>
      </w:r>
    </w:p>
    <w:p>
      <w:pPr>
        <w:numPr>
          <w:ilvl w:val="0"/>
          <w:numId w:val="1011"/>
        </w:numPr>
        <w:pStyle w:val="Compact"/>
      </w:pPr>
      <w:r>
        <w:rPr>
          <w:bCs/>
          <w:b/>
        </w:rPr>
        <w:t xml:space="preserve">Must-retain arguments:</w:t>
      </w:r>
      <w:r>
        <w:t xml:space="preserve"> </w:t>
      </w:r>
      <w:r>
        <w:t xml:space="preserve">Temporal leakage and cross-population validation failure as the two named AI-specific failure modes (§10.5), compressed to one sentence each and referencing Part 3.3’s transfer-validation principle rather than re-explaining it (per the Overlap Audit); the standardization-as-precondition argument (§10.6).</w:t>
      </w:r>
    </w:p>
    <w:p>
      <w:pPr>
        <w:numPr>
          <w:ilvl w:val="0"/>
          <w:numId w:val="1011"/>
        </w:numPr>
        <w:pStyle w:val="Compact"/>
      </w:pPr>
      <w:r>
        <w:rPr>
          <w:bCs/>
          <w:b/>
        </w:rPr>
        <w:t xml:space="preserve">Source chapters:</w:t>
      </w:r>
      <w:r>
        <w:t xml:space="preserve"> </w:t>
      </w:r>
      <w:r>
        <w:t xml:space="preserve">Current §10.5-§10.7, compressed from ~1,200 to 200 words.</w:t>
      </w:r>
    </w:p>
    <w:p>
      <w:pPr>
        <w:numPr>
          <w:ilvl w:val="0"/>
          <w:numId w:val="1011"/>
        </w:numPr>
        <w:pStyle w:val="Compact"/>
      </w:pPr>
      <w:r>
        <w:rPr>
          <w:bCs/>
          <w:b/>
        </w:rPr>
        <w:t xml:space="preserve">Suggested figures/tables:</w:t>
      </w:r>
      <w:r>
        <w:t xml:space="preserve"> </w:t>
      </w:r>
      <w:r>
        <w:t xml:space="preserve">Table 5 rows.</w:t>
      </w:r>
    </w:p>
    <w:p>
      <w:pPr>
        <w:numPr>
          <w:ilvl w:val="0"/>
          <w:numId w:val="1011"/>
        </w:numPr>
        <w:pStyle w:val="Compact"/>
      </w:pPr>
      <w:r>
        <w:rPr>
          <w:bCs/>
          <w:b/>
        </w:rPr>
        <w:t xml:space="preserve">Duplication to remove:</w:t>
      </w:r>
      <w:r>
        <w:t xml:space="preserve"> </w:t>
      </w:r>
      <w:r>
        <w:t xml:space="preserve">The transfer-validation re-explanation (per Overlap Audit, argued fully at §9.2/§10.5/§10.9) — reference Part 3.3 or 6.1, do not restate.</w:t>
      </w:r>
    </w:p>
    <w:p>
      <w:pPr>
        <w:numPr>
          <w:ilvl w:val="0"/>
          <w:numId w:val="1011"/>
        </w:numPr>
        <w:pStyle w:val="Compact"/>
      </w:pPr>
      <w:r>
        <w:rPr>
          <w:bCs/>
          <w:b/>
        </w:rPr>
        <w:t xml:space="preserve">Evidence needing full-text verification:</w:t>
      </w:r>
      <w:r>
        <w:t xml:space="preserve"> </w:t>
      </w:r>
      <w:r>
        <w:t xml:space="preserve">Pagsuyoin et al. (2025); Keenum et al. (2024, flagged author-list inconsistency); Therrien et al. (2026) adoption-count claims.</w:t>
      </w:r>
    </w:p>
    <w:bookmarkEnd w:id="39"/>
    <w:bookmarkStart w:id="40" w:name="Xd4dc0b3ab0f8f01a2f3ff97e1479c1d7e1baad2"/>
    <w:p>
      <w:pPr>
        <w:pStyle w:val="Heading3"/>
      </w:pPr>
      <w:r>
        <w:t xml:space="preserve">7.3 Privacy-preserving analytics, climate resilience, and a technology-readiness framework (300 words)</w:t>
      </w:r>
    </w:p>
    <w:p>
      <w:pPr>
        <w:numPr>
          <w:ilvl w:val="0"/>
          <w:numId w:val="1012"/>
        </w:numPr>
        <w:pStyle w:val="Compact"/>
      </w:pPr>
      <w:r>
        <w:rPr>
          <w:bCs/>
          <w:b/>
        </w:rPr>
        <w:t xml:space="preserve">Core question:</w:t>
      </w:r>
      <w:r>
        <w:t xml:space="preserve"> </w:t>
      </w:r>
      <w:r>
        <w:t xml:space="preserve">What technical (not just policy) responses exist to the privacy/equity tension named in Part 6.3, and how should this review’s own evidence base be read for technology maturity?</w:t>
      </w:r>
    </w:p>
    <w:p>
      <w:pPr>
        <w:numPr>
          <w:ilvl w:val="0"/>
          <w:numId w:val="1012"/>
        </w:numPr>
        <w:pStyle w:val="Compact"/>
      </w:pPr>
      <w:r>
        <w:rPr>
          <w:bCs/>
          <w:b/>
        </w:rPr>
        <w:t xml:space="preserve">Must-retain arguments:</w:t>
      </w:r>
      <w:r>
        <w:t xml:space="preserve"> </w:t>
      </w:r>
      <w:r>
        <w:t xml:space="preserve">The federated-analysis-vs-differential-privacy distinction and</w:t>
      </w:r>
      <w:r>
        <w:t xml:space="preserve"> </w:t>
      </w:r>
      <w:r>
        <w:t xml:space="preserve">“</w:t>
      </w:r>
      <w:r>
        <w:t xml:space="preserve">technical privacy ≠ governance/equity</w:t>
      </w:r>
      <w:r>
        <w:t xml:space="preserve">”</w:t>
      </w:r>
      <w:r>
        <w:t xml:space="preserve"> </w:t>
      </w:r>
      <w:r>
        <w:t xml:space="preserve">point (§10.8); the six-level technology-readiness framework and the analytical-novelty/field-demonstration/operational-readiness three-way distinction (§10.10) — this chapter’s principal original deliverable and Original-Contribution-#4-adjacent (applies the same identifiability/evidence discipline to infrastructure rather than statistical models), must be retained in full structure even under compression.</w:t>
      </w:r>
    </w:p>
    <w:p>
      <w:pPr>
        <w:numPr>
          <w:ilvl w:val="0"/>
          <w:numId w:val="1012"/>
        </w:numPr>
        <w:pStyle w:val="Compact"/>
      </w:pPr>
      <w:r>
        <w:rPr>
          <w:bCs/>
          <w:b/>
        </w:rPr>
        <w:t xml:space="preserve">Source chapters:</w:t>
      </w:r>
      <w:r>
        <w:t xml:space="preserve"> </w:t>
      </w:r>
      <w:r>
        <w:t xml:space="preserve">Current §10.8-§10.10, compressed from ~1,130 to 300 words.</w:t>
      </w:r>
    </w:p>
    <w:p>
      <w:pPr>
        <w:numPr>
          <w:ilvl w:val="0"/>
          <w:numId w:val="1012"/>
        </w:numPr>
        <w:pStyle w:val="Compact"/>
      </w:pPr>
      <w:r>
        <w:rPr>
          <w:bCs/>
          <w:b/>
        </w:rPr>
        <w:t xml:space="preserve">Suggested figures/tables:</w:t>
      </w:r>
      <w:r>
        <w:t xml:space="preserve"> </w:t>
      </w:r>
      <w:r>
        <w:rPr>
          <w:bCs/>
          <w:b/>
        </w:rPr>
        <w:t xml:space="preserve">Figure 4 (Detection-to-decision readiness pathway)</w:t>
      </w:r>
      <w:r>
        <w:t xml:space="preserve"> </w:t>
      </w:r>
      <w:r>
        <w:t xml:space="preserve">and Table 5 both anchor here.</w:t>
      </w:r>
    </w:p>
    <w:p>
      <w:pPr>
        <w:numPr>
          <w:ilvl w:val="0"/>
          <w:numId w:val="1012"/>
        </w:numPr>
        <w:pStyle w:val="Compact"/>
      </w:pPr>
      <w:r>
        <w:rPr>
          <w:bCs/>
          <w:b/>
        </w:rPr>
        <w:t xml:space="preserve">Duplication to remove:</w:t>
      </w:r>
      <w:r>
        <w:t xml:space="preserve"> </w:t>
      </w:r>
      <w:r>
        <w:t xml:space="preserve">The third transfer-validation instance (§10.9, per Overlap Audit) — shorten to one sentence pointing back to Part 3.3.</w:t>
      </w:r>
    </w:p>
    <w:p>
      <w:pPr>
        <w:numPr>
          <w:ilvl w:val="0"/>
          <w:numId w:val="1012"/>
        </w:numPr>
        <w:pStyle w:val="Compact"/>
      </w:pPr>
      <w:r>
        <w:rPr>
          <w:bCs/>
          <w:b/>
        </w:rPr>
        <w:t xml:space="preserve">Evidence needing full-text verification:</w:t>
      </w:r>
      <w:r>
        <w:t xml:space="preserve"> </w:t>
      </w:r>
      <w:r>
        <w:t xml:space="preserve">Wang et al. (2025) federated-learning water-quality (non-epidemiological) demonstration.</w:t>
      </w:r>
    </w:p>
    <w:p>
      <w:r>
        <w:pict>
          <v:rect style="width:0;height:1.5pt" o:hralign="center" o:hrstd="t" o:hr="t"/>
        </w:pict>
      </w:r>
    </w:p>
    <w:bookmarkEnd w:id="40"/>
    <w:bookmarkEnd w:id="41"/>
    <w:bookmarkStart w:id="44" w:name="Xc07962222bbe0734623cd8072464ca19100b92b"/>
    <w:p>
      <w:pPr>
        <w:pStyle w:val="Heading2"/>
      </w:pPr>
      <w:r>
        <w:t xml:space="preserve">Part 8. Research priorities and conclusions (700 words, unchanged — NOT drafted this round; title + placeholder only in the condensed draft)</w:t>
      </w:r>
    </w:p>
    <w:p>
      <w:pPr>
        <w:pStyle w:val="FirstParagraph"/>
      </w:pPr>
      <w:r>
        <w:rPr>
          <w:bCs/>
          <w:b/>
        </w:rPr>
        <w:t xml:space="preserve">This part does not exist in the current source draft</w:t>
      </w:r>
      <w:r>
        <w:t xml:space="preserve"> </w:t>
      </w:r>
      <w:r>
        <w:t xml:space="preserve">(Chapters 11-12 have not been written). The structure below is a target plan for future drafting, not a compression of existing text — no current-draft words map to Part 8 (see Compression Map’s explicit note on this).</w:t>
      </w:r>
    </w:p>
    <w:bookmarkStart w:id="42" w:name="Xe6f03aafb9555f0ac8e3e3c842d7650a3d50b10"/>
    <w:p>
      <w:pPr>
        <w:pStyle w:val="Heading3"/>
      </w:pPr>
      <w:r>
        <w:t xml:space="preserve">8.1 Research priorities (350 words; capped at 5-7 testable tasks, per instruction — NOT an independent Chapter 11)</w:t>
      </w:r>
    </w:p>
    <w:p>
      <w:pPr>
        <w:numPr>
          <w:ilvl w:val="0"/>
          <w:numId w:val="1013"/>
        </w:numPr>
        <w:pStyle w:val="Compact"/>
      </w:pPr>
      <w:r>
        <w:rPr>
          <w:bCs/>
          <w:b/>
        </w:rPr>
        <w:t xml:space="preserve">Core question:</w:t>
      </w:r>
      <w:r>
        <w:t xml:space="preserve"> </w:t>
      </w:r>
      <w:r>
        <w:t xml:space="preserve">What are the highest-priority, independently testable research tasks this review’s evidence base points to?</w:t>
      </w:r>
    </w:p>
    <w:p>
      <w:pPr>
        <w:numPr>
          <w:ilvl w:val="0"/>
          <w:numId w:val="1013"/>
        </w:numPr>
        <w:pStyle w:val="Compact"/>
      </w:pPr>
      <w:r>
        <w:rPr>
          <w:bCs/>
          <w:b/>
        </w:rPr>
        <w:t xml:space="preserve">Candidate priorities</w:t>
      </w:r>
      <w:r>
        <w:t xml:space="preserve"> </w:t>
      </w:r>
      <w:r>
        <w:t xml:space="preserve">(to be finalized when this section is actually drafted; listed here only to confirm the 5-7 cap is achievable from material already in the source draft, not to pre-draft the content):</w:t>
      </w:r>
    </w:p>
    <w:p>
      <w:pPr>
        <w:numPr>
          <w:ilvl w:val="1"/>
          <w:numId w:val="1014"/>
        </w:numPr>
        <w:pStyle w:val="Compact"/>
      </w:pPr>
      <w:r>
        <w:t xml:space="preserve">Cross-population/cross-climate transfer validation of detection thresholds, AI models, and correction models (the three-times-argued transfer-validation principle, §9.2/§10.5/§10.9) — a single, well-designed multi-site transfer study could address all three surface instances at once.</w:t>
      </w:r>
    </w:p>
    <w:p>
      <w:pPr>
        <w:numPr>
          <w:ilvl w:val="1"/>
          <w:numId w:val="1014"/>
        </w:numPr>
        <w:pStyle w:val="Compact"/>
      </w:pPr>
      <w:r>
        <w:t xml:space="preserve">Structural-identifiability and state-observability diagnostics applied specifically to WBE reconstruction models (§7.3’s documented gap — general epidemic-modeling identifiability tools exist but are rarely applied to a wastewater observation equation).</w:t>
      </w:r>
    </w:p>
    <w:p>
      <w:pPr>
        <w:numPr>
          <w:ilvl w:val="1"/>
          <w:numId w:val="1014"/>
        </w:numPr>
        <w:pStyle w:val="Compact"/>
      </w:pPr>
      <w:r>
        <w:t xml:space="preserve">A dedicated multi-source (clinical + mobility + genomic + wastewater) fusion study, as opposed to the single-source multi-model ensemble study currently in the evidence base (§7.1.2’s named gap).</w:t>
      </w:r>
    </w:p>
    <w:p>
      <w:pPr>
        <w:numPr>
          <w:ilvl w:val="1"/>
          <w:numId w:val="1014"/>
        </w:numPr>
        <w:pStyle w:val="Compact"/>
      </w:pPr>
      <w:r>
        <w:t xml:space="preserve">Formal coverage/posterior-predictive-check validation of propagated uncertainty intervals against independent reference data (§8.16’s documented near-absence in applied WBE studies).</w:t>
      </w:r>
    </w:p>
    <w:p>
      <w:pPr>
        <w:numPr>
          <w:ilvl w:val="1"/>
          <w:numId w:val="1014"/>
        </w:numPr>
        <w:pStyle w:val="Compact"/>
      </w:pPr>
      <w:r>
        <w:t xml:space="preserve">A dedicated climate-transfer validation study for process-informed correction models under nonstationary rainfall regimes (§10.9’s named gap).</w:t>
      </w:r>
    </w:p>
    <w:p>
      <w:pPr>
        <w:numPr>
          <w:ilvl w:val="1"/>
          <w:numId w:val="1014"/>
        </w:numPr>
        <w:pStyle w:val="Compact"/>
      </w:pPr>
      <w:r>
        <w:t xml:space="preserve">Standardized minimum-reporting-schema adoption testing (§10.7) — does a shared metadata standard actually reduce the ambiguous-dataset-relationship problem this review’s own reference management encountered.</w:t>
      </w:r>
    </w:p>
    <w:p>
      <w:pPr>
        <w:numPr>
          <w:ilvl w:val="1"/>
          <w:numId w:val="1014"/>
        </w:numPr>
        <w:pStyle w:val="Compact"/>
      </w:pPr>
      <w:r>
        <w:rPr>
          <w:iCs/>
          <w:i/>
        </w:rPr>
        <w:t xml:space="preserve">(optional 7th, if space allows)</w:t>
      </w:r>
      <w:r>
        <w:t xml:space="preserve"> </w:t>
      </w:r>
      <w:r>
        <w:t xml:space="preserve">An operational, decision-value-validated (TRL 6) deployment case study for any of the Chapter 10 technologies — none currently exists in this review’s evidence base.</w:t>
      </w:r>
    </w:p>
    <w:p>
      <w:pPr>
        <w:numPr>
          <w:ilvl w:val="0"/>
          <w:numId w:val="1013"/>
        </w:numPr>
        <w:pStyle w:val="Compact"/>
      </w:pPr>
      <w:r>
        <w:rPr>
          <w:bCs/>
          <w:b/>
        </w:rPr>
        <w:t xml:space="preserve">Source chapters:</w:t>
      </w:r>
      <w:r>
        <w:t xml:space="preserve"> </w:t>
      </w:r>
      <w:r>
        <w:t xml:space="preserve">New content, synthesized from gaps already documented across Chapters 3-10 (each candidate above cites its source gap) — not requiring new literature search to identify the gaps themselves, though addressing them would.</w:t>
      </w:r>
    </w:p>
    <w:p>
      <w:pPr>
        <w:numPr>
          <w:ilvl w:val="0"/>
          <w:numId w:val="1013"/>
        </w:numPr>
        <w:pStyle w:val="Compact"/>
      </w:pPr>
      <w:r>
        <w:rPr>
          <w:bCs/>
          <w:b/>
        </w:rPr>
        <w:t xml:space="preserve">Must-retain constraint:</w:t>
      </w:r>
      <w:r>
        <w:t xml:space="preserve"> </w:t>
      </w:r>
      <w:r>
        <w:t xml:space="preserve">Capped at 5-7 items; must not expand into a full standalone chapter.</w:t>
      </w:r>
    </w:p>
    <w:bookmarkEnd w:id="42"/>
    <w:bookmarkStart w:id="43" w:name="Xf85ec67e335c10a72de6dca15cb39ca2e810246"/>
    <w:p>
      <w:pPr>
        <w:pStyle w:val="Heading3"/>
      </w:pPr>
      <w:r>
        <w:t xml:space="preserve">8.2 Conclusions (350 words; 300-400 word range — NOT an independent Chapter 12)</w:t>
      </w:r>
    </w:p>
    <w:p>
      <w:pPr>
        <w:numPr>
          <w:ilvl w:val="0"/>
          <w:numId w:val="1015"/>
        </w:numPr>
        <w:pStyle w:val="Compact"/>
      </w:pPr>
      <w:r>
        <w:rPr>
          <w:bCs/>
          <w:b/>
        </w:rPr>
        <w:t xml:space="preserve">Core question:</w:t>
      </w:r>
      <w:r>
        <w:t xml:space="preserve"> </w:t>
      </w:r>
      <w:r>
        <w:t xml:space="preserve">What does this review establish, and what does it explicitly not establish?</w:t>
      </w:r>
    </w:p>
    <w:p>
      <w:pPr>
        <w:numPr>
          <w:ilvl w:val="0"/>
          <w:numId w:val="1015"/>
        </w:numPr>
        <w:pStyle w:val="Compact"/>
      </w:pPr>
      <w:r>
        <w:rPr>
          <w:bCs/>
          <w:b/>
        </w:rPr>
        <w:t xml:space="preserve">Must-retain arguments:</w:t>
      </w:r>
      <w:r>
        <w:t xml:space="preserve"> </w:t>
      </w:r>
      <w:r>
        <w:t xml:space="preserve">A restatement of the four original contributions (inverse-problem framing; amplitude-temporal-spatial distortion framework; normalization as mechanism-specific causal correction; identifiability- and uncertainty-aware reconstruction from detection to decision) in 1 sentence each; an explicit statement that this remains a conceptual synthesis pending formal systematic search and full-text verification (carried through, in compressed form, from the source draft’s standing evidentiary caveat) — this must survive compression, since overstating the manuscript’s evidentiary status in the one section most readers finish on is the single highest-risk overclaiming failure mode for this compression effort.</w:t>
      </w:r>
    </w:p>
    <w:p>
      <w:pPr>
        <w:numPr>
          <w:ilvl w:val="0"/>
          <w:numId w:val="1015"/>
        </w:numPr>
        <w:pStyle w:val="Compact"/>
      </w:pPr>
      <w:r>
        <w:rPr>
          <w:bCs/>
          <w:b/>
        </w:rPr>
        <w:t xml:space="preserve">Source chapters:</w:t>
      </w:r>
      <w:r>
        <w:t xml:space="preserve"> </w:t>
      </w:r>
      <w:r>
        <w:t xml:space="preserve">New content — no current chapter is a</w:t>
      </w:r>
      <w:r>
        <w:t xml:space="preserve"> </w:t>
      </w:r>
      <w:r>
        <w:t xml:space="preserve">“</w:t>
      </w:r>
      <w:r>
        <w:t xml:space="preserve">conclusions</w:t>
      </w:r>
      <w:r>
        <w:t xml:space="preserve">”</w:t>
      </w:r>
      <w:r>
        <w:t xml:space="preserve"> </w:t>
      </w:r>
      <w:r>
        <w:t xml:space="preserve">chapter; loosely informed by current §1’s three organizing arguments, restated forward-looking rather than introductory.</w:t>
      </w:r>
    </w:p>
    <w:p>
      <w:pPr>
        <w:numPr>
          <w:ilvl w:val="0"/>
          <w:numId w:val="1015"/>
        </w:numPr>
        <w:pStyle w:val="Compact"/>
      </w:pPr>
      <w:r>
        <w:rPr>
          <w:bCs/>
          <w:b/>
        </w:rPr>
        <w:t xml:space="preserve">Must-retain constraint:</w:t>
      </w:r>
      <w:r>
        <w:t xml:space="preserve"> </w:t>
      </w:r>
      <w:r>
        <w:t xml:space="preserve">300-400 words; must not expand into a full standalone chapter.</w:t>
      </w:r>
    </w:p>
    <w:p>
      <w:r>
        <w:pict>
          <v:rect style="width:0;height:1.5pt" o:hralign="center" o:hrstd="t" o:hr="t"/>
        </w:pict>
      </w:r>
    </w:p>
    <w:bookmarkEnd w:id="43"/>
    <w:bookmarkEnd w:id="44"/>
    <w:bookmarkStart w:id="45" w:name="Xed841de160d3ebcb7078c98bd6895f1f5da4408"/>
    <w:p>
      <w:pPr>
        <w:pStyle w:val="Heading2"/>
      </w:pPr>
      <w:r>
        <w:t xml:space="preserve">Four original contributions: protection matrix</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Contribution</w:t>
            </w:r>
          </w:p>
        </w:tc>
        <w:tc>
          <w:tcPr/>
          <w:p>
            <w:pPr>
              <w:pStyle w:val="Compact"/>
              <w:jc w:val="left"/>
            </w:pPr>
            <w:r>
              <w:t xml:space="preserve">First defined</w:t>
            </w:r>
          </w:p>
        </w:tc>
        <w:tc>
          <w:tcPr/>
          <w:p>
            <w:pPr>
              <w:pStyle w:val="Compact"/>
              <w:jc w:val="left"/>
            </w:pPr>
            <w:r>
              <w:t xml:space="preserve">Main development</w:t>
            </w:r>
          </w:p>
        </w:tc>
        <w:tc>
          <w:tcPr/>
          <w:p>
            <w:pPr>
              <w:pStyle w:val="Compact"/>
              <w:jc w:val="left"/>
            </w:pPr>
            <w:r>
              <w:t xml:space="preserve">Figure/table carrying it</w:t>
            </w:r>
          </w:p>
        </w:tc>
        <w:tc>
          <w:tcPr/>
          <w:p>
            <w:pPr>
              <w:pStyle w:val="Compact"/>
              <w:jc w:val="left"/>
            </w:pPr>
            <w:r>
              <w:t xml:space="preserve">Final-conclusion location</w:t>
            </w:r>
          </w:p>
        </w:tc>
        <w:tc>
          <w:tcPr/>
          <w:p>
            <w:pPr>
              <w:pStyle w:val="Compact"/>
              <w:jc w:val="left"/>
            </w:pPr>
            <w:r>
              <w:t xml:space="preserve">Duplicate/repeated locations removed by this outline</w:t>
            </w:r>
          </w:p>
        </w:tc>
      </w:tr>
      <w:tr>
        <w:tc>
          <w:tcPr/>
          <w:p>
            <w:pPr>
              <w:pStyle w:val="Compact"/>
              <w:jc w:val="left"/>
            </w:pPr>
            <w:r>
              <w:rPr>
                <w:bCs/>
                <w:b/>
              </w:rPr>
              <w:t xml:space="preserve">1. WBE as an inverse problem</w:t>
            </w:r>
          </w:p>
        </w:tc>
        <w:tc>
          <w:tcPr/>
          <w:p>
            <w:pPr>
              <w:pStyle w:val="Compact"/>
              <w:jc w:val="left"/>
            </w:pPr>
            <w:r>
              <w:t xml:space="preserve">Part 1.1 (§1)</w:t>
            </w:r>
          </w:p>
        </w:tc>
        <w:tc>
          <w:tcPr/>
          <w:p>
            <w:pPr>
              <w:pStyle w:val="Compact"/>
              <w:jc w:val="left"/>
            </w:pPr>
            <w:r>
              <w:t xml:space="preserve">Part 2.1 (§3.0)</w:t>
            </w:r>
          </w:p>
        </w:tc>
        <w:tc>
          <w:tcPr/>
          <w:p>
            <w:pPr>
              <w:pStyle w:val="Compact"/>
              <w:jc w:val="left"/>
            </w:pPr>
            <w:r>
              <w:t xml:space="preserve">Figure 1 (source-to-inference signal chain)</w:t>
            </w:r>
          </w:p>
        </w:tc>
        <w:tc>
          <w:tcPr/>
          <w:p>
            <w:pPr>
              <w:pStyle w:val="Compact"/>
              <w:jc w:val="left"/>
            </w:pPr>
            <w:r>
              <w:t xml:space="preserve">Part 8.2 (Conclusions, 1-sentence restatement)</w:t>
            </w:r>
          </w:p>
        </w:tc>
        <w:tc>
          <w:tcPr/>
          <w:p>
            <w:pPr>
              <w:pStyle w:val="Compact"/>
              <w:jc w:val="left"/>
            </w:pPr>
            <w:r>
              <w:t xml:space="preserve">The formal statement currently also appears, restated, in each chapter’s own opening bridge language (§5.0, §6.0, §7.0, §8.0, §9.0, §10.0) and again in the 6 end-matter Structural Bridge sections — this outline keeps one canonical statement (Part 2.1) and reduces every other occurrence to a short cross-reference, per the Overlap Audit’s largest single finding.</w:t>
            </w:r>
          </w:p>
        </w:tc>
      </w:tr>
      <w:tr>
        <w:tc>
          <w:tcPr/>
          <w:p>
            <w:pPr>
              <w:pStyle w:val="Compact"/>
              <w:jc w:val="left"/>
            </w:pPr>
            <w:r>
              <w:rPr>
                <w:bCs/>
                <w:b/>
              </w:rPr>
              <w:t xml:space="preserve">2. Amplitude-temporal-spatial distortion framework</w:t>
            </w:r>
          </w:p>
        </w:tc>
        <w:tc>
          <w:tcPr/>
          <w:p>
            <w:pPr>
              <w:pStyle w:val="Compact"/>
              <w:jc w:val="left"/>
            </w:pPr>
            <w:r>
              <w:t xml:space="preserve">Part 1.1 / Part 2.1 (§1/§3.0)</w:t>
            </w:r>
          </w:p>
        </w:tc>
        <w:tc>
          <w:tcPr/>
          <w:p>
            <w:pPr>
              <w:pStyle w:val="Compact"/>
              <w:jc w:val="left"/>
            </w:pPr>
            <w:r>
              <w:t xml:space="preserve">Part 2, Part 3 (§3-4)</w:t>
            </w:r>
          </w:p>
        </w:tc>
        <w:tc>
          <w:tcPr/>
          <w:p>
            <w:pPr>
              <w:pStyle w:val="Compact"/>
              <w:jc w:val="left"/>
            </w:pPr>
            <w:r>
              <w:t xml:space="preserve">Figure 2 (distortion framework diagram)</w:t>
            </w:r>
          </w:p>
        </w:tc>
        <w:tc>
          <w:tcPr/>
          <w:p>
            <w:pPr>
              <w:pStyle w:val="Compact"/>
              <w:jc w:val="left"/>
            </w:pPr>
            <w:r>
              <w:t xml:space="preserve">Part 8.2</w:t>
            </w:r>
          </w:p>
        </w:tc>
        <w:tc>
          <w:tcPr/>
          <w:p>
            <w:pPr>
              <w:pStyle w:val="Compact"/>
              <w:jc w:val="left"/>
            </w:pPr>
            <w:r>
              <w:t xml:space="preserve">The three-term taxonomy is defined once (§3.0/§1, currently duplicated) and then applied, not re-defined, in Chapters 5-10 — this outline preserves that discipline; the one duplication removed is the definition itself appearing twice in the current source (§1 and §3.0).</w:t>
            </w:r>
          </w:p>
        </w:tc>
      </w:tr>
      <w:tr>
        <w:tc>
          <w:tcPr/>
          <w:p>
            <w:pPr>
              <w:pStyle w:val="Compact"/>
              <w:jc w:val="left"/>
            </w:pPr>
            <w:r>
              <w:rPr>
                <w:bCs/>
                <w:b/>
              </w:rPr>
              <w:t xml:space="preserve">3. Normalization as mechanism-specific causal correction</w:t>
            </w:r>
          </w:p>
        </w:tc>
        <w:tc>
          <w:tcPr/>
          <w:p>
            <w:pPr>
              <w:pStyle w:val="Compact"/>
              <w:jc w:val="left"/>
            </w:pPr>
            <w:r>
              <w:t xml:space="preserve">Part 4.2 (§6.0-§6.1)</w:t>
            </w:r>
          </w:p>
        </w:tc>
        <w:tc>
          <w:tcPr/>
          <w:p>
            <w:pPr>
              <w:pStyle w:val="Compact"/>
              <w:jc w:val="left"/>
            </w:pPr>
            <w:r>
              <w:t xml:space="preserve">Part 4 (§6)</w:t>
            </w:r>
          </w:p>
        </w:tc>
        <w:tc>
          <w:tcPr/>
          <w:p>
            <w:pPr>
              <w:pStyle w:val="Compact"/>
              <w:jc w:val="left"/>
            </w:pPr>
            <w:r>
              <w:t xml:space="preserve">Table 2 (normalization-assumption-residual-uncertainty matrix)</w:t>
            </w:r>
          </w:p>
        </w:tc>
        <w:tc>
          <w:tcPr/>
          <w:p>
            <w:pPr>
              <w:pStyle w:val="Compact"/>
              <w:jc w:val="left"/>
            </w:pPr>
            <w:r>
              <w:t xml:space="preserve">Part 8.2</w:t>
            </w:r>
          </w:p>
        </w:tc>
        <w:tc>
          <w:tcPr/>
          <w:p>
            <w:pPr>
              <w:pStyle w:val="Compact"/>
              <w:jc w:val="left"/>
            </w:pPr>
            <w:r>
              <w:t xml:space="preserve">The</w:t>
            </w:r>
            <w:r>
              <w:t xml:space="preserve"> </w:t>
            </w:r>
            <w:r>
              <w:t xml:space="preserve">“</w:t>
            </w:r>
            <w:r>
              <w:t xml:space="preserve">Normalization ≠ reconstruction</w:t>
            </w:r>
            <w:r>
              <w:t xml:space="preserve">”</w:t>
            </w:r>
            <w:r>
              <w:t xml:space="preserve"> </w:t>
            </w:r>
            <w:r>
              <w:t xml:space="preserve">proposition and the §6.6 joint-condition proposition are each stated once in the source draft already (no significant duplication found for this contribution specifically) — this outline’s main compression action is moving per-biomarker narrative evidence into the table, not removing conceptual duplication.</w:t>
            </w:r>
          </w:p>
        </w:tc>
      </w:tr>
      <w:tr>
        <w:tc>
          <w:tcPr/>
          <w:p>
            <w:pPr>
              <w:pStyle w:val="Compact"/>
              <w:jc w:val="left"/>
            </w:pPr>
            <w:r>
              <w:rPr>
                <w:bCs/>
                <w:b/>
              </w:rPr>
              <w:t xml:space="preserve">4. Identifiability- and uncertainty-aware reconstruction from detection to decision</w:t>
            </w:r>
          </w:p>
        </w:tc>
        <w:tc>
          <w:tcPr/>
          <w:p>
            <w:pPr>
              <w:pStyle w:val="Compact"/>
              <w:jc w:val="left"/>
            </w:pPr>
            <w:r>
              <w:t xml:space="preserve">Part 5.1 (§7.0)</w:t>
            </w:r>
          </w:p>
        </w:tc>
        <w:tc>
          <w:tcPr/>
          <w:p>
            <w:pPr>
              <w:pStyle w:val="Compact"/>
              <w:jc w:val="left"/>
            </w:pPr>
            <w:r>
              <w:t xml:space="preserve">Part 5 (§7-8), extended into Part 6 (§9) and Part 7 (§10.10)</w:t>
            </w:r>
          </w:p>
        </w:tc>
        <w:tc>
          <w:tcPr/>
          <w:p>
            <w:pPr>
              <w:pStyle w:val="Compact"/>
              <w:jc w:val="left"/>
            </w:pPr>
            <w:r>
              <w:t xml:space="preserve">Figure 3 (reconstruction/uncertainty framework), Table 3 (model-identifiability-validation matrix)</w:t>
            </w:r>
          </w:p>
        </w:tc>
        <w:tc>
          <w:tcPr/>
          <w:p>
            <w:pPr>
              <w:pStyle w:val="Compact"/>
              <w:jc w:val="left"/>
            </w:pPr>
            <w:r>
              <w:t xml:space="preserve">Part 8.2</w:t>
            </w:r>
          </w:p>
        </w:tc>
        <w:tc>
          <w:tcPr/>
          <w:p>
            <w:pPr>
              <w:pStyle w:val="Compact"/>
              <w:jc w:val="left"/>
            </w:pPr>
            <w:r>
              <w:t xml:space="preserve">This is the contribution with the most internal duplication in the current source: the narrow-posterior-≠-identifiability point (Table 5 cell + §8.9), the validation-levels discussion (§7.5 + §8.16), and the transfer-validation principle (§9.2 + §10.5 + §10.9) are each stated in full 2-3 times — this outline consolidates each to one canonical location (Parts 5.2/5.4 merge point, 5.3 merge point, and 3.3/6.1/7.2 cross-reference chain respectively), per the Overlap Audit’s specific line items.</w:t>
            </w:r>
          </w:p>
        </w:tc>
      </w:tr>
    </w:tbl>
    <w:p>
      <w:pPr>
        <w:pStyle w:val="BodyText"/>
      </w:pPr>
      <w:r>
        <w:rPr>
          <w:bCs/>
          <w:b/>
        </w:rPr>
        <w:t xml:space="preserve">No compression action in this outline weakens any of the four contributions’ full-strength statement</w:t>
      </w:r>
      <w:r>
        <w:t xml:space="preserve"> </w:t>
      </w:r>
      <w:r>
        <w:t xml:space="preserve">— every reduction applied to these rows is either (a) removal of a self-acknowledged verbatim restatement (the bridge sections, the narrow-posterior duplication, the transfer-validation triplication), or (b) moving</w:t>
      </w:r>
      <w:r>
        <w:t xml:space="preserve"> </w:t>
      </w:r>
      <w:r>
        <w:rPr>
          <w:iCs/>
          <w:i/>
        </w:rPr>
        <w:t xml:space="preserve">supporting evidence</w:t>
      </w:r>
      <w:r>
        <w:t xml:space="preserve"> </w:t>
      </w:r>
      <w:r>
        <w:t xml:space="preserve">(per-study narrative) to a table or SI while keeping the</w:t>
      </w:r>
      <w:r>
        <w:t xml:space="preserve"> </w:t>
      </w:r>
      <w:r>
        <w:rPr>
          <w:iCs/>
          <w:i/>
        </w:rPr>
        <w:t xml:space="preserve">conceptual claim</w:t>
      </w:r>
      <w:r>
        <w:t xml:space="preserve"> </w:t>
      </w:r>
      <w:r>
        <w:t xml:space="preserve">in full-strength prose. Where a genuine trade-off exists (Part 4’s ~89% compression ratio, Part 5.2’s dense method-family survey), it is flagged explicitly in that subsection above rather than silently absorbed.</w:t>
      </w:r>
    </w:p>
    <w:p>
      <w:r>
        <w:pict>
          <v:rect style="width:0;height:1.5pt" o:hralign="center" o:hrstd="t" o:hr="t"/>
        </w:pict>
      </w:r>
    </w:p>
    <w:bookmarkEnd w:id="45"/>
    <w:bookmarkStart w:id="46" w:name="X33564d2c2caf27c9428b9600c9daddae6d5f18d"/>
    <w:p>
      <w:pPr>
        <w:pStyle w:val="Heading2"/>
      </w:pPr>
      <w:r>
        <w:t xml:space="preserve">Figure and table inventory and disposition plan</w:t>
      </w:r>
    </w:p>
    <w:p>
      <w:pPr>
        <w:pStyle w:val="FirstParagraph"/>
      </w:pPr>
      <w:r>
        <w:rPr>
          <w:bCs/>
          <w:b/>
        </w:rPr>
        <w:t xml:space="preserve">Current inventory (counted from the source draft, not estimated):</w:t>
      </w:r>
      <w:r>
        <w:t xml:space="preserve"> </w:t>
      </w:r>
      <w:r>
        <w:t xml:space="preserve">3 figures (Fig 1 normalization decision tree, Fig 2 uncertainty chain, Fig 3 uncertainty budget network), 8 numbered tables (Table 1 developmental phases, Table 2 application taxonomy, Table 3 normalization matrix, Table 4 back-calculation method families, Table 5 per-study audit, Table 6 uncertainty source matrix, Table 7 surveillance objective matrix, Table 8 technology-readiness matrix), 4 boxes (Monte Carlo misspecification, nondetect reporting, detectable-vs-actionable, analytical-innovation-vs-epidemiological-value), plus 2 internal-audit tables not intended for submission (the Editorial self-check concept-threading table, and Table 5’s methodological role overlaps partially with internal audit purposes).</w:t>
      </w:r>
    </w:p>
    <w:p>
      <w:pPr>
        <w:pStyle w:val="BodyText"/>
      </w:pPr>
      <w:r>
        <w:rPr>
          <w:bCs/>
          <w:b/>
        </w:rPr>
        <w:t xml:space="preserve">Target inventory (per task §9, capped at 4 figures + 4 tables):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Current element</w:t>
            </w:r>
          </w:p>
        </w:tc>
        <w:tc>
          <w:tcPr/>
          <w:p>
            <w:pPr>
              <w:pStyle w:val="Compact"/>
              <w:jc w:val="left"/>
            </w:pPr>
            <w:r>
              <w:t xml:space="preserve">Disposition</w:t>
            </w:r>
          </w:p>
        </w:tc>
        <w:tc>
          <w:tcPr/>
          <w:p>
            <w:pPr>
              <w:pStyle w:val="Compact"/>
              <w:jc w:val="left"/>
            </w:pPr>
            <w:r>
              <w:t xml:space="preserve">Target element</w:t>
            </w:r>
          </w:p>
        </w:tc>
        <w:tc>
          <w:tcPr/>
          <w:p>
            <w:pPr>
              <w:pStyle w:val="Compact"/>
              <w:jc w:val="left"/>
            </w:pPr>
            <w:r>
              <w:t xml:space="preserve">Rationale</w:t>
            </w:r>
          </w:p>
        </w:tc>
      </w:tr>
      <w:tr>
        <w:tc>
          <w:tcPr/>
          <w:p>
            <w:pPr>
              <w:pStyle w:val="Compact"/>
              <w:jc w:val="left"/>
            </w:pPr>
            <w:r>
              <w:t xml:space="preserve">(none currently — new)</w:t>
            </w:r>
          </w:p>
        </w:tc>
        <w:tc>
          <w:tcPr/>
          <w:p>
            <w:pPr>
              <w:pStyle w:val="Compact"/>
              <w:jc w:val="left"/>
            </w:pPr>
            <w:r>
              <w:t xml:space="preserve">redesign</w:t>
            </w:r>
          </w:p>
        </w:tc>
        <w:tc>
          <w:tcPr/>
          <w:p>
            <w:pPr>
              <w:pStyle w:val="Compact"/>
              <w:jc w:val="left"/>
            </w:pPr>
            <w:r>
              <w:rPr>
                <w:bCs/>
                <w:b/>
              </w:rPr>
              <w:t xml:space="preserve">Figure 1. Source-to-inference signal chain</w:t>
            </w:r>
          </w:p>
        </w:tc>
        <w:tc>
          <w:tcPr/>
          <w:p>
            <w:pPr>
              <w:pStyle w:val="Compact"/>
              <w:jc w:val="left"/>
            </w:pPr>
            <w:r>
              <w:t xml:space="preserve">No current figure shows the full §3.0→§9.7 pipeline end-to-end; this is the orienting figure a submission review needs and does not yet have as a single image.</w:t>
            </w:r>
          </w:p>
        </w:tc>
      </w:tr>
      <w:tr>
        <w:tc>
          <w:tcPr/>
          <w:p>
            <w:pPr>
              <w:pStyle w:val="Compact"/>
              <w:jc w:val="left"/>
            </w:pPr>
            <w:r>
              <w:t xml:space="preserve">(none currently — new, though §3.0’s amplitude/temporal/spatial prose could source it)</w:t>
            </w:r>
          </w:p>
        </w:tc>
        <w:tc>
          <w:tcPr/>
          <w:p>
            <w:pPr>
              <w:pStyle w:val="Compact"/>
              <w:jc w:val="left"/>
            </w:pPr>
            <w:r>
              <w:t xml:space="preserve">redesign</w:t>
            </w:r>
          </w:p>
        </w:tc>
        <w:tc>
          <w:tcPr/>
          <w:p>
            <w:pPr>
              <w:pStyle w:val="Compact"/>
              <w:jc w:val="left"/>
            </w:pPr>
            <w:r>
              <w:rPr>
                <w:bCs/>
                <w:b/>
              </w:rPr>
              <w:t xml:space="preserve">Figure 2. Amplitude-temporal-spatial distortion framework</w:t>
            </w:r>
          </w:p>
        </w:tc>
        <w:tc>
          <w:tcPr/>
          <w:p>
            <w:pPr>
              <w:pStyle w:val="Compact"/>
              <w:jc w:val="left"/>
            </w:pPr>
            <w:r>
              <w:t xml:space="preserve">Makes the three-term taxonomy visual; currently prose-only.</w:t>
            </w:r>
          </w:p>
        </w:tc>
      </w:tr>
      <w:tr>
        <w:tc>
          <w:tcPr/>
          <w:p>
            <w:pPr>
              <w:pStyle w:val="Compact"/>
              <w:jc w:val="left"/>
            </w:pPr>
            <w:r>
              <w:t xml:space="preserve">Figure 2 (uncertainty chain) + Figure 3 (uncertainty budget network)</w:t>
            </w:r>
          </w:p>
        </w:tc>
        <w:tc>
          <w:tcPr/>
          <w:p>
            <w:pPr>
              <w:pStyle w:val="Compact"/>
              <w:jc w:val="left"/>
            </w:pPr>
            <w:r>
              <w:t xml:space="preserve">merge</w:t>
            </w:r>
          </w:p>
        </w:tc>
        <w:tc>
          <w:tcPr/>
          <w:p>
            <w:pPr>
              <w:pStyle w:val="Compact"/>
              <w:jc w:val="left"/>
            </w:pPr>
            <w:r>
              <w:rPr>
                <w:bCs/>
                <w:b/>
              </w:rPr>
              <w:t xml:space="preserve">Figure 3. Process-informed reconstruction and uncertainty framework</w:t>
            </w:r>
          </w:p>
        </w:tc>
        <w:tc>
          <w:tcPr/>
          <w:p>
            <w:pPr>
              <w:pStyle w:val="Compact"/>
              <w:jc w:val="left"/>
            </w:pPr>
            <w:r>
              <w:t xml:space="preserve">The two current uncertainty figures can likely merge into one framework diagram spanning reconstruction (Ch7) and uncertainty (Ch8) jointly, consistent with Part 5’s merged treatment.</w:t>
            </w:r>
          </w:p>
        </w:tc>
      </w:tr>
      <w:tr>
        <w:tc>
          <w:tcPr/>
          <w:p>
            <w:pPr>
              <w:pStyle w:val="Compact"/>
              <w:jc w:val="left"/>
            </w:pPr>
            <w:r>
              <w:t xml:space="preserve">Figure 1 (normalization decision tree) + Table 8’s readiness-level concept + §9.7’s four actionability conditions</w:t>
            </w:r>
          </w:p>
        </w:tc>
        <w:tc>
          <w:tcPr/>
          <w:p>
            <w:pPr>
              <w:pStyle w:val="Compact"/>
              <w:jc w:val="left"/>
            </w:pPr>
            <w:r>
              <w:t xml:space="preserve">merge/redesign</w:t>
            </w:r>
          </w:p>
        </w:tc>
        <w:tc>
          <w:tcPr/>
          <w:p>
            <w:pPr>
              <w:pStyle w:val="Compact"/>
              <w:jc w:val="left"/>
            </w:pPr>
            <w:r>
              <w:rPr>
                <w:bCs/>
                <w:b/>
              </w:rPr>
              <w:t xml:space="preserve">Figure 4. Detection-to-decision readiness pathway</w:t>
            </w:r>
          </w:p>
        </w:tc>
        <w:tc>
          <w:tcPr/>
          <w:p>
            <w:pPr>
              <w:pStyle w:val="Compact"/>
              <w:jc w:val="left"/>
            </w:pPr>
            <w:r>
              <w:t xml:space="preserve">Consolidates the normalization decision tree, the actionability conditions, and the technology-readiness levels into one</w:t>
            </w:r>
            <w:r>
              <w:t xml:space="preserve"> </w:t>
            </w:r>
            <w:r>
              <w:t xml:space="preserve">“</w:t>
            </w:r>
            <w:r>
              <w:t xml:space="preserve">what has to be true before this is decision-ready</w:t>
            </w:r>
            <w:r>
              <w:t xml:space="preserve">”</w:t>
            </w:r>
            <w:r>
              <w:t xml:space="preserve"> </w:t>
            </w:r>
            <w:r>
              <w:t xml:space="preserve">pathway figure — the single biggest figure-count saving in this plan (3 source concepts into 1 target figure).</w:t>
            </w:r>
          </w:p>
        </w:tc>
      </w:tr>
      <w:tr>
        <w:tc>
          <w:tcPr/>
          <w:p>
            <w:pPr>
              <w:pStyle w:val="Compact"/>
              <w:jc w:val="left"/>
            </w:pPr>
            <w:r>
              <w:t xml:space="preserve">Table 1 (developmental phases)</w:t>
            </w:r>
          </w:p>
        </w:tc>
        <w:tc>
          <w:tcPr/>
          <w:p>
            <w:pPr>
              <w:pStyle w:val="Compact"/>
              <w:jc w:val="left"/>
            </w:pPr>
            <w:r>
              <w:t xml:space="preserve">move to SI</w:t>
            </w:r>
          </w:p>
        </w:tc>
        <w:tc>
          <w:tcPr/>
          <w:p>
            <w:pPr>
              <w:pStyle w:val="Compact"/>
              <w:jc w:val="left"/>
            </w:pPr>
            <w:r>
              <w:t xml:space="preserve">—</w:t>
            </w:r>
          </w:p>
        </w:tc>
        <w:tc>
          <w:tcPr/>
          <w:p>
            <w:pPr>
              <w:pStyle w:val="Compact"/>
              <w:jc w:val="left"/>
            </w:pPr>
            <w:r>
              <w:t xml:space="preserve">Background scene-setting, not part of the four contributions.</w:t>
            </w:r>
          </w:p>
        </w:tc>
      </w:tr>
      <w:tr>
        <w:tc>
          <w:tcPr/>
          <w:p>
            <w:pPr>
              <w:pStyle w:val="Compact"/>
              <w:jc w:val="left"/>
            </w:pPr>
            <w:r>
              <w:t xml:space="preserve">Table 2 (application taxonomy)</w:t>
            </w:r>
          </w:p>
        </w:tc>
        <w:tc>
          <w:tcPr/>
          <w:p>
            <w:pPr>
              <w:pStyle w:val="Compact"/>
              <w:jc w:val="left"/>
            </w:pPr>
            <w:r>
              <w:t xml:space="preserve">move to SI</w:t>
            </w:r>
          </w:p>
        </w:tc>
        <w:tc>
          <w:tcPr/>
          <w:p>
            <w:pPr>
              <w:pStyle w:val="Compact"/>
              <w:jc w:val="left"/>
            </w:pPr>
            <w:r>
              <w:t xml:space="preserve">—</w:t>
            </w:r>
          </w:p>
        </w:tc>
        <w:tc>
          <w:tcPr/>
          <w:p>
            <w:pPr>
              <w:pStyle w:val="Compact"/>
              <w:jc w:val="left"/>
            </w:pPr>
            <w:r>
              <w:t xml:space="preserve">Same reasoning as Table 1.</w:t>
            </w:r>
          </w:p>
        </w:tc>
      </w:tr>
      <w:tr>
        <w:tc>
          <w:tcPr/>
          <w:p>
            <w:pPr>
              <w:pStyle w:val="Compact"/>
              <w:jc w:val="left"/>
            </w:pPr>
            <w:r>
              <w:t xml:space="preserve">Table 3 (normalization matrix)</w:t>
            </w:r>
          </w:p>
        </w:tc>
        <w:tc>
          <w:tcPr/>
          <w:p>
            <w:pPr>
              <w:pStyle w:val="Compact"/>
              <w:jc w:val="left"/>
            </w:pPr>
            <w:r>
              <w:t xml:space="preserve">retain/redesign</w:t>
            </w:r>
          </w:p>
        </w:tc>
        <w:tc>
          <w:tcPr/>
          <w:p>
            <w:pPr>
              <w:pStyle w:val="Compact"/>
              <w:jc w:val="left"/>
            </w:pPr>
            <w:r>
              <w:rPr>
                <w:bCs/>
                <w:b/>
              </w:rPr>
              <w:t xml:space="preserve">Table 2. Normalization-assumption-residual-uncertainty matrix</w:t>
            </w:r>
          </w:p>
        </w:tc>
        <w:tc>
          <w:tcPr/>
          <w:p>
            <w:pPr>
              <w:pStyle w:val="Compact"/>
              <w:jc w:val="left"/>
            </w:pPr>
            <w:r>
              <w:t xml:space="preserve">Already close to the target form; redesign for density (shorter cells, since it must absorb §6.4-6.5’s per-biomarker narrative that is being cut from prose).</w:t>
            </w:r>
          </w:p>
        </w:tc>
      </w:tr>
      <w:tr>
        <w:tc>
          <w:tcPr/>
          <w:p>
            <w:pPr>
              <w:pStyle w:val="Compact"/>
              <w:jc w:val="left"/>
            </w:pPr>
            <w:r>
              <w:t xml:space="preserve">Table 4 (back-calculation method families) + Table 5 (per-study audit) + up to 4-6 selected items from Table 6 (uncertainty source matrix)</w:t>
            </w:r>
          </w:p>
        </w:tc>
        <w:tc>
          <w:tcPr/>
          <w:p>
            <w:pPr>
              <w:pStyle w:val="Compact"/>
              <w:jc w:val="left"/>
            </w:pPr>
            <w:r>
              <w:t xml:space="preserve">merge</w:t>
            </w:r>
          </w:p>
        </w:tc>
        <w:tc>
          <w:tcPr/>
          <w:p>
            <w:pPr>
              <w:pStyle w:val="Compact"/>
              <w:jc w:val="left"/>
            </w:pPr>
            <w:r>
              <w:rPr>
                <w:bCs/>
                <w:b/>
              </w:rPr>
              <w:t xml:space="preserve">Table 3. Model-identifiability-validation matrix</w:t>
            </w:r>
            <w:r>
              <w:t xml:space="preserve"> </w:t>
            </w:r>
            <w:r>
              <w:t xml:space="preserve">— exactly six columns: model family; inferential target; principal identifiability requirement; dominant uncertainty; minimum validation; principal failure mode</w:t>
            </w:r>
          </w:p>
        </w:tc>
        <w:tc>
          <w:tcPr/>
          <w:p>
            <w:pPr>
              <w:pStyle w:val="Compact"/>
              <w:jc w:val="left"/>
            </w:pPr>
            <w:r>
              <w:rPr>
                <w:bCs/>
                <w:b/>
              </w:rPr>
              <w:t xml:space="preserve">RESOLVED this round (Phase 2A), closing the tension Phase 1 flagged.</w:t>
            </w:r>
            <w:r>
              <w:t xml:space="preserve"> </w:t>
            </w:r>
            <w:r>
              <w:t xml:space="preserve">Table 6 is not retained as an independent in-text table. Its full detail moves to Table S5 (SI); only the 4-6 uncertainty items that materially affect model choice or result interpretation are pulled into Table 3’s</w:t>
            </w:r>
            <w:r>
              <w:t xml:space="preserve"> </w:t>
            </w:r>
            <w:r>
              <w:t xml:space="preserve">“</w:t>
            </w:r>
            <w:r>
              <w:t xml:space="preserve">dominant uncertainty</w:t>
            </w:r>
            <w:r>
              <w:t xml:space="preserve">”</w:t>
            </w:r>
            <w:r>
              <w:t xml:space="preserve"> </w:t>
            </w:r>
            <w:r>
              <w:t xml:space="preserve">column, merged with the method-family/evidentiary content Tables 4-5 already carried. No uncertainty item may appear fully restated in main-text prose, Table 3, and Table S5 simultaneously (§四 of this round’s instruction).</w:t>
            </w:r>
          </w:p>
        </w:tc>
      </w:tr>
      <w:tr>
        <w:tc>
          <w:tcPr/>
          <w:p>
            <w:pPr>
              <w:pStyle w:val="Compact"/>
              <w:jc w:val="left"/>
            </w:pPr>
            <w:r>
              <w:t xml:space="preserve">Table 6 (uncertainty source matrix), full detail</w:t>
            </w:r>
          </w:p>
        </w:tc>
        <w:tc>
          <w:tcPr/>
          <w:p>
            <w:pPr>
              <w:pStyle w:val="Compact"/>
              <w:jc w:val="left"/>
            </w:pPr>
            <w:r>
              <w:t xml:space="preserve">move to SI</w:t>
            </w:r>
          </w:p>
        </w:tc>
        <w:tc>
          <w:tcPr/>
          <w:p>
            <w:pPr>
              <w:pStyle w:val="Compact"/>
              <w:jc w:val="left"/>
            </w:pPr>
            <w:r>
              <w:rPr>
                <w:bCs/>
                <w:b/>
              </w:rPr>
              <w:t xml:space="preserve">Table S5. Uncertainty sources, propagation methods, validation requirements and residual limitations</w:t>
            </w:r>
          </w:p>
        </w:tc>
        <w:tc>
          <w:tcPr/>
          <w:p>
            <w:pPr>
              <w:pStyle w:val="Compact"/>
              <w:jc w:val="left"/>
            </w:pPr>
            <w:r>
              <w:t xml:space="preserve">Full density preserved for a reader who wants the complete uncertainty-source breakdown; this is where Table 6’s content that does NOT make Table 3’s 4-6-item cut still lives, not deleted.</w:t>
            </w:r>
          </w:p>
        </w:tc>
      </w:tr>
      <w:tr>
        <w:tc>
          <w:tcPr/>
          <w:p>
            <w:pPr>
              <w:pStyle w:val="Compact"/>
              <w:jc w:val="left"/>
            </w:pPr>
            <w:r>
              <w:t xml:space="preserve">Table 7 (surveillance matrix) + Table 8 (technology-readiness matrix) + the five scattered minimum-reporting-requirement boxes (§5.7, §6.9, §7.7, §8.15, §9.8)</w:t>
            </w:r>
          </w:p>
        </w:tc>
        <w:tc>
          <w:tcPr/>
          <w:p>
            <w:pPr>
              <w:pStyle w:val="Compact"/>
              <w:jc w:val="left"/>
            </w:pPr>
            <w:r>
              <w:t xml:space="preserve">merge</w:t>
            </w:r>
          </w:p>
        </w:tc>
        <w:tc>
          <w:tcPr/>
          <w:p>
            <w:pPr>
              <w:pStyle w:val="Compact"/>
              <w:jc w:val="left"/>
            </w:pPr>
            <w:r>
              <w:rPr>
                <w:bCs/>
                <w:b/>
              </w:rPr>
              <w:t xml:space="preserve">Table 4. Minimum reporting and decision-readiness framework</w:t>
            </w:r>
          </w:p>
        </w:tc>
        <w:tc>
          <w:tcPr/>
          <w:p>
            <w:pPr>
              <w:pStyle w:val="Compact"/>
              <w:jc w:val="left"/>
            </w:pPr>
            <w:r>
              <w:t xml:space="preserve">Consolidates two source tables and five scattered</w:t>
            </w:r>
            <w:r>
              <w:t xml:space="preserve"> </w:t>
            </w:r>
            <w:r>
              <w:t xml:space="preserve">“</w:t>
            </w:r>
            <w:r>
              <w:t xml:space="preserve">minimum reporting requirements</w:t>
            </w:r>
            <w:r>
              <w:t xml:space="preserve">”</w:t>
            </w:r>
            <w:r>
              <w:t xml:space="preserve"> </w:t>
            </w:r>
            <w:r>
              <w:t xml:space="preserve">prose blocks (currently repeated in similar form at the end of five different chapters) into one framework table — this is simultaneously a figure-count reduction and one of the larger word-count savings in the whole compression plan.</w:t>
            </w:r>
          </w:p>
        </w:tc>
      </w:tr>
      <w:tr>
        <w:tc>
          <w:tcPr/>
          <w:p>
            <w:pPr>
              <w:pStyle w:val="Compact"/>
              <w:jc w:val="left"/>
            </w:pPr>
            <w:r>
              <w:t xml:space="preserve">Boxes (4 total)</w:t>
            </w:r>
          </w:p>
        </w:tc>
        <w:tc>
          <w:tcPr/>
          <w:p>
            <w:pPr>
              <w:pStyle w:val="Compact"/>
              <w:jc w:val="left"/>
            </w:pPr>
            <w:r>
              <w:t xml:space="preserve">1-2 retained as in-text callouts (not counted against the figure/table cap), rest cut or merged into table footnotes</w:t>
            </w:r>
          </w:p>
        </w:tc>
        <w:tc>
          <w:tcPr/>
          <w:p>
            <w:pPr>
              <w:pStyle w:val="Compact"/>
              <w:jc w:val="left"/>
            </w:pPr>
            <w:r>
              <w:t xml:space="preserve">—</w:t>
            </w:r>
          </w:p>
        </w:tc>
        <w:tc>
          <w:tcPr/>
          <w:p>
            <w:pPr>
              <w:pStyle w:val="Compact"/>
              <w:jc w:val="left"/>
            </w:pPr>
            <w:r>
              <w:t xml:space="preserve">Boxes are cheap in word count and high in clarity; the</w:t>
            </w:r>
            <w:r>
              <w:t xml:space="preserve"> </w:t>
            </w:r>
            <w:r>
              <w:t xml:space="preserve">“</w:t>
            </w:r>
            <w:r>
              <w:t xml:space="preserve">Why Monte Carlo does not solve model misspecification</w:t>
            </w:r>
            <w:r>
              <w:t xml:space="preserve">”</w:t>
            </w:r>
            <w:r>
              <w:t xml:space="preserve"> </w:t>
            </w:r>
            <w:r>
              <w:t xml:space="preserve">and</w:t>
            </w:r>
            <w:r>
              <w:t xml:space="preserve"> </w:t>
            </w:r>
            <w:r>
              <w:t xml:space="preserve">“</w:t>
            </w:r>
            <w:r>
              <w:t xml:space="preserve">Why analytical innovation does not guarantee epidemiological value</w:t>
            </w:r>
            <w:r>
              <w:t xml:space="preserve">”</w:t>
            </w:r>
            <w:r>
              <w:t xml:space="preserve"> </w:t>
            </w:r>
            <w:r>
              <w:t xml:space="preserve">boxes are the two strongest candidates to retain as short callouts given they state Original Contribution #4’s core caution in its sharpest form.</w:t>
            </w:r>
          </w:p>
        </w:tc>
      </w:tr>
      <w:tr>
        <w:tc>
          <w:tcPr/>
          <w:p>
            <w:pPr>
              <w:pStyle w:val="Compact"/>
              <w:jc w:val="left"/>
            </w:pPr>
            <w:r>
              <w:t xml:space="preserve">Editorial self-check concept-threading table</w:t>
            </w:r>
          </w:p>
        </w:tc>
        <w:tc>
          <w:tcPr/>
          <w:p>
            <w:pPr>
              <w:pStyle w:val="Compact"/>
              <w:jc w:val="left"/>
            </w:pPr>
            <w:r>
              <w:t xml:space="preserve">delete</w:t>
            </w:r>
          </w:p>
        </w:tc>
        <w:tc>
          <w:tcPr/>
          <w:p>
            <w:pPr>
              <w:pStyle w:val="Compact"/>
              <w:jc w:val="left"/>
            </w:pPr>
            <w:r>
              <w:t xml:space="preserve">—</w:t>
            </w:r>
          </w:p>
        </w:tc>
        <w:tc>
          <w:tcPr/>
          <w:p>
            <w:pPr>
              <w:pStyle w:val="Compact"/>
              <w:jc w:val="left"/>
            </w:pPr>
            <w:r>
              <w:t xml:space="preserve">Pure internal QA device, not submission content.</w:t>
            </w:r>
          </w:p>
        </w:tc>
      </w:tr>
    </w:tbl>
    <w:p>
      <w:pPr>
        <w:pStyle w:val="BodyText"/>
      </w:pPr>
      <w:r>
        <w:rPr>
          <w:bCs/>
          <w:b/>
        </w:rPr>
        <w:t xml:space="preserve">Table 6 tension: resolved this round (was open in Phase 1).</w:t>
      </w:r>
      <w:r>
        <w:t xml:space="preserve"> </w:t>
      </w:r>
      <w:r>
        <w:t xml:space="preserve">The 4-table in-text cap is preserved (Table 1 Process-distortion-observable-correction, Table 2 Normalization strategy, Table 3 Model-identifiability-validation [now 6 columns, absorbing up to 6 Table-6-sourced items], Table 4 Minimum reporting/decision-readiness) with Table 6’s remaining detail in a new SI table (Table S5) rather than forcing a 5th in-text table or an oversized Table 3. This is now a closed decision, not an open question for Phase 2B.</w:t>
      </w:r>
    </w:p>
    <w:p>
      <w:r>
        <w:pict>
          <v:rect style="width:0;height:1.5pt" o:hralign="center" o:hrstd="t" o:hr="t"/>
        </w:pict>
      </w:r>
    </w:p>
    <w:bookmarkEnd w:id="46"/>
    <w:bookmarkStart w:id="47" w:name="Xd240aea4477a0be115ad3b460d38c014dab6b1f"/>
    <w:p>
      <w:pPr>
        <w:pStyle w:val="Heading2"/>
      </w:pPr>
      <w:r>
        <w:t xml:space="preserve">Research priorities and conclusions word-count discipline (restated from Part 8, per task §11)</w:t>
      </w:r>
    </w:p>
    <w:p>
      <w:pPr>
        <w:pStyle w:val="FirstParagraph"/>
      </w:pPr>
      <w:r>
        <w:t xml:space="preserve">Research priorities is capped at 5-7 independently testable tasks (see Part 8.1’s 6-item candidate list, with an optional 7th) and does not expand into an independent Chapter 11. Conclusions is capped at 300-400 words (see Part 8.2) and does not expand into an independent Chapter 12. Both caps are structural constraints on the</w:t>
      </w:r>
      <w:r>
        <w:t xml:space="preserve"> </w:t>
      </w:r>
      <w:r>
        <w:rPr>
          <w:iCs/>
          <w:i/>
        </w:rPr>
        <w:t xml:space="preserve">target</w:t>
      </w:r>
      <w:r>
        <w:t xml:space="preserve"> </w:t>
      </w:r>
      <w:r>
        <w:t xml:space="preserve">outline, not yet-drafted prose — no Chapter 11 or Chapter 12 content exists anywhere in this round’s deliverables, consistent with the task’s explicit instruction not to continue drafting either.</w:t>
      </w:r>
    </w:p>
    <w:bookmarkEnd w:id="47"/>
    <w:bookmarkEnd w:id="48"/>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2026-07-18T10:15:44Z</dcterms:created>
  <dcterms:modified xsi:type="dcterms:W3CDTF">2026-07-18T10:15:44Z</dcterms:modified>
</cp:coreProperties>
</file>

<file path=docProps/custom.xml><?xml version="1.0" encoding="utf-8"?>
<Properties xmlns="http://schemas.openxmlformats.org/officeDocument/2006/custom-properties" xmlns:vt="http://schemas.openxmlformats.org/officeDocument/2006/docPropsVTypes"/>
</file>