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7ad74c3e1f47ce6b4ba87ac222c20cb1ecd091"/>
    <w:p>
      <w:pPr>
        <w:pStyle w:val="Heading1"/>
      </w:pPr>
      <w:r>
        <w:t xml:space="preserve">Targeted Search Addendum — 11 Modules for Critical/High Evidence Recovery</w:t>
      </w:r>
    </w:p>
    <w:p>
      <w:pPr>
        <w:pStyle w:val="FirstParagraph"/>
      </w:pPr>
      <w:r>
        <w:rPr>
          <w:bCs/>
          <w:b/>
        </w:rPr>
        <w:t xml:space="preserve">Round:</w:t>
      </w:r>
      <w:r>
        <w:t xml:space="preserve"> </w:t>
      </w:r>
      <w:r>
        <w:t xml:space="preserve">Water Research compression, Phase 3A. 2026-07-18.</w:t>
      </w:r>
      <w:r>
        <w:t xml:space="preserve"> </w:t>
      </w:r>
      <w:r>
        <w:rPr>
          <w:bCs/>
          <w:b/>
        </w:rPr>
        <w:t xml:space="preserve">This document is search-reinforcement design only.</w:t>
      </w:r>
      <w:r>
        <w:t xml:space="preserve"> </w:t>
      </w:r>
      <w:r>
        <w:t xml:space="preserve">No search has been run against Web of Science, Scopus, PubMed, or any other database this round — this environment has no such access. No hit counts, screening numbers, or PRISMA figures appear anywhere below, and none should be inferred from this document. Each module states a gap, a search design, and the specific Critical/High claim IDs (from</w:t>
      </w:r>
      <w:r>
        <w:t xml:space="preserve"> </w:t>
      </w:r>
      <w:r>
        <w:rPr>
          <w:rStyle w:val="VerbatimChar"/>
        </w:rPr>
        <w:t xml:space="preserve">WBE_Review_Critical_Claim_Verification_Queue.csv</w:t>
      </w:r>
      <w:r>
        <w:t xml:space="preserve">) it is meant to resolve, so that whoever runs the eventual formal search (see</w:t>
      </w:r>
      <w:r>
        <w:t xml:space="preserve"> </w:t>
      </w:r>
      <w:r>
        <w:rPr>
          <w:rStyle w:val="VerbatimChar"/>
        </w:rPr>
        <w:t xml:space="preserve">systematic-review/README.md</w:t>
      </w:r>
      <w:r>
        <w:t xml:space="preserve"> </w:t>
      </w:r>
      <w:r>
        <w:t xml:space="preserve">for the execution pipeline) can proceed directly from this document without re-deriving the rationale.</w:t>
      </w:r>
    </w:p>
    <w:p>
      <w:pPr>
        <w:pStyle w:val="BodyText"/>
      </w:pPr>
      <w:r>
        <w:t xml:space="preserve">This addendum supplements, and does not replace,</w:t>
      </w:r>
      <w:r>
        <w:t xml:space="preserve"> </w:t>
      </w:r>
      <w:r>
        <w:rPr>
          <w:rStyle w:val="VerbatimChar"/>
        </w:rPr>
        <w:t xml:space="preserve">WBE_Review_Systematic_Search_Strategy.md</w:t>
      </w:r>
      <w:r>
        <w:t xml:space="preserve">’s existing core-plus-seven-module search strategy built for the full source draft. These 11 modules are narrower and specific to the 9 Critical + 7 High claims this round identified; several overlap conceptually with the earlier strategy’s modules and should be reconciled with it, not run twice from scratch, when a real search is eventually executed.</w:t>
      </w:r>
    </w:p>
    <w:p>
      <w:r>
        <w:pict>
          <v:rect style="width:0;height:1.5pt" o:hralign="center" o:hrstd="t" o:hr="t"/>
        </w:pict>
      </w:r>
    </w:p>
    <w:bookmarkStart w:id="20" w:name="module-1-sewer-transformation-biofilm"/>
    <w:p>
      <w:pPr>
        <w:pStyle w:val="Heading2"/>
      </w:pPr>
      <w:r>
        <w:t xml:space="preserve">Module 1 — Sewer transformation / biofilm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P3-3’s claim that microbial activity, not chemical hydrolysis, dominates viral-RNA loss in sewer biofilms rests on two abstract-checked sources ([16] Zhang et al. 2023, [9] Jung et al. 2026); full text is needed to confirm the mechanism was directly measured (e.g., via a biocide-inhibition control) rather than inferred from decay kinetics alone.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 (biology/environmental-microbiology coverage), PubMed (secondary).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(sewer biofilm OR biofilm-associated) AND (SARS-CoV-2 OR viral RNA OR enteric virus) AND (decay OR degradation OR persistence) AND (mechanism OR microbial activity OR enzymatic OR hydrolysis).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("sewer biofilm" OR "biofilm-associated") AND ("viral RNA" OR "SARS-CoV-2" OR "enteric virus") AND (decay OR degradation OR persistence) AND (mechanism OR "microbial activity" OR enzymatic)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laboratory reactor studies, pipeline/sewer simulator studies, controlled decay-kinetics experiments with an explicit inhibition or sterilization control arm.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studies reporting decay without a biofilm-specific or mechanism-isolating experimental arm (e.g., bulk-liquid-only decay studies); non-peer-reviewed sources unless no peer-reviewed alternative exists.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at least one peer-reviewed study with a direct experimental (not purely correlational) mechanism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P3-3.</w:t>
      </w:r>
    </w:p>
    <w:bookmarkEnd w:id="20"/>
    <w:bookmarkStart w:id="21" w:name="Xcf3164dbd0142c3f4eef1b2883c01ea9ad43c59"/>
    <w:p>
      <w:pPr>
        <w:pStyle w:val="Heading2"/>
      </w:pPr>
      <w:r>
        <w:t xml:space="preserve">Module 2 — Rainfall / infiltration / hydraulic disturbance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P3-7’s correlation-improvement finding ([8] Janssens et al. 2022) and P3-9’s cross-hydrologic-condition synthesis ([13] Rainey et al. 2023, [3] Darling et al. 2025) both need full text to confirm effect magnitude, statistical significance, replication across a second country/climate, and exact site counts and infiltration/inflow (I&amp;I) severity classifications.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(rainfall OR precipitation OR</w:t>
      </w:r>
      <w:r>
        <w:t xml:space="preserve"> </w:t>
      </w:r>
      <w:r>
        <w:t xml:space="preserve">“</w:t>
      </w:r>
      <w:r>
        <w:t xml:space="preserve">wet weather</w:t>
      </w:r>
      <w:r>
        <w:t xml:space="preserve">”</w:t>
      </w:r>
      <w:r>
        <w:t xml:space="preserve">) AND (infiltration OR inflow OR I&amp;I) AND (wastewater OR sewer OR sewershed) AND (surveillance OR normalization OR correlation) AND (SARS-CoV-2 OR COVID-19).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(rainfall OR precipitation OR "wet weather" OR infiltration OR "inflow and infiltration") AND (wastewater-based epidemiology OR WBE OR "sewage surveillance") AND (correlation OR normalization OR dilution)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multi-site field studies explicitly comparing wet- and dry-weather performance; hydraulic/hydrologic studies with paired wastewater-surveillance outcomes.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single-site studies presented as if generalizable without an explicit generalization caveat; studies that measure rainfall only as a covariate without reporting the correlation-improvement magnitude itself.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for P3-9’s cross-hydrologic claim specifically, at least two independent settings or one explicit multi-site study (per this round’s cross-population evidence threshold); for P3-7, the original full text with the actual reported statistic.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P3-7, P3-9 (primary); P3-6 (secondary — see Module 3 for the sub-mechanism-specific search).</w:t>
      </w:r>
    </w:p>
    <w:bookmarkEnd w:id="21"/>
    <w:bookmarkStart w:id="22" w:name="X1c6b530fb10c0114b6f3bc298ac6bba5e7de6ec"/>
    <w:p>
      <w:pPr>
        <w:pStyle w:val="Heading2"/>
      </w:pPr>
      <w:r>
        <w:t xml:space="preserve">Module 3 — Sedimentation / resuspension / sewer memory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P3-6 asserts three specific sub-mechanisms by which rainfall affects wastewater signals beyond simple dilution — sediment resuspension during storms, retention-time shortening, and sub-catchment weight shift — with</w:t>
      </w:r>
      <w:r>
        <w:t xml:space="preserve"> </w:t>
      </w:r>
      <w:r>
        <w:rPr>
          <w:bCs/>
          <w:b/>
        </w:rPr>
        <w:t xml:space="preserve">no citation currently supporting any of the three</w:t>
      </w:r>
      <w:r>
        <w:t xml:space="preserve"> </w:t>
      </w:r>
      <w:r>
        <w:t xml:space="preserve">individually. This is a genuine new-search gap, not a citation-restoration gap (see</w:t>
      </w:r>
      <w:r>
        <w:t xml:space="preserve"> </w:t>
      </w:r>
      <w:r>
        <w:rPr>
          <w:rStyle w:val="VerbatimChar"/>
        </w:rPr>
        <w:t xml:space="preserve">WBE_Review_Full_Text_Request_List.csv</w:t>
      </w:r>
      <w:r>
        <w:t xml:space="preserve"> </w:t>
      </w:r>
      <w:r>
        <w:t xml:space="preserve">row</w:t>
      </w:r>
      <w:r>
        <w:t xml:space="preserve"> </w:t>
      </w:r>
      <w:r>
        <w:rPr>
          <w:rStyle w:val="VerbatimChar"/>
        </w:rPr>
        <w:t xml:space="preserve">CAND-P3-6-A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 (civil/environmental engineering and sewer-hydraulics coverage).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(sediment resuspension OR</w:t>
      </w:r>
      <w:r>
        <w:t xml:space="preserve"> </w:t>
      </w:r>
      <w:r>
        <w:t xml:space="preserve">“</w:t>
      </w:r>
      <w:r>
        <w:t xml:space="preserve">sewer sediment</w:t>
      </w:r>
      <w:r>
        <w:t xml:space="preserve">”</w:t>
      </w:r>
      <w:r>
        <w:t xml:space="preserve">) AND (storm OR</w:t>
      </w:r>
      <w:r>
        <w:t xml:space="preserve"> </w:t>
      </w:r>
      <w:r>
        <w:t xml:space="preserve">“</w:t>
      </w:r>
      <w:r>
        <w:t xml:space="preserve">wet weather</w:t>
      </w:r>
      <w:r>
        <w:t xml:space="preserve">”</w:t>
      </w:r>
      <w:r>
        <w:t xml:space="preserve"> </w:t>
      </w:r>
      <w:r>
        <w:t xml:space="preserve">OR rainfall) AND (retention time OR hydraulic residence time) AND (sewershed OR sub-catchment OR</w:t>
      </w:r>
      <w:r>
        <w:t xml:space="preserve"> </w:t>
      </w:r>
      <w:r>
        <w:t xml:space="preserve">“</w:t>
      </w:r>
      <w:r>
        <w:t xml:space="preserve">contributing area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("sewer sediment" OR "in-sewer sediment") AND (resuspension OR remobilization) AND (storm OR rainfall OR "wet weather")</w:t>
      </w:r>
      <w:r>
        <w:t xml:space="preserve"> </w:t>
      </w:r>
      <w:r>
        <w:t xml:space="preserve">— run as a separate query from</w:t>
      </w:r>
      <w:r>
        <w:t xml:space="preserve"> </w:t>
      </w:r>
      <w:r>
        <w:rPr>
          <w:rStyle w:val="VerbatimChar"/>
        </w:rPr>
        <w:t xml:space="preserve">(hydraulic retention time OR residence time) AND (sewer OR wastewater collection system) AND (storm OR rainfall)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sewer-hydraulics field or modeling studies; sediment-transport studies in combined or separate sewer systems, ideally with a wastewater-quality or pathogen-signal outcome.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general urban-drainage hydraulics studies with no wastewater-quality or signal-interpretation link; studies limited to stormwater-only systems with no sanitary/combined-sewer relevance.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direct observational or experimental verification per mechanism (this is a mechanistic claim type — correlational evidence alone does not qualify, per this round’s evidence thresholds).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P3-6.</w:t>
      </w:r>
    </w:p>
    <w:bookmarkEnd w:id="22"/>
    <w:bookmarkStart w:id="23" w:name="Xef7dfe091d0dc56092d74a1edcbd6dba2375016"/>
    <w:p>
      <w:pPr>
        <w:pStyle w:val="Heading2"/>
      </w:pPr>
      <w:r>
        <w:t xml:space="preserve">Module 4 — Wastewater normalization biomarkers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P4-6/P4-10’s biomarker-performance claims (creatinine/cotinine via Chen et al. 2014 [30]; PMMoV via Maal-Bared et al. 2023 [28]; crAssphage via Dhiyebi et al. 2023 [29]) are citation-attribution gaps, not full-text gaps — these sources already exist in</w:t>
      </w:r>
      <w:r>
        <w:t xml:space="preserve"> </w:t>
      </w:r>
      <w:r>
        <w:rPr>
          <w:rStyle w:val="VerbatimChar"/>
        </w:rPr>
        <w:t xml:space="preserve">WBE_Review_References.md</w:t>
      </w:r>
      <w:r>
        <w:t xml:space="preserve"> </w:t>
      </w:r>
      <w:r>
        <w:t xml:space="preserve">and need only full-text confirmation of the specific site counts and performance directions already summarized. P4-5’s industrial/non-domestic-discharge-limits-on-flow-normalization claim is a genuine new-search gap with no existing citation at 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Scopus, PubMed.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(population biomarker OR PMMoV OR crAssphage OR creatinine OR cotinine) AND (wastewater-based epidemiology OR normalization) AND (performance OR correlation OR lead time); separately, (industrial discharge OR non-domestic discharge OR trade waste) AND (flow normalization OR flow-based) AND (wastewater surveillance).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(PMMoV OR crAssphage OR creatinine OR cotinine OR "population biomarker") AND ("wastewater-based epidemiology" OR normalization) AND (performance OR correlation)</w:t>
      </w:r>
      <w:r>
        <w:t xml:space="preserve"> </w:t>
      </w:r>
      <w:r>
        <w:t xml:space="preserve">— plus</w:t>
      </w:r>
      <w:r>
        <w:t xml:space="preserve"> </w:t>
      </w:r>
      <w:r>
        <w:rPr>
          <w:rStyle w:val="VerbatimChar"/>
        </w:rPr>
        <w:t xml:space="preserve">("industrial discharge" OR "non-domestic discharge" OR "trade waste") AND ("flow normalization" OR "wastewater surveillance")</w:t>
      </w:r>
      <w:r>
        <w:t xml:space="preserve"> </w:t>
      </w:r>
      <w:r>
        <w:t xml:space="preserve">for the P4-5 sub-item.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multi-site or multi-method comparative biomarker-performance studies; utility/engineering studies quantifying industrial-discharge effects on flow-based population estimates.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single-biomarker studies with no comparative baseline (for the performance-direction claim specifically); conference abstracts or non-peer-reviewed grey literature unless no alternative exists for the industrial-discharge sub-claim.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original full text with explicit sample/scenario/method for the three named biomarker studies (a citation-restoration task, addressable immediately per</w:t>
      </w:r>
      <w:r>
        <w:t xml:space="preserve"> </w:t>
      </w:r>
      <w:r>
        <w:rPr>
          <w:rStyle w:val="VerbatimChar"/>
        </w:rPr>
        <w:t xml:space="preserve">WBE_Review_Evidence_Recovery_Plan.md</w:t>
      </w:r>
      <w:r>
        <w:t xml:space="preserve">); at least one peer-reviewed source, of any design, for the previously entirely-uncited industrial-discharge sub-claim.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P4-6, P4-10 (citation restoration); P4-5 (new search, industrial-discharge sub-item only).</w:t>
      </w:r>
    </w:p>
    <w:bookmarkEnd w:id="23"/>
    <w:bookmarkStart w:id="24" w:name="module-5-target-normalizer-fate-matching"/>
    <w:p>
      <w:pPr>
        <w:pStyle w:val="Heading2"/>
      </w:pPr>
      <w:r>
        <w:t xml:space="preserve">Module 5 — Target-normalizer fate matching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the broader Part 4/SI argument (not itself a single Critical/High row, but the evidentiary basis underlying P4-10’s Table 2 and the SI’s normalizer-performance detail) that a normalizer should share transport and decay characteristics with its target analyte. This module supports the general evidence base rather than a single named claim.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(fate OR transport OR decay) AND (target analyte OR pathogen) AND (normalizer OR population marker) AND (matching OR co-behavior OR</w:t>
      </w:r>
      <w:r>
        <w:t xml:space="preserve"> </w:t>
      </w:r>
      <w:r>
        <w:t xml:space="preserve">“</w:t>
      </w:r>
      <w:r>
        <w:t xml:space="preserve">differential decay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(fate OR transport OR decay) AND ("target analyte" OR pathogen OR biomarker) AND (normalizer OR "population marker") AND (matching OR "co-behavior" OR "differential decay")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comparative fate/decay studies measuring both a target pathogen/analyte and a candidate normalizer under matched conditions.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studies measuring only one of the target or the normalizer, with no direct comparison.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at least one comparative fate study per major normalizer class named in</w:t>
      </w:r>
      <w:r>
        <w:t xml:space="preserve"> </w:t>
      </w:r>
      <w:r>
        <w:rPr>
          <w:rStyle w:val="VerbatimChar"/>
        </w:rPr>
        <w:t xml:space="preserve">WBE_Review_Supplementary_Outline.md</w:t>
      </w:r>
      <w:r>
        <w:t xml:space="preserve"> </w:t>
      </w:r>
      <w:r>
        <w:t xml:space="preserve">§S5/§S6.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none individually (background support for P4-10 and the SI normalizer catalog).</w:t>
      </w:r>
    </w:p>
    <w:bookmarkEnd w:id="24"/>
    <w:bookmarkStart w:id="25" w:name="Xaf82e8f5994d1c0e75d9762d8f199a288ac5c7d"/>
    <w:p>
      <w:pPr>
        <w:pStyle w:val="Heading2"/>
      </w:pPr>
      <w:r>
        <w:t xml:space="preserve">Module 6 — Identifiability and observability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P5-2’s and P5-10’s claims about non-identifiability (a model may fit observations while the target state remains non-identifiable) and the specific claim that</w:t>
      </w:r>
      <w:r>
        <w:t xml:space="preserve"> </w:t>
      </w:r>
      <w:r>
        <w:t xml:space="preserve">“</w:t>
      </w:r>
      <w:r>
        <w:t xml:space="preserve">no formal observability analysis accompanies</w:t>
      </w:r>
      <w:r>
        <w:t xml:space="preserve">”</w:t>
      </w:r>
      <w:r>
        <w:t xml:space="preserve"> </w:t>
      </w:r>
      <w:r>
        <w:t xml:space="preserve">the Dai et al. 2024 [44] Bayesian estimates — the latter is an absence-of-evidence claim based on this review’s own search not finding something, and needs the full text checked directly to confirm the absence is genuine rather than a search-summary omission.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 (applied mathematics/systems-engineering cross-listing likely needed).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(identifiability OR observability) AND (state-space OR Bayesian OR compartmental model) AND (wastewater-based epidemiology OR epidemiological inference).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(identifiability OR observability OR "parameter identifiability") AND ("state-space model" OR "Bayesian model" OR compartmental) AND ("wastewater-based epidemiology" OR "wastewater surveillance")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methodological/statistical papers directly addressing identifiability or observability in epidemiological state-space or Bayesian models; the full text of [44] Dai et al. 2024 itself, checked specifically for any observability analysis the abstract-level summary may have omitted.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papers using</w:t>
      </w:r>
      <w:r>
        <w:t xml:space="preserve"> </w:t>
      </w:r>
      <w:r>
        <w:t xml:space="preserve">“</w:t>
      </w:r>
      <w:r>
        <w:t xml:space="preserve">identifiability</w:t>
      </w:r>
      <w:r>
        <w:t xml:space="preserve">”</w:t>
      </w:r>
      <w:r>
        <w:t xml:space="preserve"> </w:t>
      </w:r>
      <w:r>
        <w:t xml:space="preserve">informally without a structural or practical identifiability analysis.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the source actually checked recovery of the target state, not merely predictive fit to the observed signal (per this round’s model/validation evidence threshold).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P5-2, P5-10.</w:t>
      </w:r>
    </w:p>
    <w:bookmarkEnd w:id="25"/>
    <w:bookmarkStart w:id="26" w:name="X2854f6a83183cd0c0a38a723a2c50aa8b49bc1f"/>
    <w:p>
      <w:pPr>
        <w:pStyle w:val="Heading2"/>
      </w:pPr>
      <w:r>
        <w:t xml:space="preserve">Module 7 — Uncertainty propagation and coverage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P5-4’s and P5-6’s claims about uncertainty-propagation methods and interval coverage across the six model families in Table 3.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(uncertainty propagation OR uncertainty quantification) AND (wastewater-based epidemiology) AND (coverage OR</w:t>
      </w:r>
      <w:r>
        <w:t xml:space="preserve"> </w:t>
      </w:r>
      <w:r>
        <w:t xml:space="preserve">“</w:t>
      </w:r>
      <w:r>
        <w:t xml:space="preserve">confidence interval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credible interval</w:t>
      </w:r>
      <w:r>
        <w:t xml:space="preserve">”</w:t>
      </w:r>
      <w:r>
        <w:t xml:space="preserve">) AND (validation).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("uncertainty propagation" OR "uncertainty quantification") AND ("wastewater-based epidemiology" OR "wastewater surveillance") AND (coverage OR "prediction interval" OR "credible interval")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methodological studies reporting actual interval-coverage validation (e.g., against held-out data), not just point-estimate accuracy.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studies reporting only point estimates with no uncertainty interval at all.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per the model/validation threshold, confirmation that reported intervals were checked against actual outcomes, not just internally generated.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P5-4, P5-6.</w:t>
      </w:r>
    </w:p>
    <w:bookmarkEnd w:id="26"/>
    <w:bookmarkStart w:id="27" w:name="module-8-cross-site-model-validation"/>
    <w:p>
      <w:pPr>
        <w:pStyle w:val="Heading2"/>
      </w:pPr>
      <w:r>
        <w:t xml:space="preserve">Module 8 — Cross-site model validation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P5-10’s Table 3 claims about each model family’s</w:t>
      </w:r>
      <w:r>
        <w:t xml:space="preserve"> </w:t>
      </w:r>
      <w:r>
        <w:t xml:space="preserve">“</w:t>
      </w:r>
      <w:r>
        <w:t xml:space="preserve">minimum validation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principal failure mode</w:t>
      </w:r>
      <w:r>
        <w:t xml:space="preserve">”</w:t>
      </w:r>
      <w:r>
        <w:t xml:space="preserve"> </w:t>
      </w:r>
      <w:r>
        <w:t xml:space="preserve">require confirmation that the underlying studies validated across more than one site where a cross-site claim is implied.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(model validation OR external validation) AND (multi-site OR cross-site OR</w:t>
      </w:r>
      <w:r>
        <w:t xml:space="preserve"> </w:t>
      </w:r>
      <w:r>
        <w:t xml:space="preserve">“</w:t>
      </w:r>
      <w:r>
        <w:t xml:space="preserve">multiple sewersheds</w:t>
      </w:r>
      <w:r>
        <w:t xml:space="preserve">”</w:t>
      </w:r>
      <w:r>
        <w:t xml:space="preserve">) AND (wastewater-based epidemiology).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("external validation" OR "multi-site validation") AND ("wastewater-based epidemiology" OR "wastewater surveillance model") AND (sewershed OR "treatment plant")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studies validating a reconstruction or inference model against held-out sites or held-out time periods.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studies validating only in-sample (same site, same period as calibration).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at least one explicit multi-site validation per model family claimed as broadly applicable in Table 3, or an explicit single-site caveat added if none is found.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P5-10 (secondary to Module 6); P3-9 (secondary to Module 2).</w:t>
      </w:r>
    </w:p>
    <w:bookmarkEnd w:id="27"/>
    <w:bookmarkStart w:id="28" w:name="X337241ee0c5558482a0b46537f8fc1c556c00a4"/>
    <w:p>
      <w:pPr>
        <w:pStyle w:val="Heading2"/>
      </w:pPr>
      <w:r>
        <w:t xml:space="preserve">Module 9 — Alert thresholds and transportability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P6-1’s threshold-transportability conclusion currently rests on a single non-peer-reviewed preprint ([57] Link, Garrido, et al. 2026). This round applied Option C (narrowing the condensed-draft text; see</w:t>
      </w:r>
      <w:r>
        <w:t xml:space="preserve"> </w:t>
      </w:r>
      <w:r>
        <w:rPr>
          <w:rStyle w:val="VerbatimChar"/>
        </w:rPr>
        <w:t xml:space="preserve">WBE_Review_Evidence_Recovery_Plan.md</w:t>
      </w:r>
      <w:r>
        <w:t xml:space="preserve"> </w:t>
      </w:r>
      <w:r>
        <w:t xml:space="preserve">§3) in the absence of a formal version or independent second source. This module is the target search for Options A/B in a future round. P6-2’s multi-source objective-distinction example ([55] Assoum et al. 2023) also benefits from this module’s search.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Scopus, PubMed, and a direct medRxiv/preprint-server check for a published version of the same DOI/author pair.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(event detection OR outbreak detection OR alert threshold) AND (wastewater) AND (sensitivity OR</w:t>
      </w:r>
      <w:r>
        <w:t xml:space="preserve"> </w:t>
      </w:r>
      <w:r>
        <w:t xml:space="preserve">“</w:t>
      </w:r>
      <w:r>
        <w:t xml:space="preserve">predictive value</w:t>
      </w:r>
      <w:r>
        <w:t xml:space="preserve">”</w:t>
      </w:r>
      <w:r>
        <w:t xml:space="preserve"> </w:t>
      </w:r>
      <w:r>
        <w:t xml:space="preserve">OR performance).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("event detection" OR "outbreak detection" OR "alert threshold") AND (wastewater) AND (sensitivity OR "predictive value")</w:t>
      </w:r>
      <w:r>
        <w:t xml:space="preserve"> </w:t>
      </w:r>
      <w:r>
        <w:t xml:space="preserve">— the same string already recorded in</w:t>
      </w:r>
      <w:r>
        <w:t xml:space="preserve"> </w:t>
      </w:r>
      <w:r>
        <w:rPr>
          <w:rStyle w:val="VerbatimChar"/>
        </w:rPr>
        <w:t xml:space="preserve">WBE_Review_Critical_Claim_Verification_Queue.csv</w:t>
      </w:r>
      <w:r>
        <w:t xml:space="preserve">’s P6-1 row, repeated here for the module-level record.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peer-reviewed event/outbreak-detection performance studies against a clinical baseline, in any country or disease context; a formal published version of the Link/Garrido preprint specifically, if one exists.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preprints (already the current evidence base and insufficient alone); studies reporting only trend-monitoring correlation without an explicit event/outbreak-detection framing.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either the formal peer-reviewed version of [57] (with the version relationship to the preprint recorded, not silently substituted) or at least one independent peer-reviewed study of comparable event-detection performance from a different team/scenario — i.e., Option A or B as originally specified.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P6-1 (primary); P6-2 (secondary).</w:t>
      </w:r>
    </w:p>
    <w:bookmarkEnd w:id="28"/>
    <w:bookmarkStart w:id="29" w:name="module-10-ethics-privacy-equity"/>
    <w:p>
      <w:pPr>
        <w:pStyle w:val="Heading2"/>
      </w:pPr>
      <w:r>
        <w:t xml:space="preserve">Module 10 — Ethics / privacy / equity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P6-4’s equity and re-identification claims ([51] Moallef et al. 2025, [52] Yu et al. 2024) need full text to confirm the single re-identification example’s details and the sewer-connectivity coverage-gap statistics, and to classify each supporting source correctly as normative recommendation, documented empirical harm, or theoretical/anticipated risk (per this round’s ethics-claim evidence threshold — guidance documents alone cannot prove a risk has actually occurred).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Scopus, PubMed (public-health-ethics and health-equity coverage).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(wastewater-based epidemiology OR wastewater surveillance) AND (equity OR ethics OR privacy) AND (re-identification OR</w:t>
      </w:r>
      <w:r>
        <w:t xml:space="preserve"> </w:t>
      </w:r>
      <w:r>
        <w:t xml:space="preserve">“</w:t>
      </w:r>
      <w:r>
        <w:t xml:space="preserve">individual privacy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community stigma</w:t>
      </w:r>
      <w:r>
        <w:t xml:space="preserve">”</w:t>
      </w:r>
      <w:r>
        <w:t xml:space="preserve">) AND (sewer connectivity OR coverage gap).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("wastewater-based epidemiology" OR "wastewater surveillance") AND (equity OR privacy OR ethics) AND ("re-identification" OR "sewer connectivity" OR "coverage gap" OR stigma)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empirical case studies documenting an actual re-identification or coverage-gap event; governance and guidance literature, explicitly tagged as normative rather than empirical; critical reviews synthesizing equity considerations.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normative or theoretical-risk sources cited as if they were documented empirical harms without the type distinction made explicit in the text.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each cited source classified as normative-recommendation, documented-empirical-harm, or theoretical-risk, with the classification stated in the manuscript text, not left implicit.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P6-4.</w:t>
      </w:r>
    </w:p>
    <w:bookmarkEnd w:id="29"/>
    <w:bookmarkStart w:id="30" w:name="X8786367ae40d36a1e8207eafb546bf9adf2879d"/>
    <w:p>
      <w:pPr>
        <w:pStyle w:val="Heading2"/>
      </w:pPr>
      <w:r>
        <w:t xml:space="preserve">Module 11 — Reference materials and interlaboratory standardization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Evidence gap:</w:t>
      </w:r>
      <w:r>
        <w:t xml:space="preserve"> </w:t>
      </w:r>
      <w:r>
        <w:t xml:space="preserve">P4-2’s interlaboratory recovery/inhibition finding ([24] Pecson et al. 2021, a citation-restoration gap) and P7-2’s standardized-reporting/proficiency-testing conclusion ([64] Keenum et al. 2024, which also carries an unresolved duplicated-surname author-list inconsistency, independent of the full-text question).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Web of Science, Scopus.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Core concept groups:</w:t>
      </w:r>
      <w:r>
        <w:t xml:space="preserve"> </w:t>
      </w:r>
      <w:r>
        <w:t xml:space="preserve">(interlaboratory OR proficiency testing OR reference material) AND (wastewater-based epidemiology OR SARS-CoV-2 quantification) AND (standardization OR harmonization OR reporting).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Candidate search string:</w:t>
      </w:r>
      <w:r>
        <w:t xml:space="preserve"> </w:t>
      </w:r>
      <w:r>
        <w:rPr>
          <w:rStyle w:val="VerbatimChar"/>
        </w:rPr>
        <w:t xml:space="preserve">(interlaboratory OR "proficiency testing" OR "reference material") AND ("wastewater-based epidemiology" OR "SARS-CoV-2 quantification") AND (standardization OR harmonization)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Evidence types to include:</w:t>
      </w:r>
      <w:r>
        <w:t xml:space="preserve"> </w:t>
      </w:r>
      <w:r>
        <w:t xml:space="preserve">interlaboratory comparison/method-evaluation studies; standardization working-group position papers, tagged as normative rather than empirical where applicable.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Exclusion conditions:</w:t>
      </w:r>
      <w:r>
        <w:t xml:space="preserve"> </w:t>
      </w:r>
      <w:r>
        <w:t xml:space="preserve">single-laboratory method papers presented as if establishing an interlaboratory finding.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Minimum acceptable evidence:</w:t>
      </w:r>
      <w:r>
        <w:t xml:space="preserve"> </w:t>
      </w:r>
      <w:r>
        <w:t xml:space="preserve">the original Pecson et al. 2021 full text for P4-2 (citation restoration); for P7-2, confirmation that the standardization argument is corroborated by more than the one position paper, or an explicit single-source caveat if not.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Claim IDs to resolve:</w:t>
      </w:r>
      <w:r>
        <w:t xml:space="preserve"> </w:t>
      </w:r>
      <w:r>
        <w:t xml:space="preserve">P4-2, P7-2.</w:t>
      </w:r>
    </w:p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Eleven modules, covering all 9 Critical and 7 High claims from</w:t>
      </w:r>
      <w:r>
        <w:t xml:space="preserve"> </w:t>
      </w:r>
      <w:r>
        <w:rPr>
          <w:rStyle w:val="VerbatimChar"/>
        </w:rPr>
        <w:t xml:space="preserve">WBE_Review_Critical_Claim_Verification_Queue.csv</w:t>
      </w:r>
      <w:r>
        <w:t xml:space="preserve"> </w:t>
      </w:r>
      <w:r>
        <w:t xml:space="preserve">(several claims appear in more than one module where the evidence gap has more than one facet — e.g., P3-6 spans Modules 2 and 3, P5-10 spans Modules 6 and 8). No search was executed to produce this document; it is a design artifact only, meant to be handed directly to whoever runs the next formal search round using</w:t>
      </w:r>
      <w:r>
        <w:t xml:space="preserve"> </w:t>
      </w:r>
      <w:r>
        <w:rPr>
          <w:rStyle w:val="VerbatimChar"/>
        </w:rPr>
        <w:t xml:space="preserve">systematic-review/</w:t>
      </w:r>
      <w:r>
        <w:t xml:space="preserve">’s existing toolkit.</w:t>
      </w:r>
    </w:p>
    <w:bookmarkEnd w:id="31"/>
    <w:bookmarkEnd w:id="32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2026-07-18T16:32:35Z</dcterms:created>
  <dcterms:modified xsi:type="dcterms:W3CDTF">2026-07-18T16:32:35Z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