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694f3bc2cf910d9d4c932fe7927201ec39d3d5"/>
    <w:p>
      <w:pPr>
        <w:pStyle w:val="Heading1"/>
      </w:pPr>
      <w:r>
        <w:t xml:space="preserve">Figure Design Brief — 4 Planned Figures (Design Specification Only, No Images Produced)</w:t>
      </w:r>
    </w:p>
    <w:p>
      <w:pPr>
        <w:pStyle w:val="FirstParagraph"/>
      </w:pPr>
      <w:r>
        <w:rPr>
          <w:bCs/>
          <w:b/>
        </w:rPr>
        <w:t xml:space="preserve">Round:</w:t>
      </w:r>
      <w:r>
        <w:t xml:space="preserve"> </w:t>
      </w:r>
      <w:r>
        <w:t xml:space="preserve">Water Research compression, Phase 3C (manuscript presentation and internal-consistency refinement). 2026-07-19. This document specifies what each of the 4 planned figures (per</w:t>
      </w:r>
      <w:r>
        <w:t xml:space="preserve"> </w:t>
      </w:r>
      <w:r>
        <w:rPr>
          <w:rStyle w:val="VerbatimChar"/>
        </w:rPr>
        <w:t xml:space="preserve">WBE_Review_Target_Outline.md</w:t>
      </w:r>
      <w:r>
        <w:t xml:space="preserve">’s figure-and-table inventory) needs to communicate and contain, so that figure production — whenever it happens — has a clear brief to work from.</w:t>
      </w:r>
      <w:r>
        <w:t xml:space="preserve"> </w:t>
      </w:r>
      <w:r>
        <w:rPr>
          <w:bCs/>
          <w:b/>
        </w:rPr>
        <w:t xml:space="preserve">No image file is produced by this document.</w:t>
      </w:r>
      <w:r>
        <w:t xml:space="preserve"> </w:t>
      </w:r>
      <w:r>
        <w:t xml:space="preserve">No figure has been inserted into</w:t>
      </w:r>
      <w:r>
        <w:t xml:space="preserve"> </w:t>
      </w:r>
      <w:r>
        <w:rPr>
          <w:rStyle w:val="VerbatimChar"/>
        </w:rPr>
        <w:t xml:space="preserve">WBE_Review_WR_Condensed_Draft.md</w:t>
      </w:r>
      <w:r>
        <w:t xml:space="preserve">; the manuscript currently contains zero embedded figures, consistent with Phase 2A/2B never having drafted them and this round being forbidden from expanding the main text.</w:t>
      </w:r>
    </w:p>
    <w:p>
      <w:pPr>
        <w:pStyle w:val="BodyText"/>
      </w:pPr>
      <w:r>
        <w:t xml:space="preserve">Each figure’s brief below distinguishes: what is this review’s own original conceptual framework (safe to illustrate now, needs no external evidence) versus what would require full-text-verified data to render responsibly (must wait for Phase 3B full-text verification to actually resume with real source material).</w:t>
      </w:r>
    </w:p>
    <w:bookmarkStart w:id="20" w:name="X354a69563bf68d0eeac0cae174fb4f44e1ed51e"/>
    <w:p>
      <w:pPr>
        <w:pStyle w:val="Heading2"/>
      </w:pPr>
      <w:r>
        <w:t xml:space="preserve">Figure 1. Source-to-inference signal chain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Communication objective:</w:t>
      </w:r>
      <w:r>
        <w:t xml:space="preserve"> </w:t>
      </w:r>
      <w:r>
        <w:t xml:space="preserve">orient the reader to the manuscript’s central inverse-problem framing in one image — a source state passing through excretion, sewer transport, sampling, and analysis to become a measured concentration, with the</w:t>
      </w:r>
      <w:r>
        <w:t xml:space="preserve"> </w:t>
      </w:r>
      <w:r>
        <w:t xml:space="preserve">“</w:t>
      </w:r>
      <w:r>
        <w:t xml:space="preserve">recoverability</w:t>
      </w:r>
      <w:r>
        <w:t xml:space="preserve">”</w:t>
      </w:r>
      <w:r>
        <w:t xml:space="preserve"> </w:t>
      </w:r>
      <w:r>
        <w:t xml:space="preserve">question sitting at the center.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Visual hierarchy:</w:t>
      </w:r>
      <w:r>
        <w:t xml:space="preserve"> </w:t>
      </w:r>
      <w:r>
        <w:t xml:space="preserve">a single horizontal pipeline (source state → sewer-entry load → in-transit signal → sampled/measured signal → reconstructed estimate → decision), with the three distortion categories (amplitude, temporal, spatial) shown as recurring labels attached to each pipeline stage where they act, not as a separate legend disconnected from the pipeline.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Required elements:</w:t>
      </w:r>
      <w:r>
        <w:t xml:space="preserve"> </w:t>
      </w:r>
      <w:r>
        <w:t xml:space="preserve">the five pipeline stages named in §1.1/§2/§3/§4/§5’s structure; the three distortion-category labels from §1.1; an explicit</w:t>
      </w:r>
      <w:r>
        <w:t xml:space="preserve"> </w:t>
      </w:r>
      <w:r>
        <w:t xml:space="preserve">“</w:t>
      </w:r>
      <w:r>
        <w:t xml:space="preserve">identifiability</w:t>
      </w:r>
      <w:r>
        <w:t xml:space="preserve">”</w:t>
      </w:r>
      <w:r>
        <w:t xml:space="preserve"> </w:t>
      </w:r>
      <w:r>
        <w:t xml:space="preserve">annotation showing where the inverse problem either can or cannot be solved.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 sections:</w:t>
      </w:r>
      <w:r>
        <w:t xml:space="preserve"> </w:t>
      </w:r>
      <w:r>
        <w:t xml:space="preserve">§1.1 (inverse-problem framing, three distortion categories), §2 (source state, sewer-entry load), §3 (sewer transport), §4 (sampling/analysis), §5 (reconstruction).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Potential copyright issues:</w:t>
      </w:r>
      <w:r>
        <w:t xml:space="preserve"> </w:t>
      </w:r>
      <w:r>
        <w:t xml:space="preserve">none anticipated — this is an original schematic of this review’s own argument structure, not a reproduction of any cited figure.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Author-original vs. needs full-text data:</w:t>
      </w:r>
      <w:r>
        <w:t xml:space="preserve"> </w:t>
      </w:r>
      <w:r>
        <w:t xml:space="preserve">entirely author-original conceptual framework. No external data point is plotted; nothing in this figure requires full-text verification before it can be drawn.</w:t>
      </w:r>
    </w:p>
    <w:bookmarkEnd w:id="20"/>
    <w:bookmarkStart w:id="21" w:name="Xbe5c3f244385aa2be647dd35c0e95532d2e32ae"/>
    <w:p>
      <w:pPr>
        <w:pStyle w:val="Heading2"/>
      </w:pPr>
      <w:r>
        <w:t xml:space="preserve">Figure 2. Amplitude-temporal-spatial distortion framework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Communication objective:</w:t>
      </w:r>
      <w:r>
        <w:t xml:space="preserve"> </w:t>
      </w:r>
      <w:r>
        <w:t xml:space="preserve">make the three-term distortion taxonomy (§1.1, applied throughout §2-§4) visually explicit, since it currently exists only in prose and is used as a classification device in nearly every subsequent section.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Visual hierarchy:</w:t>
      </w:r>
      <w:r>
        <w:t xml:space="preserve"> </w:t>
      </w:r>
      <w:r>
        <w:t xml:space="preserve">three parallel columns (amplitude / temporal / spatial), each populated with the specific named mechanisms already in the manuscript text (e.g., amplitude: dilution, decay, recovery loss; temporal: shedding kinetics, retention-time distributions, sampling-schedule mismatch; spatial: heterogeneous flow paths, combined-sewer overflow, differential storm response) — a classification diagram, not a flowchart.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Required elements:</w:t>
      </w:r>
      <w:r>
        <w:t xml:space="preserve"> </w:t>
      </w:r>
      <w:r>
        <w:t xml:space="preserve">the three category definitions verbatim from §1.1; the specific mechanism examples already named in §1.1, §2, and §3 (no new mechanism should be invented for this figure that is not already in the manuscript text).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Source sections:</w:t>
      </w:r>
      <w:r>
        <w:t xml:space="preserve"> </w:t>
      </w:r>
      <w:r>
        <w:t xml:space="preserve">§1.1 (taxonomy definitions), §2 (source-end examples), §3.2-§3.4 (transport-stage examples).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Potential copyright issues:</w:t>
      </w:r>
      <w:r>
        <w:t xml:space="preserve"> </w:t>
      </w:r>
      <w:r>
        <w:t xml:space="preserve">none anticipated — original classification diagram.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Author-original vs. needs full-text data:</w:t>
      </w:r>
      <w:r>
        <w:t xml:space="preserve"> </w:t>
      </w:r>
      <w:r>
        <w:t xml:space="preserve">entirely author-original; every mechanism example listed is already text the manuscript states as its own synthesis or already-cited finding, so no new full-text-dependent data point is needed to draw this figure.</w:t>
      </w:r>
    </w:p>
    <w:bookmarkEnd w:id="21"/>
    <w:bookmarkStart w:id="22" w:name="X05621770f1b2b9b882448dfff71619d236ec903"/>
    <w:p>
      <w:pPr>
        <w:pStyle w:val="Heading2"/>
      </w:pPr>
      <w:r>
        <w:t xml:space="preserve">Figure 3. Process-informed reconstruction and uncertainty framework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Communication objective:</w:t>
      </w:r>
      <w:r>
        <w:t xml:space="preserve"> </w:t>
      </w:r>
      <w:r>
        <w:t xml:space="preserve">show how identifiability, observability, validation level, and uncertainty propagation relate to each other within the reconstruction process (§5), since these four concepts are individually well-defined in text but their relationship to one another is currently argued in prose only.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Visual hierarchy:</w:t>
      </w:r>
      <w:r>
        <w:t xml:space="preserve"> </w:t>
      </w:r>
      <w:r>
        <w:t xml:space="preserve">a decision-flow structure — inferential target selected → model family chosen accordingly → identifiability/observability checked → validation level matched to target → uncertainty propagated → interval checked for calibrated coverage — ending at the</w:t>
      </w:r>
      <w:r>
        <w:t xml:space="preserve"> </w:t>
      </w:r>
      <w:r>
        <w:t xml:space="preserve">“</w:t>
      </w:r>
      <w:r>
        <w:t xml:space="preserve">defensible inference</w:t>
      </w:r>
      <w:r>
        <w:t xml:space="preserve">”</w:t>
      </w:r>
      <w:r>
        <w:t xml:space="preserve"> </w:t>
      </w:r>
      <w:r>
        <w:t xml:space="preserve">node from §5.5.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Required elements:</w:t>
      </w:r>
      <w:r>
        <w:t xml:space="preserve"> </w:t>
      </w:r>
      <w:r>
        <w:t xml:space="preserve">the six inferential targets (§5.1), the identifiability/observability/equifinality distinctions (§5.2), the six validation levels (§5.3), the seven uncertainty-propagation input categories (§5.4) shown as a compact side annotation rather than expanded fully (to avoid visual overload), and the core judgment from §5.2 (</w:t>
      </w:r>
      <w:r>
        <w:t xml:space="preserve">“</w:t>
      </w:r>
      <w:r>
        <w:t xml:space="preserve">a model may fit the observations while the target state remains non-identifiable</w:t>
      </w:r>
      <w:r>
        <w:t xml:space="preserve">”</w:t>
      </w:r>
      <w:r>
        <w:t xml:space="preserve">) as a callout.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 sections:</w:t>
      </w:r>
      <w:r>
        <w:t xml:space="preserve"> </w:t>
      </w:r>
      <w:r>
        <w:t xml:space="preserve">§5.1-§5.5 in full.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Potential copyright issues:</w:t>
      </w:r>
      <w:r>
        <w:t xml:space="preserve"> </w:t>
      </w:r>
      <w:r>
        <w:t xml:space="preserve">none anticipated — this figure would replace/merge the source draft’s existing Figure 2 (uncertainty chain) and Figure 3 (uncertainty budget network), which are this review’s own prior original figures, not reproductions of any external source.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Author-original vs. needs full-text data:</w:t>
      </w:r>
      <w:r>
        <w:t xml:space="preserve"> </w:t>
      </w:r>
      <w:r>
        <w:t xml:space="preserve">entirely author-original framework; no specific study’s numeric result needs to appear on this figure, so it requires no full-text verification before being drawn. If a future version wants to annotate the figure with a specific example (e.g.,</w:t>
      </w:r>
      <w:r>
        <w:t xml:space="preserve"> </w:t>
      </w:r>
      <w:r>
        <w:t xml:space="preserve">“</w:t>
      </w:r>
      <w:r>
        <w:t xml:space="preserve">as in Dai et al. 2024</w:t>
      </w:r>
      <w:r>
        <w:t xml:space="preserve">”</w:t>
      </w:r>
      <w:r>
        <w:t xml:space="preserve">), that specific annotation would need full-text confirmation first — but the framework itself does not.</w:t>
      </w:r>
    </w:p>
    <w:bookmarkEnd w:id="22"/>
    <w:bookmarkStart w:id="23" w:name="X1906511de1d6069bd7b337de439a9412f2d6d1c"/>
    <w:p>
      <w:pPr>
        <w:pStyle w:val="Heading2"/>
      </w:pPr>
      <w:r>
        <w:t xml:space="preserve">Figure 4. Detection-to-decision readiness pathway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Communication objective:</w:t>
      </w:r>
      <w:r>
        <w:t xml:space="preserve"> </w:t>
      </w:r>
      <w:r>
        <w:t xml:space="preserve">consolidate the normalization decision logic (§4), the four actionability conditions (§6.3), and the five-level technology-readiness hierarchy (§7.3) into one</w:t>
      </w:r>
      <w:r>
        <w:t xml:space="preserve"> </w:t>
      </w:r>
      <w:r>
        <w:t xml:space="preserve">“</w:t>
      </w:r>
      <w:r>
        <w:t xml:space="preserve">what has to be true before a signal is decision-ready</w:t>
      </w:r>
      <w:r>
        <w:t xml:space="preserve">”</w:t>
      </w:r>
      <w:r>
        <w:t xml:space="preserve"> </w:t>
      </w:r>
      <w:r>
        <w:t xml:space="preserve">pathway — this is the largest figure-count consolidation in the plan (3 source concepts into 1 figure) and the figure most directly tied to the manuscript’s practical, decision-facing conclusion.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Visual hierarchy:</w:t>
      </w:r>
      <w:r>
        <w:t xml:space="preserve"> </w:t>
      </w:r>
      <w:r>
        <w:t xml:space="preserve">a staged ladder or funnel, bottom to top: analytical detection → field validation → cross-site validation → operational integration → demonstrated decision value (the §7.3 hierarchy), with the four §6.3 actionability conditions and the normalization-validity check (§4.4) shown as gates a signal must pass at the appropriate stage, not as a separate unconnected checklist.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Required elements:</w:t>
      </w:r>
      <w:r>
        <w:t xml:space="preserve"> </w:t>
      </w:r>
      <w:r>
        <w:t xml:space="preserve">the five-level readiness hierarchy verbatim from §7.3; the four actionability conditions verbatim from §6.3; an explicit visual statement of §7.3’s core proposition (</w:t>
      </w:r>
      <w:r>
        <w:t xml:space="preserve">“</w:t>
      </w:r>
      <w:r>
        <w:t xml:space="preserve">analytical novelty is not equivalent to epidemiological validity, operational readiness, or demonstrated decision value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Source sections:</w:t>
      </w:r>
      <w:r>
        <w:t xml:space="preserve"> </w:t>
      </w:r>
      <w:r>
        <w:t xml:space="preserve">§4.4 (normalization validity conditions), §6.3 (actionability conditions), §7.3 (readiness hierarchy).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Potential copyright issues:</w:t>
      </w:r>
      <w:r>
        <w:t xml:space="preserve"> </w:t>
      </w:r>
      <w:r>
        <w:t xml:space="preserve">none anticipated — original synthesis figure combining three of this review’s own arguments; no reproduction of any external source’s figure.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Author-original vs. needs full-text data:</w:t>
      </w:r>
      <w:r>
        <w:t xml:space="preserve"> </w:t>
      </w:r>
      <w:r>
        <w:t xml:space="preserve">entirely author-original; the readiness hierarchy and actionability conditions are both this review’s own proposed frameworks (§7.3 states this explicitly:</w:t>
      </w:r>
      <w:r>
        <w:t xml:space="preserve"> </w:t>
      </w:r>
      <w:r>
        <w:t xml:space="preserve">“</w:t>
      </w:r>
      <w:r>
        <w:t xml:space="preserve">This review adapts a readiness hierarchy</w:t>
      </w:r>
      <w:r>
        <w:t xml:space="preserve">”</w:t>
      </w:r>
      <w:r>
        <w:t xml:space="preserve">), so no full-text verification is a precondition for drawing this figure.</w:t>
      </w:r>
    </w:p>
    <w:bookmarkEnd w:id="23"/>
    <w:bookmarkStart w:id="24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All four figures are, in their current specification,</w:t>
      </w:r>
      <w:r>
        <w:t xml:space="preserve"> </w:t>
      </w:r>
      <w:r>
        <w:rPr>
          <w:bCs/>
          <w:b/>
        </w:rPr>
        <w:t xml:space="preserve">entirely author-original conceptual frameworks</w:t>
      </w:r>
      <w:r>
        <w:t xml:space="preserve"> </w:t>
      </w:r>
      <w:r>
        <w:t xml:space="preserve">— none requires plotting a specific study’s numeric result, and therefore none is blocked on full-text verification. This is a deliberate design choice carried over from the manuscript’s own propositional framing (§1.3:</w:t>
      </w:r>
      <w:r>
        <w:t xml:space="preserve"> </w:t>
      </w:r>
      <w:r>
        <w:t xml:space="preserve">“</w:t>
      </w:r>
      <w:r>
        <w:t xml:space="preserve">offered as this review’s own organizing synthesis rather than as an existing consensus</w:t>
      </w:r>
      <w:r>
        <w:t xml:space="preserve">”</w:t>
      </w:r>
      <w:r>
        <w:t xml:space="preserve">) rather than an oversight — a figure that</w:t>
      </w:r>
      <w:r>
        <w:t xml:space="preserve"> </w:t>
      </w:r>
      <w:r>
        <w:rPr>
          <w:iCs/>
          <w:i/>
        </w:rPr>
        <w:t xml:space="preserve">did</w:t>
      </w:r>
      <w:r>
        <w:t xml:space="preserve"> </w:t>
      </w:r>
      <w:r>
        <w:t xml:space="preserve">need to plot a specific external number (e.g., a cross-study performance comparison) would need to wait for Phase 3B full-text verification of the underlying studies before that specific figure could be responsibly drawn. No such figure is currently planned. If a future round wants to add a fifth, data-driven figure (e.g., a forest plot of normalizer performance across studies), that would be a new planning decision requiring its own full-text-evidence check, not an extension of this brief.</w:t>
      </w:r>
    </w:p>
    <w:p>
      <w:pPr>
        <w:pStyle w:val="BodyText"/>
      </w:pPr>
      <w:r>
        <w:t xml:space="preserve">No image files were created as part of this document. No figure was inserted into</w:t>
      </w:r>
      <w:r>
        <w:t xml:space="preserve"> </w:t>
      </w:r>
      <w:r>
        <w:rPr>
          <w:rStyle w:val="VerbatimChar"/>
        </w:rPr>
        <w:t xml:space="preserve">WBE_Review_WR_Condensed_Draft.md</w:t>
      </w:r>
      <w:r>
        <w:t xml:space="preserve">.</w:t>
      </w:r>
    </w:p>
    <w:bookmarkEnd w:id="24"/>
    <w:bookmarkEnd w:id="25"/>
    <w:sectPr>
      <w:pgSz w:h="15840" w:w="12240"/>
      <w:pgMar w:bottom="1008" w:left="864" w:right="864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2026-07-19T02:29:11Z</dcterms:created>
  <dcterms:modified xsi:type="dcterms:W3CDTF">2026-07-19T02:29:11Z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