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34e99a20165761e0599e61e536e35c4501adbe"/>
    <w:p>
      <w:pPr>
        <w:pStyle w:val="Heading1"/>
      </w:pPr>
      <w:r>
        <w:t xml:space="preserve">Table Design Brief — In-Text Table Audit and Planned-Table Status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Phase 3C (manuscript presentation and internal-consistency refinement). 2026-07-19. Audits the two tables currently drafted in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 </w:t>
      </w:r>
      <w:r>
        <w:t xml:space="preserve">(Table 2, Table 3) against redundancy, width, unverifiable comparatives, SI-migration candidacy, and</w:t>
      </w:r>
      <w:r>
        <w:t xml:space="preserve"> </w:t>
      </w:r>
      <w:r>
        <w:t xml:space="preserve">“</w:t>
      </w:r>
      <w:r>
        <w:t xml:space="preserve">proposed by this review</w:t>
      </w:r>
      <w:r>
        <w:t xml:space="preserve">”</w:t>
      </w:r>
      <w:r>
        <w:t xml:space="preserve"> </w:t>
      </w:r>
      <w:r>
        <w:t xml:space="preserve">labeling, and records the status of the two additional tables named in the Target Outline’s 4-table plan (Table 1, Table 4) that have not yet been drafted.</w:t>
      </w:r>
    </w:p>
    <w:bookmarkStart w:id="20" w:name="Xaea5293b4512346d5b8f02fa40e8729cc53c743"/>
    <w:p>
      <w:pPr>
        <w:pStyle w:val="Heading2"/>
      </w:pPr>
      <w:r>
        <w:t xml:space="preserve">Table 2. Normalization strategy, corrected mechanism, required assumption and residual uncertainty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Repeats main text?</w:t>
      </w:r>
      <w:r>
        <w:t xml:space="preserve"> </w:t>
      </w:r>
      <w:r>
        <w:t xml:space="preserve">Partially, by design — table content summarizes §4.2-§4.4’s argument in scannable form (this is standard practice: a synthesis table restating prose in structured form is not redundancy in the negative sense, since the two serve different reading modes). No sentence in §4.2-§4.4 is copied verbatim into the table; the table’s</w:t>
      </w:r>
      <w:r>
        <w:t xml:space="preserve"> </w:t>
      </w:r>
      <w:r>
        <w:t xml:space="preserve">“</w:t>
      </w:r>
      <w:r>
        <w:t xml:space="preserve">Required assumption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Residual/introduced uncertainty</w:t>
      </w:r>
      <w:r>
        <w:t xml:space="preserve">”</w:t>
      </w:r>
      <w:r>
        <w:t xml:space="preserve"> </w:t>
      </w:r>
      <w:r>
        <w:t xml:space="preserve">columns state the same underlying facts in a different, denser form than the prose.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 wide?</w:t>
      </w:r>
      <w:r>
        <w:t xml:space="preserve"> </w:t>
      </w:r>
      <w:r>
        <w:t xml:space="preserve">No — 4 columns, 4 rows; well within typical journal single-column or double-column table width.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Unverifiable comparatives?</w:t>
      </w:r>
      <w:r>
        <w:t xml:space="preserve"> </w:t>
      </w:r>
      <w:r>
        <w:t xml:space="preserve">Checked directly — no cell uses</w:t>
      </w:r>
      <w:r>
        <w:t xml:space="preserve"> </w:t>
      </w:r>
      <w:r>
        <w:t xml:space="preserve">“</w:t>
      </w:r>
      <w:r>
        <w:t xml:space="preserve">best,</w:t>
      </w:r>
      <w:r>
        <w:t xml:space="preserve">”</w:t>
      </w:r>
      <w:r>
        <w:t xml:space="preserve"> </w:t>
      </w:r>
      <w:r>
        <w:t xml:space="preserve">“</w:t>
      </w:r>
      <w:r>
        <w:t xml:space="preserve">most reliable,</w:t>
      </w:r>
      <w:r>
        <w:t xml:space="preserve">”</w:t>
      </w:r>
      <w:r>
        <w:t xml:space="preserve"> </w:t>
      </w:r>
      <w:r>
        <w:t xml:space="preserve">“</w:t>
      </w:r>
      <w:r>
        <w:t xml:space="preserve">universally applicable,</w:t>
      </w:r>
      <w:r>
        <w:t xml:space="preserve">”</w:t>
      </w:r>
      <w:r>
        <w:t xml:space="preserve"> </w:t>
      </w:r>
      <w:r>
        <w:t xml:space="preserve">“</w:t>
      </w:r>
      <w:r>
        <w:t xml:space="preserve">robust across settings,</w:t>
      </w:r>
      <w:r>
        <w:t xml:space="preserve">”</w:t>
      </w:r>
      <w:r>
        <w:t xml:space="preserve"> </w:t>
      </w:r>
      <w:r>
        <w:t xml:space="preserve">or similar unqualified superlative/ranking language. Every cell states a conditional mechanism (</w:t>
      </w:r>
      <w:r>
        <w:t xml:space="preserve">“</w:t>
      </w:r>
      <w:r>
        <w:t xml:space="preserve">corrects X,</w:t>
      </w:r>
      <w:r>
        <w:t xml:space="preserve">”</w:t>
      </w:r>
      <w:r>
        <w:t xml:space="preserve"> </w:t>
      </w:r>
      <w:r>
        <w:t xml:space="preserve">“</w:t>
      </w:r>
      <w:r>
        <w:t xml:space="preserve">requires Y,</w:t>
      </w:r>
      <w:r>
        <w:t xml:space="preserve">”</w:t>
      </w:r>
      <w:r>
        <w:t xml:space="preserve"> </w:t>
      </w:r>
      <w:r>
        <w:t xml:space="preserve">“</w:t>
      </w:r>
      <w:r>
        <w:t xml:space="preserve">residual Z</w:t>
      </w:r>
      <w:r>
        <w:t xml:space="preserve">”</w:t>
      </w:r>
      <w:r>
        <w:t xml:space="preserve">), not a cross-strategy ranking. This is correct and should be preserved in any future edit.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Should move to SI?</w:t>
      </w:r>
      <w:r>
        <w:t xml:space="preserve"> </w:t>
      </w:r>
      <w:r>
        <w:t xml:space="preserve">No — this is exactly the kind of compact, decision-relevant synthesis a main-text table should carry; the full per-study, per-biomarker detail behind it already lives in SI §S5/§S6, so no further migration is needed.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Table title labeled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proposed by this review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Was not labeled as of the start of this round;</w:t>
      </w:r>
      <w:r>
        <w:t xml:space="preserve"> </w:t>
      </w:r>
      <w:r>
        <w:rPr>
          <w:bCs/>
          <w:b/>
        </w:rPr>
        <w:t xml:space="preserve">fixed this round</w:t>
      </w:r>
      <w:r>
        <w:t xml:space="preserve"> </w:t>
      </w:r>
      <w:r>
        <w:t xml:space="preserve">— caption now reads</w:t>
      </w:r>
      <w:r>
        <w:t xml:space="preserve"> </w:t>
      </w:r>
      <w:r>
        <w:t xml:space="preserve">“</w:t>
      </w:r>
      <w:r>
        <w:t xml:space="preserve">…synthesized by this review,</w:t>
      </w:r>
      <w:r>
        <w:t xml:space="preserve">”</w:t>
      </w:r>
      <w:r>
        <w:t xml:space="preserve"> </w:t>
      </w:r>
      <w:r>
        <w:t xml:space="preserve">since the four-row categorization and the specific</w:t>
      </w:r>
      <w:r>
        <w:t xml:space="preserve"> </w:t>
      </w:r>
      <w:r>
        <w:t xml:space="preserve">“</w:t>
      </w:r>
      <w:r>
        <w:t xml:space="preserve">required assumption</w:t>
      </w:r>
      <w:r>
        <w:t xml:space="preserve">”</w:t>
      </w:r>
      <w:r>
        <w:t xml:space="preserve">/</w:t>
      </w:r>
      <w:r>
        <w:t xml:space="preserve">“</w:t>
      </w:r>
      <w:r>
        <w:t xml:space="preserve">residual uncertainty</w:t>
      </w:r>
      <w:r>
        <w:t xml:space="preserve">”</w:t>
      </w:r>
      <w:r>
        <w:t xml:space="preserve"> </w:t>
      </w:r>
      <w:r>
        <w:t xml:space="preserve">framing are this review’s own organizing synthesis (per §1.3’s own framing), not a pre-existing standard table reproduced from any single cited source.</w:t>
      </w:r>
    </w:p>
    <w:bookmarkEnd w:id="20"/>
    <w:bookmarkStart w:id="21" w:name="Xd459b76372e29a4c5061cbb8a2836adab247396"/>
    <w:p>
      <w:pPr>
        <w:pStyle w:val="Heading2"/>
      </w:pPr>
      <w:r>
        <w:t xml:space="preserve">Table 3. Model family, identifiability requirement, dominant uncertainty and minimum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Repeats main text?</w:t>
      </w:r>
      <w:r>
        <w:t xml:space="preserve"> </w:t>
      </w:r>
      <w:r>
        <w:t xml:space="preserve">Partially, by design — same rationale as Table 2; §5.1-§5.4’s prose develops the concepts, the table applies them systematically across the six named model families, which prose alone does not do as scannably.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Too wide?</w:t>
      </w:r>
      <w:r>
        <w:t xml:space="preserve"> </w:t>
      </w:r>
      <w:r>
        <w:t xml:space="preserve">Borderline — 6 columns × 6 rows is the widest table in the manuscript. This is an intentional design outcome (Phase 2A explicitly redesigned it to exactly 6 columns after merging the source draft’s Tables 4, 5, and part of 6), not an oversight, but it is worth flagging for final typesetting: some cells (e.g.,</w:t>
      </w:r>
      <w:r>
        <w:t xml:space="preserve"> </w:t>
      </w:r>
      <w:r>
        <w:t xml:space="preserve">“</w:t>
      </w:r>
      <w:r>
        <w:t xml:space="preserve">Correction-factor components separably justified, not fixed by assumption</w:t>
      </w:r>
      <w:r>
        <w:t xml:space="preserve">”</w:t>
      </w:r>
      <w:r>
        <w:t xml:space="preserve">) are long enough that column width may need adjustment or cell text may need further tightening at final formatting, depending on Water Research’s table-width constraints. This is a formatting risk to watch, not a content problem to fix this round.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Unverifiable comparatives?</w:t>
      </w:r>
      <w:r>
        <w:t xml:space="preserve"> </w:t>
      </w:r>
      <w:r>
        <w:t xml:space="preserve">Checked directly — no cell uses unqualified ranking language; every</w:t>
      </w:r>
      <w:r>
        <w:t xml:space="preserve"> </w:t>
      </w:r>
      <w:r>
        <w:t xml:space="preserve">“</w:t>
      </w:r>
      <w:r>
        <w:t xml:space="preserve">Principal failure mode</w:t>
      </w:r>
      <w:r>
        <w:t xml:space="preserve">”</w:t>
      </w:r>
      <w:r>
        <w:t xml:space="preserve"> </w:t>
      </w:r>
      <w:r>
        <w:t xml:space="preserve">cell states a conditional risk (</w:t>
      </w:r>
      <w:r>
        <w:t xml:space="preserve">“</w:t>
      </w:r>
      <w:r>
        <w:t xml:space="preserve">confident wrong estimate under X</w:t>
      </w:r>
      <w:r>
        <w:t xml:space="preserve">”</w:t>
      </w:r>
      <w:r>
        <w:t xml:space="preserve">), not a comparative claim between model families.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Should move to SI?</w:t>
      </w:r>
      <w:r>
        <w:t xml:space="preserve"> </w:t>
      </w:r>
      <w:r>
        <w:t xml:space="preserve">No — this is the manuscript’s single densest synthesis of the reconstruction-identifiability-validation argument and belongs in the main text; the full per-study evidence behind each row lives in SI §S7/§S8/§S8a.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 title labeled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proposed by this review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Was not labeled as of the start of this round;</w:t>
      </w:r>
      <w:r>
        <w:t xml:space="preserve"> </w:t>
      </w:r>
      <w:r>
        <w:rPr>
          <w:bCs/>
          <w:b/>
        </w:rPr>
        <w:t xml:space="preserve">fixed this round</w:t>
      </w:r>
      <w:r>
        <w:t xml:space="preserve"> </w:t>
      </w:r>
      <w:r>
        <w:t xml:space="preserve">— caption now reads</w:t>
      </w:r>
      <w:r>
        <w:t xml:space="preserve"> </w:t>
      </w:r>
      <w:r>
        <w:t xml:space="preserve">“</w:t>
      </w:r>
      <w:r>
        <w:t xml:space="preserve">…synthesized by this review.</w:t>
      </w:r>
      <w:r>
        <w:t xml:space="preserve">”</w:t>
      </w:r>
      <w:r>
        <w:t xml:space="preserve"> </w:t>
      </w:r>
      <w:r>
        <w:t xml:space="preserve">This table is a clear case for the label: columns like</w:t>
      </w:r>
      <w:r>
        <w:t xml:space="preserve"> </w:t>
      </w:r>
      <w:r>
        <w:t xml:space="preserve">“</w:t>
      </w:r>
      <w:r>
        <w:t xml:space="preserve">Principal identifiability requirement,</w:t>
      </w:r>
      <w:r>
        <w:t xml:space="preserve">”</w:t>
      </w:r>
      <w:r>
        <w:t xml:space="preserve"> </w:t>
      </w:r>
      <w:r>
        <w:t xml:space="preserve">“</w:t>
      </w:r>
      <w:r>
        <w:t xml:space="preserve">Minimum validation,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Principal failure mode</w:t>
      </w:r>
      <w:r>
        <w:t xml:space="preserve">”</w:t>
      </w:r>
      <w:r>
        <w:t xml:space="preserve"> </w:t>
      </w:r>
      <w:r>
        <w:t xml:space="preserve">represent this review’s own judgment applied across six model families, not a pre-existing published matrix being reproduced.</w:t>
      </w:r>
    </w:p>
    <w:bookmarkEnd w:id="21"/>
    <w:bookmarkStart w:id="22" w:name="Xe87861b59828f4e1b6963433db99188a73c23e5"/>
    <w:p>
      <w:pPr>
        <w:pStyle w:val="Heading2"/>
      </w:pPr>
      <w:r>
        <w:t xml:space="preserve">Table 1 and Table 4 — planned, not yet drafted</w:t>
      </w:r>
    </w:p>
    <w:p>
      <w:pPr>
        <w:pStyle w:val="FirstParagraph"/>
      </w:pPr>
      <w:r>
        <w:t xml:space="preserve">The Target Outline’s 4-table plan (</w:t>
      </w:r>
      <w:r>
        <w:rPr>
          <w:rStyle w:val="VerbatimChar"/>
        </w:rPr>
        <w:t xml:space="preserve">WBE_Review_Target_Outline.md</w:t>
      </w:r>
      <w:r>
        <w:t xml:space="preserve">,</w:t>
      </w:r>
      <w:r>
        <w:t xml:space="preserve"> </w:t>
      </w:r>
      <w:r>
        <w:t xml:space="preserve">“</w:t>
      </w:r>
      <w:r>
        <w:t xml:space="preserve">Figure and table inventory and disposition plan</w:t>
      </w:r>
      <w:r>
        <w:t xml:space="preserve">”</w:t>
      </w:r>
      <w:r>
        <w:t xml:space="preserve">) names two additional in-text tables that were never actually drafted during Phase 2A/2B and remain</w:t>
      </w:r>
      <w:r>
        <w:t xml:space="preserve"> </w:t>
      </w:r>
      <w:r>
        <w:rPr>
          <w:bCs/>
          <w:b/>
        </w:rPr>
        <w:t xml:space="preserve">planned only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1 (planned 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Process-distortion-observable-correction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would consolidate the amplitude/temporal/spatial distortion mechanisms from §1.1-§3 with which correction each admits. Not drafted. Adding it now would be new main-text content, which is outside this round’s scope (Phase 3C forbids expanding the main text or adding new content); flagged here so a future content-drafting round has an accurate status rather than assuming it already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Table 4 (planned title: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Minimum reporting and decision-readiness framework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would consolidate §6.3’s actionability conditions, §7.3’s readiness hierarchy, and the five scattered source-draft reporting-requirement checklists (already slated for SI §S10 in full) into one framework table. Not drafted, same reasoning as Table 1.</w:t>
      </w:r>
    </w:p>
    <w:p>
      <w:pPr>
        <w:pStyle w:val="FirstParagraph"/>
      </w:pPr>
      <w:r>
        <w:rPr>
          <w:bCs/>
          <w:b/>
        </w:rPr>
        <w:t xml:space="preserve">This is not a defect introduced this round</w:t>
      </w:r>
      <w:r>
        <w:t xml:space="preserve"> </w:t>
      </w:r>
      <w:r>
        <w:t xml:space="preserve">— both were always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drafted</w:t>
      </w:r>
      <w:r>
        <w:t xml:space="preserve">”</w:t>
      </w:r>
      <w:r>
        <w:t xml:space="preserve"> </w:t>
      </w:r>
      <w:r>
        <w:t xml:space="preserve">per the Target Outline’s own status language, and Phase 2A/2B’s word-budget accounting never assumed their word cost. This brief simply makes their current undrafted status explicit and auditable, rather than leaving it implicit in a planning document a reader might not cross-check against the actual manuscript.</w:t>
      </w:r>
    </w:p>
    <w:bookmarkEnd w:id="22"/>
    <w:bookmarkStart w:id="23" w:name="summary-of-changes-made-this-round"/>
    <w:p>
      <w:pPr>
        <w:pStyle w:val="Heading2"/>
      </w:pPr>
      <w:r>
        <w:t xml:space="preserve">Summary of changes made this round</w:t>
      </w:r>
    </w:p>
    <w:p>
      <w:pPr>
        <w:pStyle w:val="FirstParagraph"/>
      </w:pPr>
      <w:r>
        <w:t xml:space="preserve">Two caption edits applied to</w:t>
      </w:r>
      <w:r>
        <w:t xml:space="preserve"> </w:t>
      </w:r>
      <w:r>
        <w:rPr>
          <w:rStyle w:val="VerbatimChar"/>
        </w:rPr>
        <w:t xml:space="preserve">WBE_Review_WR_Condensed_Draft.md</w:t>
      </w:r>
      <w:r>
        <w:t xml:space="preserve"> </w:t>
      </w:r>
      <w:r>
        <w:t xml:space="preserve">(Table 2 and Table 3 captions, appending</w:t>
      </w:r>
      <w:r>
        <w:t xml:space="preserve"> </w:t>
      </w:r>
      <w:r>
        <w:t xml:space="preserve">“</w:t>
      </w:r>
      <w:r>
        <w:t xml:space="preserve">— synthesized by this review</w:t>
      </w:r>
      <w:r>
        <w:t xml:space="preserve">”</w:t>
      </w:r>
      <w:r>
        <w:t xml:space="preserve">). No table content, row, column, or cell value was changed. No new table was drafted. No unverifiable comparative language was found or needed removal — both existing tables were already correctly hedged.</w:t>
      </w:r>
    </w:p>
    <w:bookmarkEnd w:id="23"/>
    <w:bookmarkEnd w:id="24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2026-07-19T02:29:11Z</dcterms:created>
  <dcterms:modified xsi:type="dcterms:W3CDTF">2026-07-19T02:29:11Z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