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chapter-8-uncertainty-audit-2026-07-13"/>
    <w:p>
      <w:pPr>
        <w:pStyle w:val="Heading1"/>
      </w:pPr>
      <w:r>
        <w:t xml:space="preserve">Chapter 8 Uncertainty Audit — 2026-07-13</w:t>
      </w:r>
    </w:p>
    <w:p>
      <w:pPr>
        <w:pStyle w:val="FirstParagraph"/>
      </w:pPr>
      <w:r>
        <w:t xml:space="preserve">This note documents how Chapter 8 (</w:t>
      </w:r>
      <w:r>
        <w:t xml:space="preserve">“</w:t>
      </w:r>
      <w:r>
        <w:t xml:space="preserve">Uncertainty propagation in wastewater-based epidemiology: from source variability to decision uncertainty</w:t>
      </w:r>
      <w:r>
        <w:t xml:space="preserve">”</w:t>
      </w:r>
      <w:r>
        <w:t xml:space="preserve">) was sourced, per the evidentiary requirements specified for this chapter. It is a companion to, not a replacement for, the Citation Verification Table and the Pending Verification List’s new Chapter 8 section.</w:t>
      </w:r>
    </w:p>
    <w:p>
      <w:r>
        <w:pict>
          <v:rect style="width:0;height:1.5pt" o:hralign="center" o:hrstd="t" o:hr="t"/>
        </w:pict>
      </w:r>
    </w:p>
    <w:bookmarkStart w:id="20" w:name="Xc79005889c774f1a171f2deaee56f0a59de861d"/>
    <w:p>
      <w:pPr>
        <w:pStyle w:val="Heading2"/>
      </w:pPr>
      <w:r>
        <w:t xml:space="preserve">1. Chemical-WBE and pathogen-WBE uncertainty literature searched separately</w:t>
      </w:r>
    </w:p>
    <w:p>
      <w:pPr>
        <w:pStyle w:val="FirstParagraph"/>
      </w:pPr>
      <w:r>
        <w:t xml:space="preserve">Consistent with this review’s practice since Chapter 5 of not collapsing chemical and molecular/pathogen target classes into one evidence base, Chapter 8’s searches were run as two separate lines of inquiry: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Pathogen/molecular-target uncertainty:</w:t>
      </w:r>
      <w:r>
        <w:t xml:space="preserve"> </w:t>
      </w:r>
      <w:r>
        <w:t xml:space="preserve">searches centered on SARS-CoV-2 wastewater quantification uncertainty, censoring/nondetect handling, and Bayesian/hierarchical case-count reconstruction, returning [44] Dai et al. (2024), [47] Yang et al. (2024), and [48] Safford et al. (2022) as the primary WBE-specific uncertainty sources.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Chemical-target uncertainty:</w:t>
      </w:r>
      <w:r>
        <w:t xml:space="preserve"> </w:t>
      </w:r>
      <w:r>
        <w:t xml:space="preserve">searches centered on drug-consumption back-calculation uncertainty specifically, returning [46] Jones et al. (2014) as the chapter’s clearest formal example, plus the two named-but-unverified Monte Carlo studies on methamphetamine consumption and neuropsychiatric drug prevalence (§8.7) — flagged in the Pending Verification List as identified-but-unconfirmed, not cited as verified sources.</w:t>
      </w:r>
    </w:p>
    <w:p>
      <w:pPr>
        <w:pStyle w:val="FirstParagraph"/>
      </w:pPr>
      <w:r>
        <w:t xml:space="preserve">No single source was used to make claims spanning both target classes; where a general point applies to both (e.g., §8.6’s delta-method applicability conditions, §8.10’s correlation argument), it is presented as general uncertainty-propagation methodology rather than attributed to a target-class-specific study.</w:t>
      </w:r>
    </w:p>
    <w:bookmarkEnd w:id="20"/>
    <w:bookmarkStart w:id="21" w:name="primary-studies-prioritized-over-reviews"/>
    <w:p>
      <w:pPr>
        <w:pStyle w:val="Heading2"/>
      </w:pPr>
      <w:r>
        <w:t xml:space="preserve">2. Primary studies prioritized over reviews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§8.2 (source-end):</w:t>
      </w:r>
      <w:r>
        <w:t xml:space="preserve"> </w:t>
      </w:r>
      <w:r>
        <w:t xml:space="preserve">Jones et al. (2014) — a primary formal Bayesian modelling study, not a review.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§8.4 (sampling/analytical):</w:t>
      </w:r>
      <w:r>
        <w:t xml:space="preserve"> </w:t>
      </w:r>
      <w:r>
        <w:t xml:space="preserve">Pecson et al. (2021, carried over from Chapter 5) and Safford et al. (2022) are primary studies; Yang et al. (2024) is used as a systematic review specifically for its synthesis-level uncertainty-magnitude comparison, a purpose reviews are well suited to, and is labeled</w:t>
      </w:r>
      <w:r>
        <w:t xml:space="preserve"> </w:t>
      </w:r>
      <w:r>
        <w:t xml:space="preserve">“</w:t>
      </w:r>
      <w:r>
        <w:t xml:space="preserve">systematic review / secondary evidence</w:t>
      </w:r>
      <w:r>
        <w:t xml:space="preserve">”</w:t>
      </w:r>
      <w:r>
        <w:t xml:space="preserve"> </w:t>
      </w:r>
      <w:r>
        <w:t xml:space="preserve">in the verification table rather than treated as a primary finding.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§8.9 (Bayesian hierarchical propagation):</w:t>
      </w:r>
      <w:r>
        <w:t xml:space="preserve"> </w:t>
      </w:r>
      <w:r>
        <w:t xml:space="preserve">Dai et al. (2024, carried over from Chapter 7) — a primary WBE study, reused here specifically for its hierarchical/state-space structure rather than its predictive-accuracy claims (already flagged pending in the Chapter 7 section of the Pending Verification List).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§8.11 (censoring):</w:t>
      </w:r>
      <w:r>
        <w:t xml:space="preserve"> </w:t>
      </w:r>
      <w:r>
        <w:t xml:space="preserve">Safford et al. (2022) — a primary comparative study, the strongest single piece of WBE-specific evidence in this chapter because it reports a head-to-head method comparison on real data rather than a theoretical argument alone.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§8.12 (structural uncertainty):</w:t>
      </w:r>
      <w:r>
        <w:t xml:space="preserve"> </w:t>
      </w:r>
      <w:r>
        <w:t xml:space="preserve">Alhassan et al. (2025, carried over from Chapter 7) — used here specifically as an ensemble-comparison example, with the explicit caveat restated that it is a retrospective forecast comparison, not a full structural-uncertainty-quantification exercise.</w:t>
      </w:r>
    </w:p>
    <w:bookmarkEnd w:id="21"/>
    <w:bookmarkStart w:id="22" w:name="X4cdbf3743633e61054ff05653f8dfc419a65f1b"/>
    <w:p>
      <w:pPr>
        <w:pStyle w:val="Heading2"/>
      </w:pPr>
      <w:r>
        <w:t xml:space="preserve">3. Which studies considered parameter correlation — tracked explicitly, per instruction</w:t>
      </w:r>
    </w:p>
    <w:p>
      <w:pPr>
        <w:pStyle w:val="FirstParagraph"/>
      </w:pPr>
      <w:r>
        <w:t xml:space="preserve">This is the specific tracking §8.10 required, applied to every WBE study cited in Chapters 7–8: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Considered parameter correlation/covariance?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 for this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Jones et al. (2014) [46]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— models excretion-fraction uncertainty jointly with other pharmacokinetic parameters within one Bayesian framework, so within-source-stage correlation is represented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description recurred consistently across searches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 et al. (2024) [44]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hierarchical/random-effects structure explicitly represents site-level and population-level dependency by 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 description confirmed via dedicated search (§7.1.2, §8.9)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Safford et al. (2022) [48]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established in available search summaries — the comparison is framed around censoring-method choice, not cross-parameter covariance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Full-text not accessible; treat as unconfirmed rather than absent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Yang et al. (2024) [47]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the factorial design (concentration method × extraction kit × primer-probe set) decomposes variance by</w:t>
            </w:r>
            <w:r>
              <w:t xml:space="preserve"> </w:t>
            </w:r>
            <w:r>
              <w:rPr>
                <w:iCs/>
                <w:i/>
              </w:rPr>
              <w:t xml:space="preserve">step</w:t>
            </w:r>
            <w:r>
              <w:t xml:space="preserve">, which is a different exercise than testing whether steps’ errors are mutually correlated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in the factorial-design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Pecson et al. (2021) [24]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reports within- vs. across-protocol spread, not a correlation structure among specific named 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Carried over from Chapter 5 sourcing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Alhassan et al. (2025) [45]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ensemble members are compared, not decomposed into correlated input 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Carried over from Chapter 7 sourcing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Finding, stated directly in §8.10 and confirmed by this table:</w:t>
      </w:r>
      <w:r>
        <w:t xml:space="preserve"> </w:t>
      </w:r>
      <w:r>
        <w:t xml:space="preserve">the majority of this review’s own WBE evidence base does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formally address parameter correlation, which is the empirical basis for §8.10 being flagged as</w:t>
      </w:r>
      <w:r>
        <w:t xml:space="preserve"> </w:t>
      </w:r>
      <w:r>
        <w:t xml:space="preserve">“</w:t>
      </w:r>
      <w:r>
        <w:t xml:space="preserve">this chapter’s most consequential subsection</w:t>
      </w:r>
      <w:r>
        <w:t xml:space="preserve">”</w:t>
      </w:r>
      <w:r>
        <w:t xml:space="preserve"> </w:t>
      </w:r>
      <w:r>
        <w:t xml:space="preserve">— the gap is demonstrated by this review’s own sourcing, not merely asserted in the abstract.</w:t>
      </w:r>
    </w:p>
    <w:bookmarkEnd w:id="22"/>
    <w:bookmarkStart w:id="23" w:name="X3a11bbcda95103807cc663baa66d1d28c9a1920"/>
    <w:p>
      <w:pPr>
        <w:pStyle w:val="Heading2"/>
      </w:pPr>
      <w:r>
        <w:t xml:space="preserve">4. Which studies propagated structural uncertainty (vs. only parameter uncertainty)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Structural uncertainty explicitly addressed:</w:t>
      </w:r>
      <w:r>
        <w:t xml:space="preserve"> </w:t>
      </w:r>
      <w:r>
        <w:t xml:space="preserve">Alhassan et al. (2025) [45] — the only source in this review’s full evidence base (Chapters 7–8 combined) that compares multiple model structures directly (an 11-model ensemble), rather than propagating parameter uncertainty within one fixed structure.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Structural uncertainty not addressed (parameter uncertainty only, or point estimates only):</w:t>
      </w:r>
      <w:r>
        <w:t xml:space="preserve"> </w:t>
      </w:r>
      <w:r>
        <w:t xml:space="preserve">Jones et al. (2014), Dai et al. (2024), Safford et al. (2022), Yang et al. (2024), Pecson et al. (2021), and every back-calculation method-family study cited in §7.4’s Table 5.</w:t>
      </w:r>
    </w:p>
    <w:p>
      <w:pPr>
        <w:pStyle w:val="FirstParagraph"/>
      </w:pPr>
      <w:r>
        <w:t xml:space="preserve">This asymmetry is the direct evidentiary basis for the Chapter 8 Box</w:t>
      </w:r>
      <w:r>
        <w:t xml:space="preserve"> </w:t>
      </w:r>
      <w:r>
        <w:t xml:space="preserve">“</w:t>
      </w:r>
      <w:r>
        <w:t xml:space="preserve">Why Monte Carlo Simulation Does Not Solve Model Misspecification,</w:t>
      </w:r>
      <w:r>
        <w:t xml:space="preserve">”</w:t>
      </w:r>
      <w:r>
        <w:t xml:space="preserve"> </w:t>
      </w:r>
      <w:r>
        <w:t xml:space="preserve">which states that uncertainty propagation and structural-adequacy testing are performed by</w:t>
      </w:r>
      <w:r>
        <w:t xml:space="preserve"> </w:t>
      </w:r>
      <w:r>
        <w:t xml:space="preserve">“</w:t>
      </w:r>
      <w:r>
        <w:t xml:space="preserve">substantially different, and mostly non-overlapping, subsets of studies</w:t>
      </w:r>
      <w:r>
        <w:t xml:space="preserve">”</w:t>
      </w:r>
      <w:r>
        <w:t xml:space="preserve"> </w:t>
      </w:r>
      <w:r>
        <w:t xml:space="preserve">— a claim grounded in this specific count (1 of 6+ studies addressing structural uncertainty at all), not a general impression.</w:t>
      </w:r>
    </w:p>
    <w:bookmarkEnd w:id="23"/>
    <w:bookmarkStart w:id="24" w:name="X375acc278b104b106424a99779ac579081a30c1"/>
    <w:p>
      <w:pPr>
        <w:pStyle w:val="Heading2"/>
      </w:pPr>
      <w:r>
        <w:t xml:space="preserve">5. Which studies validated output intervals against coverage or external data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Safford et al. (2022) [48]</w:t>
      </w:r>
      <w:r>
        <w:t xml:space="preserve"> </w:t>
      </w:r>
      <w:r>
        <w:t xml:space="preserve">is the one source in this chapter’s evidence base that compares method output against an independent external series (clinical case trends) for the specific purpose of evaluating which censoring-treatment method performs better — the closest this review’s evidence base comes to §8.16’s coverage/posterior-predictive-check standard, though even this is a comparative-agreement check, not a formal coverage calculation (fraction of true values falling within a stated interval across repeated trials).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source cited in Chapter 8 reports a formal coverage statistic</w:t>
      </w:r>
      <w:r>
        <w:t xml:space="preserve"> </w:t>
      </w:r>
      <w:r>
        <w:t xml:space="preserve">(e.g.,</w:t>
      </w:r>
      <w:r>
        <w:t xml:space="preserve"> </w:t>
      </w:r>
      <w:r>
        <w:t xml:space="preserve">“</w:t>
      </w:r>
      <w:r>
        <w:t xml:space="preserve">the 95% interval contained the true/reference value in X% of instances</w:t>
      </w:r>
      <w:r>
        <w:t xml:space="preserve">”</w:t>
      </w:r>
      <w:r>
        <w:t xml:space="preserve">). This absence is stated as a documented finding in §8.16 (</w:t>
      </w:r>
      <w:r>
        <w:t xml:space="preserve">“</w:t>
      </w:r>
      <w:r>
        <w:t xml:space="preserve">diagnostics this review’s evidence base found rarely reported in applied WBE studies</w:t>
      </w:r>
      <w:r>
        <w:t xml:space="preserve">”</w:t>
      </w:r>
      <w:r>
        <w:t xml:space="preserve">) and is confirmed here as accurate to this chapter’s actual source list, not an unsupported generalization.</w:t>
      </w:r>
    </w:p>
    <w:p>
      <w:pPr>
        <w:numPr>
          <w:ilvl w:val="0"/>
          <w:numId w:val="1004"/>
        </w:numPr>
        <w:pStyle w:val="Compact"/>
      </w:pPr>
      <w:r>
        <w:t xml:space="preserve">Dai et al. (2024) is described in §8.9 as this review’s clearest example of the underlying Bayesian machinery that</w:t>
      </w:r>
      <w:r>
        <w:t xml:space="preserve"> </w:t>
      </w:r>
      <w:r>
        <w:rPr>
          <w:iCs/>
          <w:i/>
        </w:rPr>
        <w:t xml:space="preserve">could</w:t>
      </w:r>
      <w:r>
        <w:t xml:space="preserve"> </w:t>
      </w:r>
      <w:r>
        <w:t xml:space="preserve">support posterior predictive checking, but no search result confirmed that posterior predictive checks were actually reported in that specific study — this distinction (capability vs. demonstrated practice) is preserved in the main text and repeated here.</w:t>
      </w:r>
    </w:p>
    <w:bookmarkEnd w:id="24"/>
    <w:bookmarkStart w:id="25" w:name="X29d7eb76774f5890ce38e0c0efc12503cd5b508"/>
    <w:p>
      <w:pPr>
        <w:pStyle w:val="Heading2"/>
      </w:pPr>
      <w:r>
        <w:t xml:space="preserve">6. Positive and negative/null findings preserved, not cherry-picked</w:t>
      </w:r>
    </w:p>
    <w:p>
      <w:pPr>
        <w:numPr>
          <w:ilvl w:val="0"/>
          <w:numId w:val="1005"/>
        </w:numPr>
        <w:pStyle w:val="Compact"/>
      </w:pPr>
      <w:r>
        <w:t xml:space="preserve">Safford et al. (2022)’s finding is presented as comparative-performance evidence (EM-MCMC better than substitution), which is a positive finding for principled censoring methods — no null or negative counter-finding on this specific question was located in searches, and none is fabricated to force balance; the absence of a counter-example is stated as such in the Pending Verification List rather than concealed.</w:t>
      </w:r>
    </w:p>
    <w:p>
      <w:pPr>
        <w:numPr>
          <w:ilvl w:val="0"/>
          <w:numId w:val="1005"/>
        </w:numPr>
        <w:pStyle w:val="Compact"/>
      </w:pPr>
      <w:r>
        <w:t xml:space="preserve">The Monte Carlo critique in §8.7 is deliberately structured as a critique of common</w:t>
      </w:r>
      <w:r>
        <w:t xml:space="preserve"> </w:t>
      </w:r>
      <w:r>
        <w:rPr>
          <w:iCs/>
          <w:i/>
        </w:rPr>
        <w:t xml:space="preserve">practice</w:t>
      </w:r>
      <w:r>
        <w:t xml:space="preserve"> </w:t>
      </w:r>
      <w:r>
        <w:t xml:space="preserve">(arbitrary distributions, default independence, cross-population parameter pooling, interval-only reporting) rather than a claim that Monte Carlo methods themselves are invalid — this preserves the distinction between</w:t>
      </w:r>
      <w:r>
        <w:t xml:space="preserve"> </w:t>
      </w:r>
      <w:r>
        <w:t xml:space="preserve">“</w:t>
      </w:r>
      <w:r>
        <w:t xml:space="preserve">a method is unreliable</w:t>
      </w:r>
      <w:r>
        <w:t xml:space="preserve">”</w:t>
      </w:r>
      <w:r>
        <w:t xml:space="preserve"> </w:t>
      </w:r>
      <w:r>
        <w:t xml:space="preserve">(not this review’s claim) and</w:t>
      </w:r>
      <w:r>
        <w:t xml:space="preserve"> </w:t>
      </w:r>
      <w:r>
        <w:t xml:space="preserve">“</w:t>
      </w:r>
      <w:r>
        <w:t xml:space="preserve">a method is frequently misapplied in this literature</w:t>
      </w:r>
      <w:r>
        <w:t xml:space="preserve">”</w:t>
      </w:r>
      <w:r>
        <w:t xml:space="preserve"> </w:t>
      </w:r>
      <w:r>
        <w:t xml:space="preserve">(the claim actually made, and the one the evidence supports).</w:t>
      </w:r>
    </w:p>
    <w:p>
      <w:pPr>
        <w:numPr>
          <w:ilvl w:val="0"/>
          <w:numId w:val="1005"/>
        </w:numPr>
        <w:pStyle w:val="Compact"/>
      </w:pPr>
      <w:r>
        <w:t xml:space="preserve">§8.9’s Bayesian-hierarchical section states the narrow-posterior-≠-certainty critique as a general methodological caution applicable to any Bayesian analysis, Dai et al.’s included, rather than exempting the review’s own most-cited Bayesian source from the same scrutiny applied to the method in general.</w:t>
      </w:r>
    </w:p>
    <w:bookmarkEnd w:id="25"/>
    <w:bookmarkStart w:id="26" w:name="X22e15945336af9491744ad1cbd4ae85b17fc061"/>
    <w:p>
      <w:pPr>
        <w:pStyle w:val="Heading2"/>
      </w:pPr>
      <w:r>
        <w:t xml:space="preserve">7. Reference-count and evidence-base summary</w:t>
      </w:r>
    </w:p>
    <w:p>
      <w:pPr>
        <w:pStyle w:val="FirstParagraph"/>
      </w:pPr>
      <w:r>
        <w:t xml:space="preserve">Chapter 8 adds five references in total to a running total of 50 references across the full review: [46]–[48] at first drafting, plus [49]–[50] added in the 2026-07-13 consistency-check round to name the two chemical-WBE Monte Carlo studies §8.7 had previously referenced without citation. Of these five: three ([46], [48], [50]) are classified as primary WBE methodological/modelling studies, one ([47]) as systematic review/secondary evidence, and one ([49]) as a primary WBE methodological/modelling study with an incompletely-confirmed author list. Author-list confirmation status: [48] and [50] are confirmed to the same two-independent-search/PubMed-record standard used for this review’s best-supported sources; [46], [47], and [49] carry author lists that are either retained from an earlier retrieval not re-confirmed this round, or (for [49]) confirmed only for 6 of 7 authors — all three are flagged accordingly in the Citation Verification Table and Pending Verification List rather than presented with unwarranted confidence.</w:t>
      </w:r>
    </w:p>
    <w:p>
      <w:r>
        <w:pict>
          <v:rect style="width:0;height:1.5pt" o:hralign="center" o:hrstd="t" o:hr="t"/>
        </w:pict>
      </w:r>
    </w:p>
    <w:bookmarkEnd w:id="26"/>
    <w:bookmarkStart w:id="27" w:name="how-to-use-this-note"/>
    <w:p>
      <w:pPr>
        <w:pStyle w:val="Heading2"/>
      </w:pPr>
      <w:r>
        <w:t xml:space="preserve">How to use this note</w:t>
      </w:r>
    </w:p>
    <w:p>
      <w:pPr>
        <w:pStyle w:val="FirstParagraph"/>
      </w:pPr>
      <w:r>
        <w:t xml:space="preserve">Read this alongside §8.10 (correlated uncertainties), the Box on Monte Carlo and model misspecification, and §8.16 (validation) in the main text — those sections state the review’s substantive conclusions; this note documents the sourcing basis for those conclusions being an evidence-grounded finding about this review’s own literature sample, not a general claim about the entire WBE uncertainty-quantification literature, which was not exhaustively searched (see §2.1–§2.2 of the main document).</w:t>
      </w:r>
    </w:p>
    <w:bookmarkEnd w:id="27"/>
    <w:bookmarkEnd w:id="28"/>
    <w:sectPr>
      <w:pgSz w:h="15840" w:w="12240"/>
      <w:pgMar w:bottom="1008" w:left="864" w:right="864" w:top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2026-07-13T04:30:05Z</dcterms:created>
  <dcterms:modified xsi:type="dcterms:W3CDTF">2026-07-13T04:30:05Z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