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53B2F">
      <w:pPr>
        <w:spacing w:before="0" w:after="20" w:line="240" w:lineRule="auto"/>
        <w:jc w:val="center"/>
        <w:rPr>
          <w:rFonts w:hint="eastAsia" w:ascii="Times New Roman" w:hAnsi="Times New Roman" w:eastAsia="微软雅黑" w:cs="Times New Roman"/>
          <w:lang w:eastAsia="zh-CN"/>
        </w:rPr>
      </w:pPr>
      <w:r>
        <w:rPr>
          <w:rFonts w:hint="eastAsia" w:ascii="Times New Roman" w:hAnsi="Times New Roman" w:cs="Times New Roman"/>
          <w:b/>
          <w:color w:val="1F4E79"/>
          <w:sz w:val="36"/>
          <w:lang w:eastAsia="zh-CN"/>
        </w:rPr>
        <w:t>王长峰</w:t>
      </w:r>
    </w:p>
    <w:p w14:paraId="0F1B8987">
      <w:pPr>
        <w:spacing w:before="0" w:after="80"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505050"/>
          <w:sz w:val="21"/>
        </w:rPr>
        <w:t>人形机器人强化学习运控算法工程师</w:t>
      </w:r>
    </w:p>
    <w:p w14:paraId="2383AFDD">
      <w:pPr>
        <w:spacing w:before="0" w:after="80" w:line="240" w:lineRule="auto"/>
        <w:jc w:val="center"/>
        <w:rPr>
          <w:rFonts w:hint="eastAsia" w:ascii="Times New Roman" w:hAnsi="Times New Roman" w:eastAsia="微软雅黑" w:cs="Times New Roman"/>
          <w:sz w:val="20"/>
          <w:szCs w:val="24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505050"/>
          <w:sz w:val="18"/>
          <w:szCs w:val="24"/>
        </w:rPr>
        <w:t>手机：</w:t>
      </w:r>
      <w:r>
        <w:rPr>
          <w:rFonts w:hint="eastAsia" w:ascii="Times New Roman" w:hAnsi="Times New Roman" w:cs="Times New Roman"/>
          <w:color w:val="505050"/>
          <w:sz w:val="18"/>
          <w:szCs w:val="24"/>
          <w:lang w:val="en-US" w:eastAsia="zh-CN"/>
        </w:rPr>
        <w:t>18339169869</w:t>
      </w:r>
      <w:r>
        <w:rPr>
          <w:rFonts w:hint="default" w:ascii="Times New Roman" w:hAnsi="Times New Roman" w:eastAsia="微软雅黑" w:cs="Times New Roman"/>
          <w:color w:val="505050"/>
          <w:sz w:val="18"/>
          <w:szCs w:val="24"/>
        </w:rPr>
        <w:t xml:space="preserve">  |  邮箱：</w:t>
      </w:r>
      <w:r>
        <w:rPr>
          <w:rFonts w:hint="eastAsia" w:ascii="Times New Roman" w:hAnsi="Times New Roman" w:cs="Times New Roman"/>
          <w:color w:val="505050"/>
          <w:sz w:val="18"/>
          <w:szCs w:val="24"/>
          <w:lang w:val="en-US" w:eastAsia="zh-CN"/>
        </w:rPr>
        <w:t>962862517@qq.com</w:t>
      </w:r>
      <w:r>
        <w:rPr>
          <w:rFonts w:hint="default" w:ascii="Times New Roman" w:hAnsi="Times New Roman" w:eastAsia="微软雅黑" w:cs="Times New Roman"/>
          <w:color w:val="505050"/>
          <w:sz w:val="18"/>
          <w:szCs w:val="24"/>
        </w:rPr>
        <w:t xml:space="preserve">  |  求职方向：人形机器人强化学习</w:t>
      </w:r>
      <w:r>
        <w:rPr>
          <w:rFonts w:hint="eastAsia" w:ascii="Times New Roman" w:hAnsi="Times New Roman" w:cs="Times New Roman"/>
          <w:color w:val="505050"/>
          <w:sz w:val="18"/>
          <w:szCs w:val="24"/>
          <w:lang w:eastAsia="zh-CN"/>
        </w:rPr>
        <w:t>运控算法工程师</w:t>
      </w:r>
    </w:p>
    <w:p w14:paraId="03212184">
      <w:pPr>
        <w:pBdr>
          <w:bottom w:val="single" w:color="4F81BD" w:sz="8" w:space="1"/>
        </w:pBdr>
        <w:spacing w:before="140" w:after="6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22"/>
        </w:rPr>
        <w:t>教育经历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162E8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126D9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上海理工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电子信息-机器智能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4CFEF17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硕士  |  2023.09 – 2026.06</w:t>
            </w:r>
          </w:p>
        </w:tc>
      </w:tr>
      <w:tr w14:paraId="30A6E02F"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1D385E3">
            <w:pPr>
              <w:spacing w:before="40" w:after="20" w:line="240" w:lineRule="auto"/>
              <w:rPr>
                <w:rFonts w:hint="default" w:ascii="Times New Roman" w:hAnsi="Times New Roman" w:eastAsia="微软雅黑" w:cs="Times New Roman"/>
                <w:b/>
                <w:color w:val="00000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eastAsia="zh-CN"/>
              </w:rPr>
              <w:t>重庆邮电</w:t>
            </w: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大学</w:t>
            </w:r>
            <w:r>
              <w:rPr>
                <w:rFonts w:hint="eastAsia" w:ascii="Times New Roman" w:hAnsi="Times New Roman" w:cs="Times New Roman"/>
                <w:b/>
                <w:color w:val="000000"/>
                <w:sz w:val="20"/>
                <w:lang w:val="en-US" w:eastAsia="zh-CN"/>
              </w:rPr>
              <w:t xml:space="preserve">      生物信息学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2E207F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  <w:b/>
                <w:sz w:val="18"/>
              </w:rPr>
            </w:pPr>
            <w:r>
              <w:rPr>
                <w:rFonts w:hint="eastAsia" w:ascii="Times New Roman" w:hAnsi="Times New Roman" w:cs="Times New Roman"/>
                <w:b/>
                <w:sz w:val="18"/>
                <w:lang w:eastAsia="zh-CN"/>
              </w:rPr>
              <w:t>学</w:t>
            </w:r>
            <w:r>
              <w:rPr>
                <w:rFonts w:hint="default" w:ascii="Times New Roman" w:hAnsi="Times New Roman" w:cs="Times New Roman"/>
                <w:b/>
                <w:sz w:val="18"/>
              </w:rPr>
              <w:t>士  |  20</w:t>
            </w:r>
            <w:r>
              <w:rPr>
                <w:rFonts w:hint="eastAsia" w:ascii="Times New Roman" w:hAnsi="Times New Roman" w:cs="Times New Roman"/>
                <w:b/>
                <w:sz w:val="18"/>
                <w:lang w:val="en-US" w:eastAsia="zh-CN"/>
              </w:rPr>
              <w:t>19</w:t>
            </w:r>
            <w:r>
              <w:rPr>
                <w:rFonts w:hint="default" w:ascii="Times New Roman" w:hAnsi="Times New Roman" w:cs="Times New Roman"/>
                <w:b/>
                <w:sz w:val="18"/>
              </w:rPr>
              <w:t>.09 – 202</w:t>
            </w:r>
            <w:r>
              <w:rPr>
                <w:rFonts w:hint="eastAsia" w:ascii="Times New Roman" w:hAnsi="Times New Roman" w:cs="Times New Roman"/>
                <w:b/>
                <w:sz w:val="18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/>
                <w:sz w:val="18"/>
              </w:rPr>
              <w:t>.06</w:t>
            </w:r>
          </w:p>
        </w:tc>
      </w:tr>
    </w:tbl>
    <w:p w14:paraId="279E41D2">
      <w:pPr>
        <w:pBdr>
          <w:bottom w:val="single" w:color="4F81BD" w:sz="8" w:space="1"/>
        </w:pBdr>
        <w:spacing w:before="140" w:after="6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22"/>
        </w:rPr>
        <w:t>个人优势</w:t>
      </w:r>
    </w:p>
    <w:p w14:paraId="2E307614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具备人形机器人强化学习运动控制算法研发与实物部署经验，熟悉从动作重定向、仿真训练、Sim-to-Sim验证到真实机器人部署的完整技术链路。</w:t>
      </w:r>
    </w:p>
    <w:p w14:paraId="72AD7EC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参与 X02、行者2号、K2 等多款人形机器人平台项目，覆盖打拳动作模仿、长距离行走、小跑、拟人大步长行走、太极</w:t>
      </w:r>
      <w:r>
        <w:rPr>
          <w:rFonts w:hint="eastAsia" w:ascii="Times New Roman" w:hAnsi="Times New Roman" w:cs="Times New Roman"/>
          <w:sz w:val="18"/>
          <w:lang w:eastAsia="zh-CN"/>
        </w:rPr>
        <w:t>舞蹈</w:t>
      </w:r>
      <w:r>
        <w:rPr>
          <w:rFonts w:hint="default" w:ascii="Times New Roman" w:hAnsi="Times New Roman" w:eastAsia="微软雅黑" w:cs="Times New Roman"/>
          <w:sz w:val="18"/>
        </w:rPr>
        <w:t>动作、无视野上楼梯和全身遥操作等任务。</w:t>
      </w:r>
    </w:p>
    <w:p w14:paraId="6B311912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K2 项目中实现 0.8 m/s 拟人步态稳定行走，大步长步态达到约 1.5 个脚掌长度，出厂包压测连续稳定运行 8 小时无异常，相关功能已交付客户。</w:t>
      </w:r>
    </w:p>
    <w:p w14:paraId="0BC2C241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熟悉 AMP、DeepMimic、H2O、ExBody、HumanPlus、ASAP、BeyondMimic、HOST、HOMIE、GMR、TWIST 等前沿算法框架，具备算法复现、工程部署和真实机器人问题定位能力。</w:t>
      </w:r>
    </w:p>
    <w:p w14:paraId="222BD7EC">
      <w:pPr>
        <w:pBdr>
          <w:bottom w:val="single" w:color="4F81BD" w:sz="8" w:space="1"/>
        </w:pBdr>
        <w:spacing w:before="140" w:after="6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22"/>
        </w:rPr>
        <w:t>核心技能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220"/>
      </w:tblGrid>
      <w:tr w14:paraId="5D17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AF7"/>
            <w:vAlign w:val="center"/>
          </w:tcPr>
          <w:p w14:paraId="0D33F77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强化学习与模仿学习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345457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PPO、AMP、DeepMimic、知识蒸馏、动作模仿、全身动作跟踪、奖励函数设计、Domain Randomization</w:t>
            </w:r>
          </w:p>
        </w:tc>
      </w:tr>
      <w:tr w14:paraId="1EC72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AF7"/>
            <w:vAlign w:val="center"/>
          </w:tcPr>
          <w:p w14:paraId="5FB24D0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人形机器人运动控制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CFDA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拟人大步长</w:t>
            </w:r>
            <w:r>
              <w:rPr>
                <w:rFonts w:hint="eastAsia" w:ascii="Times New Roman" w:hAnsi="Times New Roman" w:cs="Times New Roman"/>
                <w:sz w:val="17"/>
                <w:lang w:eastAsia="zh-CN"/>
              </w:rPr>
              <w:t>步态</w:t>
            </w:r>
            <w:r>
              <w:rPr>
                <w:rFonts w:hint="default" w:ascii="Times New Roman" w:hAnsi="Times New Roman" w:cs="Times New Roman"/>
                <w:sz w:val="17"/>
              </w:rPr>
              <w:t>、太极动作、长距离行走、小跑、无视野上楼梯、扭胯式行走、倒地爬起、全身遥操作</w:t>
            </w:r>
          </w:p>
        </w:tc>
      </w:tr>
      <w:tr w14:paraId="64352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AF7"/>
            <w:vAlign w:val="center"/>
          </w:tcPr>
          <w:p w14:paraId="449386F5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仿真与训练平台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DF431B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Isaac Gym、MuJoCo、humanoid-gym、legged-gym、rsl_rl、PyTorch</w:t>
            </w:r>
          </w:p>
        </w:tc>
      </w:tr>
      <w:tr w14:paraId="1E88AF08"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AF7"/>
            <w:vAlign w:val="center"/>
          </w:tcPr>
          <w:p w14:paraId="66AC4B40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实物部署与工程工具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45E28E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Python、C++、ROS、GRPC、EtherCAT、ONNX/OpenVINO、Jetson Orin NX、真实机器人调参</w:t>
            </w:r>
          </w:p>
        </w:tc>
      </w:tr>
      <w:tr w14:paraId="33AC5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AF7"/>
            <w:vAlign w:val="center"/>
          </w:tcPr>
          <w:p w14:paraId="09A7B4CD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重定向与前沿框架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53F232">
            <w:pPr>
              <w:spacing w:before="2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7"/>
              </w:rPr>
              <w:t>PHC、GMR、TWIST、ASAP、BeyondMimic、H2O、ExBody、HumanPlus、HOST、HOMIE</w:t>
            </w:r>
          </w:p>
        </w:tc>
      </w:tr>
    </w:tbl>
    <w:p w14:paraId="04AE4800">
      <w:pPr>
        <w:pBdr>
          <w:bottom w:val="single" w:color="4F81BD" w:sz="8" w:space="1"/>
        </w:pBdr>
        <w:spacing w:before="140" w:after="6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22"/>
        </w:rPr>
        <w:t>实习经历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518A7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FF253C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上海开普勒机器人有限公司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1C8B936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运控算法实习生  |  2025.06 – 至今</w:t>
            </w:r>
          </w:p>
        </w:tc>
      </w:tr>
    </w:tbl>
    <w:p w14:paraId="42CFCFE5">
      <w:pPr>
        <w:pStyle w:val="16"/>
        <w:bidi w:val="0"/>
        <w:rPr>
          <w:rFonts w:hint="default"/>
        </w:rPr>
      </w:pPr>
      <w:r>
        <w:rPr>
          <w:rFonts w:hint="default"/>
        </w:rPr>
        <w:t>负责 K2 人形机器人拟人步态与大步长步态的训练、仿真验证、实物部署和出厂包测试，完成从强化学习策略到真实机器人稳定运行的完整部署流程。</w:t>
      </w:r>
    </w:p>
    <w:p w14:paraId="368B79E9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构建并调整真实机器人部署中的观测输入、动作缩放、PD参数、关节限幅、动作滤波和安全保护逻辑，优化足端冲击、基座晃动、关节跟踪误差和步态自然性问题。</w:t>
      </w:r>
    </w:p>
    <w:p w14:paraId="4DF20E61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实现 K2 人形机器人 0.8 m/s 拟人步态稳定行走，大步长步态达到约 1.5 个脚掌长度，出厂包压测连续稳定运行 8 小时无异常，相关功能已完成客户交付。</w:t>
      </w:r>
    </w:p>
    <w:p w14:paraId="489F2CD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基于 ASAP / BeyondMimic 完成全身跟踪运动控制验证，实现太极动作；熟悉 GMR 重定向方法与 TWIST 全身遥操作框架并完成初步部署。</w:t>
      </w:r>
    </w:p>
    <w:p w14:paraId="384D34D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基于 humanoid-gym 改进并初步完成小跑、无视野上楼梯、扭胯式行走等运动能力。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4D352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96B98F1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中豫具身智能实验室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61329E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算法实习生  |  2025.02 – 2025.05</w:t>
            </w:r>
          </w:p>
        </w:tc>
      </w:tr>
    </w:tbl>
    <w:p w14:paraId="7C372D4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参与行者2号人形机器人长距离行走与小跑运动能力的策略训练配合、实物部署调试和比赛场景验证。</w:t>
      </w:r>
    </w:p>
    <w:p w14:paraId="18E8A48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负责实物部署阶段的控制参数调节，包括 PD 参数调整、关节角度补偿、动作幅值修正等，提升长时间运行稳定性。</w:t>
      </w:r>
    </w:p>
    <w:p w14:paraId="700C92F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针对真实机器人运行中的姿态晃动、关节跟踪偏差、落脚冲击和步态节律问题进行调试。</w:t>
      </w:r>
    </w:p>
    <w:p w14:paraId="36384BB3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项目成果应用于 2025 年北京亦庄全球首场人形机器人半程马拉松比赛，团队最终获得第三名。</w:t>
      </w:r>
    </w:p>
    <w:p w14:paraId="26286D6A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跟进并复现 HOST 倒地爬起算法框架与 HOMIE 任务型人形机器人算法框架。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8"/>
        <w:gridCol w:w="5298"/>
      </w:tblGrid>
      <w:tr w14:paraId="0F3D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1A6D802">
            <w:pPr>
              <w:spacing w:before="40" w:after="2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sz w:val="20"/>
              </w:rPr>
              <w:t>上海卓益得机器人有限公司</w:t>
            </w:r>
          </w:p>
        </w:tc>
        <w:tc>
          <w:tcPr>
            <w:tcW w:w="529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8253F5">
            <w:pPr>
              <w:spacing w:before="40" w:after="20" w:line="240" w:lineRule="auto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sz w:val="18"/>
              </w:rPr>
              <w:t>算法实习生  |  2023.10 – 2025.01</w:t>
            </w:r>
          </w:p>
        </w:tc>
      </w:tr>
    </w:tbl>
    <w:p w14:paraId="11DC7CB3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参与 X02 人形机器人全身动作模仿强化学习项目，完成动作重定向、仿真训练、Sim-to-Sim验证到真实机器人部署的完整流程。</w:t>
      </w:r>
    </w:p>
    <w:p w14:paraId="0C305A1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基于 PHC 方法完成人体动作到机器人结构的动作重定向，在 Isaac Gym 中实现全身动作模仿强化学习训练流程，并结合知识蒸馏优化策略部署效果。</w:t>
      </w:r>
    </w:p>
    <w:p w14:paraId="41E4E6A7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使用 MuJoCo 进行 Sim-to-Sim 验证，基于 GRPC 通信方式完成真实机器人部署链路打通。</w:t>
      </w:r>
    </w:p>
    <w:p w14:paraId="5C41B6DD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完成 X02 机器人打拳动作的仿真训练、Sim-to-Sim验证和真实机器人上机测试，积累高动态全身动作实物迁移中的问题分析与调试经验。</w:t>
      </w:r>
    </w:p>
    <w:p w14:paraId="133279E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复现并熟悉 AMP、H2O、ExBody、HumanPlus、DeepMimic 等前沿人形机器人运动控制算法框架。</w:t>
      </w:r>
    </w:p>
    <w:p w14:paraId="19E1E25C">
      <w:pPr>
        <w:pBdr>
          <w:bottom w:val="single" w:color="4F81BD" w:sz="8" w:space="1"/>
        </w:pBdr>
        <w:spacing w:before="140" w:after="6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22"/>
        </w:rPr>
        <w:t>项目经历</w:t>
      </w:r>
    </w:p>
    <w:p w14:paraId="1B7BD10F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19"/>
        </w:rPr>
        <w:t>K2人形机器人拟人大步长步态实物部署</w:t>
      </w:r>
      <w:r>
        <w:rPr>
          <w:rFonts w:hint="default" w:ascii="Times New Roman" w:hAnsi="Times New Roman" w:eastAsia="微软雅黑" w:cs="Times New Roman"/>
          <w:color w:val="5A5A5A"/>
          <w:sz w:val="17"/>
        </w:rPr>
        <w:t xml:space="preserve">  |  人形机器人 / 强化学习 / Sim-to-Real / 步态控制 / 实物交付</w:t>
      </w:r>
    </w:p>
    <w:p w14:paraId="6A190E9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负责策略训练、仿真验证、实物部署和现场调试，构建真实机器人观测输入、动作输出与安全保护流程。</w:t>
      </w:r>
    </w:p>
    <w:p w14:paraId="73D44780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针对实物中的动作幅值偏差、落脚冲击、基座晃动和关节跟踪误差，调整动作缩放、PD控制参数、关节限幅和策略输出滤波。</w:t>
      </w:r>
    </w:p>
    <w:p w14:paraId="108CB7FE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实现 0.8 m/s 拟人步态稳定行走，大步长达到约 1.5 个脚掌长度；出厂包压测 8 小时无异常，并完成交付验证。</w:t>
      </w:r>
    </w:p>
    <w:p w14:paraId="34894F40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19"/>
        </w:rPr>
        <w:t>基于ASAP/BeyondMimic的K2全身动作跟踪控制</w:t>
      </w:r>
      <w:r>
        <w:rPr>
          <w:rFonts w:hint="default" w:ascii="Times New Roman" w:hAnsi="Times New Roman" w:eastAsia="微软雅黑" w:cs="Times New Roman"/>
          <w:color w:val="5A5A5A"/>
          <w:sz w:val="17"/>
        </w:rPr>
        <w:t xml:space="preserve">  |  全身动作跟踪 / 模仿学习 / 动作重定向 / 太极动作</w:t>
      </w:r>
    </w:p>
    <w:p w14:paraId="2FF6809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复现并验证 ASAP 与 BeyondMimic 框架，完成参考动作到机器人关节空间的映射与重定向。</w:t>
      </w:r>
    </w:p>
    <w:p w14:paraId="21BE8B6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设计和调整关节角度跟踪、关键点位置跟踪、基座姿态稳定等奖励项，解决全身动作中的重心偏移和动作不连续问题。</w:t>
      </w:r>
    </w:p>
    <w:p w14:paraId="78462DB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完成 K2 机器人太极动作跟踪验证，为后续遥操作与多技能运动控制积累基础。</w:t>
      </w:r>
    </w:p>
    <w:p w14:paraId="57595E27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19"/>
        </w:rPr>
        <w:t>行者2号机器人长距离行走与小跑实物部署</w:t>
      </w:r>
      <w:r>
        <w:rPr>
          <w:rFonts w:hint="default" w:ascii="Times New Roman" w:hAnsi="Times New Roman" w:eastAsia="微软雅黑" w:cs="Times New Roman"/>
          <w:color w:val="5A5A5A"/>
          <w:sz w:val="17"/>
        </w:rPr>
        <w:t xml:space="preserve">  |  长距离行走 / 小跑 / PD调参 / 关节角度补偿 / 马拉松比赛</w:t>
      </w:r>
    </w:p>
    <w:p w14:paraId="2695FF5B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配合完成策略训练与实物部署，参与仿真训练效果评估、策略筛选和比赛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sz w:val="18"/>
        </w:rPr>
        <w:t>前稳定性验证。</w:t>
      </w:r>
    </w:p>
    <w:p w14:paraId="60D0CFEC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重点负责 PD 参数调节、关节角度补偿和动作幅值修正，提升实物长时间运行稳定性。</w:t>
      </w:r>
    </w:p>
    <w:p w14:paraId="673A1936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支撑团队在 2025 年北京亦庄全球首场人形机器人半程马拉松比赛中获得第三名。</w:t>
      </w:r>
    </w:p>
    <w:p w14:paraId="5714FFE7">
      <w:pPr>
        <w:spacing w:before="60" w:after="2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F4E79"/>
          <w:sz w:val="19"/>
        </w:rPr>
        <w:t>X02机器人全身动作模仿强化学习项目</w:t>
      </w:r>
      <w:r>
        <w:rPr>
          <w:rFonts w:hint="default" w:ascii="Times New Roman" w:hAnsi="Times New Roman" w:eastAsia="微软雅黑" w:cs="Times New Roman"/>
          <w:color w:val="5A5A5A"/>
          <w:sz w:val="17"/>
        </w:rPr>
        <w:t xml:space="preserve">  |  PHC / Isaac Gym / MuJoCo / 知识蒸馏 / GRPC / 打拳动作</w:t>
      </w:r>
    </w:p>
    <w:p w14:paraId="52BDBB65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基于 PHC 完成动作重定向，在 Isaac Gym 中搭建全身动作模仿训练流程，并使用 MuJoCo 进行 Sim-to-Sim 验证。</w:t>
      </w:r>
    </w:p>
    <w:p w14:paraId="1F555453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基于 GRPC 通信完成真实机器人部署链路打通，对打拳动作进行真实上机验证。</w:t>
      </w:r>
    </w:p>
    <w:p w14:paraId="68A857E8">
      <w:pPr>
        <w:pStyle w:val="16"/>
        <w:spacing w:before="0" w:after="3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sz w:val="18"/>
        </w:rPr>
        <w:t>分析仿真与真实机器人在动作幅值、身体稳定性和关节跟踪方面的差异，积累全身动作模仿策略实物迁移经验。</w:t>
      </w:r>
    </w:p>
    <w:p w14:paraId="0699D45B">
      <w:pPr>
        <w:spacing w:before="10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color w:val="787878"/>
          <w:sz w:val="16"/>
        </w:rPr>
        <w:t>注：联系方式、学校、专业、项目链接等信息可根据实际情况补充。</w:t>
      </w:r>
    </w:p>
    <w:sectPr>
      <w:pgSz w:w="12240" w:h="15840"/>
      <w:pgMar w:top="680" w:right="822" w:bottom="680" w:left="82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Droid Sans Fallback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roid Sans Fallbac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FEC6B"/>
    <w:rsid w:val="7D7F3014"/>
    <w:rsid w:val="7FBE2DB5"/>
    <w:rsid w:val="9CA6222E"/>
    <w:rsid w:val="F66BF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/>
      <w:sz w:val="18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。。。</cp:lastModifiedBy>
  <dcterms:modified xsi:type="dcterms:W3CDTF">2026-05-22T11:04:20Z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80D911ED0A189FF43DE40E6A90830647_42</vt:lpwstr>
  </property>
</Properties>
</file>