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A19" w:rsidRDefault="00321A19" w:rsidP="00321A19">
      <w:pPr>
        <w:pStyle w:val="OMBInfo"/>
      </w:pPr>
      <w:r>
        <w:t>OMB No. 0925-0001/0002 (Rev. 08/12 Approved Through 8/31/2015)</w:t>
      </w:r>
    </w:p>
    <w:p w:rsidR="00812185" w:rsidRDefault="00812185" w:rsidP="00D825A1">
      <w:pPr>
        <w:pStyle w:val="Title"/>
      </w:pPr>
      <w:r w:rsidRPr="00D825A1">
        <w:t>BIOGRAPHICAL</w:t>
      </w:r>
      <w:r>
        <w:t xml:space="preserve"> SKETCH</w:t>
      </w:r>
    </w:p>
    <w:p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rsidR="00812185" w:rsidRPr="00D51DC4" w:rsidRDefault="00812185" w:rsidP="00812185">
      <w:pPr>
        <w:pStyle w:val="FormFieldCaption1"/>
        <w:pBdr>
          <w:between w:val="single" w:sz="4" w:space="1" w:color="auto"/>
        </w:pBdr>
        <w:rPr>
          <w:sz w:val="32"/>
          <w:szCs w:val="20"/>
        </w:rPr>
      </w:pPr>
      <w:r w:rsidRPr="00D51DC4">
        <w:rPr>
          <w:sz w:val="22"/>
        </w:rPr>
        <w:t>NAME:</w:t>
      </w:r>
    </w:p>
    <w:p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p>
    <w:p w:rsidR="00812185" w:rsidRPr="00D51DC4" w:rsidRDefault="00812185" w:rsidP="00812185">
      <w:pPr>
        <w:pStyle w:val="FormFieldCaption1"/>
        <w:pBdr>
          <w:between w:val="single" w:sz="4" w:space="1" w:color="auto"/>
        </w:pBdr>
        <w:rPr>
          <w:sz w:val="32"/>
        </w:rPr>
      </w:pPr>
      <w:r w:rsidRPr="00D51DC4">
        <w:rPr>
          <w:sz w:val="22"/>
        </w:rPr>
        <w:t>POSITION TITLE:</w:t>
      </w:r>
    </w:p>
    <w:p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tblPr>
      <w:tblGrid>
        <w:gridCol w:w="5395"/>
        <w:gridCol w:w="1446"/>
        <w:gridCol w:w="1446"/>
        <w:gridCol w:w="2603"/>
      </w:tblGrid>
      <w:tr w:rsidR="00D825A1" w:rsidRPr="00D51DC4" w:rsidTr="003A769E">
        <w:trPr>
          <w:cantSplit/>
          <w:tblHeader/>
        </w:trPr>
        <w:tc>
          <w:tcPr>
            <w:tcW w:w="5371" w:type="dxa"/>
            <w:tcBorders>
              <w:top w:val="single" w:sz="4" w:space="0" w:color="auto"/>
              <w:bottom w:val="single" w:sz="4" w:space="0" w:color="auto"/>
            </w:tcBorders>
            <w:vAlign w:val="center"/>
          </w:tcPr>
          <w:p w:rsidR="00D825A1" w:rsidRPr="00D51DC4" w:rsidRDefault="00D825A1" w:rsidP="00E37E57">
            <w:pPr>
              <w:pStyle w:val="FormFieldCaption"/>
              <w:jc w:val="center"/>
              <w:rPr>
                <w:sz w:val="22"/>
              </w:rPr>
            </w:pPr>
            <w:r w:rsidRPr="00D51DC4">
              <w:rPr>
                <w:sz w:val="22"/>
              </w:rPr>
              <w:t>INSTITUTION AND LOCATION</w:t>
            </w:r>
          </w:p>
        </w:tc>
        <w:tc>
          <w:tcPr>
            <w:tcW w:w="1440" w:type="dxa"/>
            <w:tcBorders>
              <w:top w:val="single" w:sz="4" w:space="0" w:color="auto"/>
              <w:bottom w:val="single" w:sz="4" w:space="0" w:color="auto"/>
            </w:tcBorders>
            <w:vAlign w:val="center"/>
          </w:tcPr>
          <w:p w:rsidR="00D825A1" w:rsidRPr="00D51DC4" w:rsidRDefault="00D825A1" w:rsidP="00E37E57">
            <w:pPr>
              <w:pStyle w:val="FormFieldCaption"/>
              <w:jc w:val="center"/>
              <w:rPr>
                <w:sz w:val="22"/>
              </w:rPr>
            </w:pPr>
            <w:r w:rsidRPr="00D51DC4">
              <w:rPr>
                <w:sz w:val="22"/>
              </w:rPr>
              <w:t>DEGREE</w:t>
            </w:r>
          </w:p>
          <w:p w:rsidR="00D825A1" w:rsidRPr="00D51DC4" w:rsidRDefault="00D825A1" w:rsidP="00E37E57">
            <w:pPr>
              <w:pStyle w:val="FormFieldCaption"/>
              <w:jc w:val="center"/>
              <w:rPr>
                <w:rStyle w:val="Emphasis"/>
                <w:sz w:val="22"/>
              </w:rPr>
            </w:pPr>
            <w:r w:rsidRPr="00D51DC4">
              <w:rPr>
                <w:rStyle w:val="Emphasis"/>
                <w:sz w:val="22"/>
              </w:rPr>
              <w:t>(if applicable)</w:t>
            </w:r>
          </w:p>
          <w:p w:rsidR="00D825A1" w:rsidRPr="00D51DC4" w:rsidRDefault="00D825A1" w:rsidP="00E37E57">
            <w:pPr>
              <w:pStyle w:val="FormFieldCaption"/>
              <w:rPr>
                <w:sz w:val="22"/>
              </w:rPr>
            </w:pPr>
          </w:p>
        </w:tc>
        <w:tc>
          <w:tcPr>
            <w:tcW w:w="1440" w:type="dxa"/>
            <w:tcBorders>
              <w:top w:val="single" w:sz="4" w:space="0" w:color="auto"/>
              <w:bottom w:val="single" w:sz="4" w:space="0" w:color="auto"/>
            </w:tcBorders>
            <w:vAlign w:val="center"/>
          </w:tcPr>
          <w:p w:rsidR="00240E97" w:rsidRPr="00D51DC4" w:rsidRDefault="00240E97" w:rsidP="00E37E57">
            <w:pPr>
              <w:pStyle w:val="FormFieldCaption"/>
              <w:jc w:val="center"/>
              <w:rPr>
                <w:sz w:val="22"/>
              </w:rPr>
            </w:pPr>
            <w:r w:rsidRPr="00D51DC4">
              <w:rPr>
                <w:sz w:val="22"/>
              </w:rPr>
              <w:t>Completion Date</w:t>
            </w:r>
          </w:p>
          <w:p w:rsidR="00D825A1" w:rsidRPr="00D51DC4" w:rsidRDefault="00D825A1" w:rsidP="00E37E57">
            <w:pPr>
              <w:pStyle w:val="FormFieldCaption"/>
              <w:jc w:val="center"/>
              <w:rPr>
                <w:sz w:val="22"/>
              </w:rPr>
            </w:pPr>
            <w:r w:rsidRPr="00D51DC4">
              <w:rPr>
                <w:sz w:val="22"/>
              </w:rPr>
              <w:t>MM/YYYY</w:t>
            </w:r>
          </w:p>
          <w:p w:rsidR="00D825A1" w:rsidRPr="00D51DC4" w:rsidRDefault="00D825A1" w:rsidP="00E37E57">
            <w:pPr>
              <w:pStyle w:val="FormFieldCaption"/>
              <w:rPr>
                <w:sz w:val="22"/>
              </w:rPr>
            </w:pPr>
          </w:p>
        </w:tc>
        <w:tc>
          <w:tcPr>
            <w:tcW w:w="2592" w:type="dxa"/>
            <w:tcBorders>
              <w:top w:val="single" w:sz="4" w:space="0" w:color="auto"/>
              <w:bottom w:val="single" w:sz="4" w:space="0" w:color="auto"/>
            </w:tcBorders>
            <w:vAlign w:val="center"/>
          </w:tcPr>
          <w:p w:rsidR="00D825A1" w:rsidRPr="00D51DC4" w:rsidRDefault="00D825A1" w:rsidP="00E37E57">
            <w:pPr>
              <w:pStyle w:val="FormFieldCaption"/>
              <w:jc w:val="center"/>
              <w:rPr>
                <w:sz w:val="22"/>
              </w:rPr>
            </w:pPr>
            <w:r w:rsidRPr="00D51DC4">
              <w:rPr>
                <w:sz w:val="22"/>
              </w:rPr>
              <w:t>FIELD OF STUDY</w:t>
            </w:r>
          </w:p>
          <w:p w:rsidR="00D825A1" w:rsidRPr="00D51DC4" w:rsidRDefault="00D825A1" w:rsidP="00E37E57">
            <w:pPr>
              <w:pStyle w:val="FormFieldCaption"/>
              <w:rPr>
                <w:sz w:val="22"/>
              </w:rPr>
            </w:pPr>
          </w:p>
        </w:tc>
      </w:tr>
      <w:tr w:rsidR="00D825A1" w:rsidRPr="00D51DC4" w:rsidTr="003A769E">
        <w:trPr>
          <w:cantSplit/>
          <w:trHeight w:val="395"/>
        </w:trPr>
        <w:tc>
          <w:tcPr>
            <w:tcW w:w="5371" w:type="dxa"/>
            <w:tcBorders>
              <w:top w:val="single" w:sz="4" w:space="0" w:color="auto"/>
            </w:tcBorders>
          </w:tcPr>
          <w:p w:rsidR="00D825A1" w:rsidRPr="00D51DC4" w:rsidRDefault="00D825A1" w:rsidP="00E37E57">
            <w:pPr>
              <w:pStyle w:val="FormFieldCaption"/>
              <w:rPr>
                <w:sz w:val="32"/>
              </w:rPr>
            </w:pPr>
          </w:p>
        </w:tc>
        <w:tc>
          <w:tcPr>
            <w:tcW w:w="1440" w:type="dxa"/>
            <w:tcBorders>
              <w:top w:val="single" w:sz="4" w:space="0" w:color="auto"/>
            </w:tcBorders>
          </w:tcPr>
          <w:p w:rsidR="00D825A1" w:rsidRPr="00D51DC4" w:rsidRDefault="00D825A1" w:rsidP="00E37E57">
            <w:pPr>
              <w:pStyle w:val="FormFieldCaption"/>
              <w:rPr>
                <w:sz w:val="32"/>
              </w:rPr>
            </w:pPr>
          </w:p>
        </w:tc>
        <w:tc>
          <w:tcPr>
            <w:tcW w:w="1440" w:type="dxa"/>
            <w:tcBorders>
              <w:top w:val="single" w:sz="4" w:space="0" w:color="auto"/>
            </w:tcBorders>
          </w:tcPr>
          <w:p w:rsidR="00D825A1" w:rsidRPr="00D51DC4" w:rsidRDefault="00D825A1" w:rsidP="00E37E57">
            <w:pPr>
              <w:pStyle w:val="FormFieldCaption"/>
              <w:rPr>
                <w:sz w:val="32"/>
              </w:rPr>
            </w:pPr>
          </w:p>
        </w:tc>
        <w:tc>
          <w:tcPr>
            <w:tcW w:w="2592" w:type="dxa"/>
            <w:tcBorders>
              <w:top w:val="single" w:sz="4" w:space="0" w:color="auto"/>
            </w:tcBorders>
          </w:tcPr>
          <w:p w:rsidR="00D825A1" w:rsidRPr="00D51DC4" w:rsidRDefault="00D825A1" w:rsidP="00E37E57">
            <w:pPr>
              <w:pStyle w:val="FormFieldCaption"/>
              <w:rPr>
                <w:sz w:val="32"/>
              </w:rPr>
            </w:pPr>
          </w:p>
        </w:tc>
      </w:tr>
      <w:tr w:rsidR="00240E97" w:rsidRPr="00D51DC4" w:rsidTr="00C56C04">
        <w:trPr>
          <w:cantSplit/>
          <w:trHeight w:val="395"/>
        </w:trPr>
        <w:tc>
          <w:tcPr>
            <w:tcW w:w="5371" w:type="dxa"/>
          </w:tcPr>
          <w:p w:rsidR="00240E97" w:rsidRPr="00D51DC4" w:rsidRDefault="00240E97" w:rsidP="00E37E57">
            <w:pPr>
              <w:pStyle w:val="FormFieldCaption"/>
              <w:rPr>
                <w:sz w:val="32"/>
              </w:rPr>
            </w:pPr>
          </w:p>
        </w:tc>
        <w:tc>
          <w:tcPr>
            <w:tcW w:w="1440" w:type="dxa"/>
          </w:tcPr>
          <w:p w:rsidR="00240E97" w:rsidRPr="00D51DC4" w:rsidRDefault="00240E97" w:rsidP="00E37E57">
            <w:pPr>
              <w:pStyle w:val="FormFieldCaption"/>
              <w:rPr>
                <w:sz w:val="32"/>
              </w:rPr>
            </w:pPr>
          </w:p>
        </w:tc>
        <w:tc>
          <w:tcPr>
            <w:tcW w:w="1440" w:type="dxa"/>
          </w:tcPr>
          <w:p w:rsidR="00240E97" w:rsidRPr="00D51DC4" w:rsidRDefault="00240E97" w:rsidP="00E37E57">
            <w:pPr>
              <w:pStyle w:val="FormFieldCaption"/>
              <w:rPr>
                <w:sz w:val="32"/>
              </w:rPr>
            </w:pPr>
          </w:p>
        </w:tc>
        <w:tc>
          <w:tcPr>
            <w:tcW w:w="2592" w:type="dxa"/>
          </w:tcPr>
          <w:p w:rsidR="00240E97" w:rsidRPr="00D51DC4" w:rsidRDefault="00240E97" w:rsidP="00E37E57">
            <w:pPr>
              <w:pStyle w:val="FormFieldCaption"/>
              <w:rPr>
                <w:sz w:val="32"/>
              </w:rPr>
            </w:pPr>
          </w:p>
        </w:tc>
      </w:tr>
      <w:tr w:rsidR="00240E97" w:rsidRPr="00D51DC4" w:rsidTr="00C56C04">
        <w:trPr>
          <w:cantSplit/>
          <w:trHeight w:val="395"/>
        </w:trPr>
        <w:tc>
          <w:tcPr>
            <w:tcW w:w="5371" w:type="dxa"/>
          </w:tcPr>
          <w:p w:rsidR="00240E97" w:rsidRPr="00D51DC4" w:rsidRDefault="00240E97" w:rsidP="00E37E57">
            <w:pPr>
              <w:pStyle w:val="FormFieldCaption"/>
              <w:rPr>
                <w:sz w:val="32"/>
              </w:rPr>
            </w:pPr>
          </w:p>
        </w:tc>
        <w:tc>
          <w:tcPr>
            <w:tcW w:w="1440" w:type="dxa"/>
          </w:tcPr>
          <w:p w:rsidR="00240E97" w:rsidRPr="00D51DC4" w:rsidRDefault="00240E97" w:rsidP="00E37E57">
            <w:pPr>
              <w:pStyle w:val="FormFieldCaption"/>
              <w:rPr>
                <w:sz w:val="32"/>
              </w:rPr>
            </w:pPr>
          </w:p>
        </w:tc>
        <w:tc>
          <w:tcPr>
            <w:tcW w:w="1440" w:type="dxa"/>
          </w:tcPr>
          <w:p w:rsidR="00240E97" w:rsidRPr="00D51DC4" w:rsidRDefault="00240E97" w:rsidP="00E37E57">
            <w:pPr>
              <w:pStyle w:val="FormFieldCaption"/>
              <w:rPr>
                <w:sz w:val="32"/>
              </w:rPr>
            </w:pPr>
          </w:p>
        </w:tc>
        <w:tc>
          <w:tcPr>
            <w:tcW w:w="2592" w:type="dxa"/>
          </w:tcPr>
          <w:p w:rsidR="00240E97" w:rsidRPr="00D51DC4" w:rsidRDefault="00240E97" w:rsidP="00E37E57">
            <w:pPr>
              <w:pStyle w:val="FormFieldCaption"/>
              <w:rPr>
                <w:sz w:val="32"/>
              </w:rPr>
            </w:pPr>
          </w:p>
        </w:tc>
      </w:tr>
      <w:tr w:rsidR="00B42C60" w:rsidRPr="00D51DC4" w:rsidTr="00C56C04">
        <w:trPr>
          <w:cantSplit/>
          <w:trHeight w:val="395"/>
        </w:trPr>
        <w:tc>
          <w:tcPr>
            <w:tcW w:w="5371" w:type="dxa"/>
          </w:tcPr>
          <w:p w:rsidR="00B42C60" w:rsidRPr="00D51DC4" w:rsidRDefault="00B42C60" w:rsidP="00E37E57">
            <w:pPr>
              <w:pStyle w:val="FormFieldCaption"/>
              <w:rPr>
                <w:sz w:val="32"/>
              </w:rPr>
            </w:pPr>
          </w:p>
        </w:tc>
        <w:tc>
          <w:tcPr>
            <w:tcW w:w="1440" w:type="dxa"/>
          </w:tcPr>
          <w:p w:rsidR="00B42C60" w:rsidRPr="00D51DC4" w:rsidRDefault="00B42C60" w:rsidP="00E37E57">
            <w:pPr>
              <w:pStyle w:val="FormFieldCaption"/>
              <w:rPr>
                <w:sz w:val="32"/>
              </w:rPr>
            </w:pPr>
          </w:p>
        </w:tc>
        <w:tc>
          <w:tcPr>
            <w:tcW w:w="1440" w:type="dxa"/>
          </w:tcPr>
          <w:p w:rsidR="00B42C60" w:rsidRPr="00D51DC4" w:rsidRDefault="00B42C60" w:rsidP="00E37E57">
            <w:pPr>
              <w:pStyle w:val="FormFieldCaption"/>
              <w:rPr>
                <w:sz w:val="32"/>
              </w:rPr>
            </w:pPr>
          </w:p>
        </w:tc>
        <w:tc>
          <w:tcPr>
            <w:tcW w:w="2592" w:type="dxa"/>
          </w:tcPr>
          <w:p w:rsidR="00B42C60" w:rsidRPr="00D51DC4" w:rsidRDefault="00B42C60" w:rsidP="00E37E57">
            <w:pPr>
              <w:pStyle w:val="FormFieldCaption"/>
              <w:rPr>
                <w:rStyle w:val="CommentReference"/>
                <w:rFonts w:cs="Times New Roman"/>
                <w:sz w:val="32"/>
              </w:rPr>
            </w:pPr>
          </w:p>
        </w:tc>
      </w:tr>
      <w:tr w:rsidR="00B42C60" w:rsidRPr="00D51DC4" w:rsidTr="00C56C04">
        <w:trPr>
          <w:cantSplit/>
          <w:trHeight w:val="395"/>
        </w:trPr>
        <w:tc>
          <w:tcPr>
            <w:tcW w:w="5371" w:type="dxa"/>
          </w:tcPr>
          <w:p w:rsidR="00B42C60" w:rsidRPr="00D51DC4" w:rsidRDefault="00B42C60" w:rsidP="00E37E57">
            <w:pPr>
              <w:pStyle w:val="FormFieldCaption"/>
              <w:rPr>
                <w:sz w:val="32"/>
              </w:rPr>
            </w:pPr>
          </w:p>
        </w:tc>
        <w:tc>
          <w:tcPr>
            <w:tcW w:w="1440" w:type="dxa"/>
          </w:tcPr>
          <w:p w:rsidR="00B42C60" w:rsidRPr="00D51DC4" w:rsidRDefault="00B42C60" w:rsidP="00E37E57">
            <w:pPr>
              <w:pStyle w:val="FormFieldCaption"/>
              <w:rPr>
                <w:sz w:val="32"/>
              </w:rPr>
            </w:pPr>
          </w:p>
        </w:tc>
        <w:tc>
          <w:tcPr>
            <w:tcW w:w="1440" w:type="dxa"/>
          </w:tcPr>
          <w:p w:rsidR="00B42C60" w:rsidRPr="00D51DC4" w:rsidRDefault="00B42C60" w:rsidP="00E37E57">
            <w:pPr>
              <w:pStyle w:val="FormFieldCaption"/>
              <w:rPr>
                <w:sz w:val="32"/>
              </w:rPr>
            </w:pPr>
          </w:p>
        </w:tc>
        <w:tc>
          <w:tcPr>
            <w:tcW w:w="2592" w:type="dxa"/>
          </w:tcPr>
          <w:p w:rsidR="00B42C60" w:rsidRPr="00D51DC4" w:rsidRDefault="00B42C60" w:rsidP="00E37E57">
            <w:pPr>
              <w:pStyle w:val="FormFieldCaption"/>
              <w:rPr>
                <w:rStyle w:val="CommentReference"/>
                <w:rFonts w:cs="Times New Roman"/>
                <w:sz w:val="32"/>
              </w:rPr>
            </w:pPr>
          </w:p>
        </w:tc>
      </w:tr>
    </w:tbl>
    <w:p w:rsidR="009E52CA" w:rsidRDefault="009E52CA">
      <w:pPr>
        <w:pStyle w:val="DataField11pt-Single"/>
      </w:pPr>
    </w:p>
    <w:p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rsidR="00E67A05" w:rsidRPr="00D825A1" w:rsidRDefault="00E67A05" w:rsidP="00D825A1">
      <w:pPr>
        <w:pStyle w:val="Heading1"/>
      </w:pPr>
      <w:r w:rsidRPr="00D825A1">
        <w:t>A.</w:t>
      </w:r>
      <w:r w:rsidRPr="00D825A1">
        <w:tab/>
        <w:t>Personal Statement</w:t>
      </w:r>
    </w:p>
    <w:p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rsidR="00E67A05" w:rsidRPr="00D825A1" w:rsidRDefault="00E67A05" w:rsidP="00D825A1">
      <w:pPr>
        <w:pStyle w:val="Heading1"/>
      </w:pPr>
      <w:r w:rsidRPr="00D825A1">
        <w:t>B.</w:t>
      </w:r>
      <w:r w:rsidRPr="00D825A1">
        <w:tab/>
        <w:t>Positions and Honors</w:t>
      </w:r>
    </w:p>
    <w:p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rsidR="00E67A05" w:rsidRDefault="00E67A05" w:rsidP="00D825A1">
      <w:pPr>
        <w:pStyle w:val="Heading1"/>
      </w:pPr>
      <w:r>
        <w:t>C.</w:t>
      </w:r>
      <w:r>
        <w:tab/>
      </w:r>
      <w:r w:rsidR="00C00F42">
        <w:t>Contribution to Science</w:t>
      </w:r>
    </w:p>
    <w:p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 xml:space="preserve">databases; educational aids or curricula; instruments or equipment; models; protocols; and software or </w:t>
      </w:r>
      <w:proofErr w:type="spellStart"/>
      <w:r w:rsidRPr="00933C46">
        <w:t>netware</w:t>
      </w:r>
      <w:proofErr w:type="spellEnd"/>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 xml:space="preserve">Also provide a URL to a full list of your published work as found in a publicly available digital database such as </w:t>
      </w:r>
      <w:proofErr w:type="spellStart"/>
      <w:r>
        <w:t>SciENcv</w:t>
      </w:r>
      <w:proofErr w:type="spellEnd"/>
      <w:r>
        <w:t xml:space="preserve"> or My Bibliography, which are maintained by the US National Library of Medicine.</w:t>
      </w:r>
    </w:p>
    <w:p w:rsidR="00E67A05" w:rsidRDefault="00E67A05" w:rsidP="00D825A1">
      <w:pPr>
        <w:pStyle w:val="Heading1"/>
      </w:pPr>
      <w:r>
        <w:lastRenderedPageBreak/>
        <w:t>D.</w:t>
      </w:r>
      <w:r>
        <w:tab/>
        <w:t>Research Support</w:t>
      </w:r>
    </w:p>
    <w:p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rsidR="009E52CA" w:rsidRDefault="009E52CA" w:rsidP="009E52CA">
      <w:pPr>
        <w:pStyle w:val="OMBInfo"/>
      </w:pPr>
      <w:r>
        <w:lastRenderedPageBreak/>
        <w:t>OMB No. 0925-0001/0002 (Rev. 08/12 Approved Through 8/31/2015)</w:t>
      </w:r>
    </w:p>
    <w:p w:rsidR="00812185" w:rsidRDefault="00812185" w:rsidP="00D825A1">
      <w:pPr>
        <w:pStyle w:val="Title"/>
      </w:pPr>
      <w:r>
        <w:t>BIOGRAPHICAL SKETCH</w:t>
      </w:r>
    </w:p>
    <w:p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rsidR="003E1568" w:rsidRPr="00D51DC4" w:rsidRDefault="003E1568" w:rsidP="003E1568">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proofErr w:type="spellStart"/>
      <w:r w:rsidRPr="00D51DC4">
        <w:rPr>
          <w:rStyle w:val="DataField11pt-SingleChar"/>
          <w:szCs w:val="22"/>
        </w:rPr>
        <w:t>huntmc</w:t>
      </w:r>
      <w:proofErr w:type="spellEnd"/>
    </w:p>
    <w:p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tblPr>
      <w:tblGrid>
        <w:gridCol w:w="5395"/>
        <w:gridCol w:w="1446"/>
        <w:gridCol w:w="1446"/>
        <w:gridCol w:w="2603"/>
      </w:tblGrid>
      <w:tr w:rsidR="00D825A1" w:rsidRPr="00D51DC4" w:rsidTr="003A769E">
        <w:trPr>
          <w:cantSplit/>
          <w:tblHeader/>
        </w:trPr>
        <w:tc>
          <w:tcPr>
            <w:tcW w:w="5371" w:type="dxa"/>
            <w:tcBorders>
              <w:top w:val="single" w:sz="4" w:space="0" w:color="auto"/>
              <w:bottom w:val="single" w:sz="4" w:space="0" w:color="auto"/>
            </w:tcBorders>
            <w:vAlign w:val="center"/>
          </w:tcPr>
          <w:p w:rsidR="00D825A1" w:rsidRPr="00D51DC4" w:rsidRDefault="00D825A1" w:rsidP="00E37E57">
            <w:pPr>
              <w:pStyle w:val="FormFieldCaption"/>
              <w:jc w:val="center"/>
              <w:rPr>
                <w:sz w:val="22"/>
                <w:szCs w:val="22"/>
              </w:rPr>
            </w:pPr>
            <w:r w:rsidRPr="00D51DC4">
              <w:rPr>
                <w:sz w:val="22"/>
                <w:szCs w:val="22"/>
              </w:rPr>
              <w:t>INSTITUTION AND LOCATION</w:t>
            </w:r>
          </w:p>
        </w:tc>
        <w:tc>
          <w:tcPr>
            <w:tcW w:w="1440" w:type="dxa"/>
            <w:tcBorders>
              <w:top w:val="single" w:sz="4" w:space="0" w:color="auto"/>
              <w:bottom w:val="single" w:sz="4" w:space="0" w:color="auto"/>
            </w:tcBorders>
            <w:vAlign w:val="center"/>
          </w:tcPr>
          <w:p w:rsidR="00D825A1" w:rsidRPr="00D51DC4" w:rsidRDefault="00D825A1" w:rsidP="00E37E57">
            <w:pPr>
              <w:pStyle w:val="FormFieldCaption"/>
              <w:jc w:val="center"/>
              <w:rPr>
                <w:sz w:val="22"/>
                <w:szCs w:val="22"/>
              </w:rPr>
            </w:pPr>
            <w:r w:rsidRPr="00D51DC4">
              <w:rPr>
                <w:sz w:val="22"/>
                <w:szCs w:val="22"/>
              </w:rPr>
              <w:t>DEGREE</w:t>
            </w:r>
          </w:p>
          <w:p w:rsidR="00D825A1" w:rsidRPr="00D51DC4" w:rsidRDefault="00D825A1" w:rsidP="00E37E57">
            <w:pPr>
              <w:pStyle w:val="FormFieldCaption"/>
              <w:jc w:val="center"/>
              <w:rPr>
                <w:rStyle w:val="Emphasis"/>
                <w:sz w:val="22"/>
                <w:szCs w:val="22"/>
              </w:rPr>
            </w:pPr>
            <w:r w:rsidRPr="00D51DC4">
              <w:rPr>
                <w:rStyle w:val="Emphasis"/>
                <w:sz w:val="22"/>
                <w:szCs w:val="22"/>
              </w:rPr>
              <w:t>(if applicable)</w:t>
            </w:r>
          </w:p>
          <w:p w:rsidR="00D825A1" w:rsidRPr="00D51DC4" w:rsidRDefault="00D825A1" w:rsidP="00E37E57">
            <w:pPr>
              <w:pStyle w:val="FormFieldCaption"/>
              <w:rPr>
                <w:sz w:val="22"/>
                <w:szCs w:val="22"/>
              </w:rPr>
            </w:pPr>
          </w:p>
        </w:tc>
        <w:tc>
          <w:tcPr>
            <w:tcW w:w="1440" w:type="dxa"/>
            <w:tcBorders>
              <w:top w:val="single" w:sz="4" w:space="0" w:color="auto"/>
              <w:bottom w:val="single" w:sz="4" w:space="0" w:color="auto"/>
            </w:tcBorders>
            <w:vAlign w:val="center"/>
          </w:tcPr>
          <w:p w:rsidR="00240E97" w:rsidRPr="00D51DC4" w:rsidRDefault="00240E97" w:rsidP="00E37E57">
            <w:pPr>
              <w:pStyle w:val="FormFieldCaption"/>
              <w:jc w:val="center"/>
              <w:rPr>
                <w:sz w:val="22"/>
                <w:szCs w:val="22"/>
              </w:rPr>
            </w:pPr>
            <w:r w:rsidRPr="00D51DC4">
              <w:rPr>
                <w:sz w:val="22"/>
                <w:szCs w:val="22"/>
              </w:rPr>
              <w:t>Completion Date</w:t>
            </w:r>
          </w:p>
          <w:p w:rsidR="00D825A1" w:rsidRPr="00D51DC4" w:rsidRDefault="00D825A1" w:rsidP="00E37E57">
            <w:pPr>
              <w:pStyle w:val="FormFieldCaption"/>
              <w:jc w:val="center"/>
              <w:rPr>
                <w:sz w:val="22"/>
                <w:szCs w:val="22"/>
              </w:rPr>
            </w:pPr>
            <w:r w:rsidRPr="00D51DC4">
              <w:rPr>
                <w:sz w:val="22"/>
                <w:szCs w:val="22"/>
              </w:rPr>
              <w:t>MM/YYYY</w:t>
            </w:r>
          </w:p>
          <w:p w:rsidR="00D825A1" w:rsidRPr="00D51DC4" w:rsidRDefault="00D825A1" w:rsidP="00E37E57">
            <w:pPr>
              <w:pStyle w:val="FormFieldCaption"/>
              <w:rPr>
                <w:sz w:val="22"/>
                <w:szCs w:val="22"/>
              </w:rPr>
            </w:pPr>
          </w:p>
        </w:tc>
        <w:tc>
          <w:tcPr>
            <w:tcW w:w="2592" w:type="dxa"/>
            <w:tcBorders>
              <w:top w:val="single" w:sz="4" w:space="0" w:color="auto"/>
              <w:bottom w:val="single" w:sz="4" w:space="0" w:color="auto"/>
            </w:tcBorders>
            <w:vAlign w:val="center"/>
          </w:tcPr>
          <w:p w:rsidR="00D825A1" w:rsidRPr="00D51DC4" w:rsidRDefault="00D825A1" w:rsidP="00E37E57">
            <w:pPr>
              <w:pStyle w:val="FormFieldCaption"/>
              <w:jc w:val="center"/>
              <w:rPr>
                <w:sz w:val="22"/>
                <w:szCs w:val="22"/>
              </w:rPr>
            </w:pPr>
            <w:r w:rsidRPr="00D51DC4">
              <w:rPr>
                <w:sz w:val="22"/>
                <w:szCs w:val="22"/>
              </w:rPr>
              <w:t>FIELD OF STUDY</w:t>
            </w:r>
          </w:p>
          <w:p w:rsidR="00D825A1" w:rsidRPr="00D51DC4" w:rsidRDefault="00D825A1" w:rsidP="00E37E57">
            <w:pPr>
              <w:pStyle w:val="FormFieldCaption"/>
              <w:rPr>
                <w:sz w:val="22"/>
                <w:szCs w:val="22"/>
              </w:rPr>
            </w:pPr>
          </w:p>
        </w:tc>
      </w:tr>
      <w:tr w:rsidR="00D825A1" w:rsidRPr="00D51DC4" w:rsidTr="003A769E">
        <w:trPr>
          <w:cantSplit/>
          <w:trHeight w:val="368"/>
        </w:trPr>
        <w:tc>
          <w:tcPr>
            <w:tcW w:w="5371" w:type="dxa"/>
            <w:tcBorders>
              <w:top w:val="single" w:sz="4" w:space="0" w:color="auto"/>
            </w:tcBorders>
          </w:tcPr>
          <w:p w:rsidR="00D825A1" w:rsidRPr="00D51DC4" w:rsidRDefault="00D825A1" w:rsidP="00B42C60">
            <w:pPr>
              <w:pStyle w:val="DataField11pt-Single"/>
              <w:rPr>
                <w:szCs w:val="22"/>
              </w:rPr>
            </w:pPr>
            <w:r w:rsidRPr="00D51DC4">
              <w:rPr>
                <w:szCs w:val="22"/>
              </w:rPr>
              <w:t>University of California, Berkeley</w:t>
            </w:r>
          </w:p>
        </w:tc>
        <w:tc>
          <w:tcPr>
            <w:tcW w:w="1440" w:type="dxa"/>
            <w:tcBorders>
              <w:top w:val="single" w:sz="4" w:space="0" w:color="auto"/>
            </w:tcBorders>
          </w:tcPr>
          <w:p w:rsidR="00D825A1" w:rsidRPr="00D51DC4" w:rsidRDefault="00D825A1" w:rsidP="00B42C60">
            <w:pPr>
              <w:pStyle w:val="DataField11pt-Single"/>
              <w:rPr>
                <w:szCs w:val="22"/>
              </w:rPr>
            </w:pPr>
            <w:r w:rsidRPr="00D51DC4">
              <w:rPr>
                <w:szCs w:val="22"/>
              </w:rPr>
              <w:t>B.S.</w:t>
            </w:r>
          </w:p>
        </w:tc>
        <w:tc>
          <w:tcPr>
            <w:tcW w:w="1440" w:type="dxa"/>
            <w:tcBorders>
              <w:top w:val="single" w:sz="4" w:space="0" w:color="auto"/>
            </w:tcBorders>
          </w:tcPr>
          <w:p w:rsidR="00D825A1" w:rsidRPr="00D51DC4" w:rsidRDefault="00D825A1" w:rsidP="00B42C60">
            <w:pPr>
              <w:pStyle w:val="DataField11pt-Single"/>
              <w:rPr>
                <w:szCs w:val="22"/>
              </w:rPr>
            </w:pPr>
            <w:r w:rsidRPr="00D51DC4">
              <w:rPr>
                <w:szCs w:val="22"/>
              </w:rPr>
              <w:t>05/1990</w:t>
            </w:r>
          </w:p>
        </w:tc>
        <w:tc>
          <w:tcPr>
            <w:tcW w:w="2592" w:type="dxa"/>
            <w:tcBorders>
              <w:top w:val="single" w:sz="4" w:space="0" w:color="auto"/>
            </w:tcBorders>
          </w:tcPr>
          <w:p w:rsidR="00D825A1" w:rsidRPr="00D51DC4" w:rsidRDefault="00D825A1" w:rsidP="00B42C60">
            <w:pPr>
              <w:pStyle w:val="DataField11pt-Single"/>
              <w:rPr>
                <w:szCs w:val="22"/>
              </w:rPr>
            </w:pPr>
            <w:r w:rsidRPr="00D51DC4">
              <w:rPr>
                <w:szCs w:val="22"/>
              </w:rPr>
              <w:t>Psychology</w:t>
            </w:r>
          </w:p>
        </w:tc>
      </w:tr>
      <w:tr w:rsidR="00D825A1" w:rsidRPr="00D51DC4" w:rsidTr="00C56C04">
        <w:trPr>
          <w:cantSplit/>
          <w:trHeight w:val="422"/>
        </w:trPr>
        <w:tc>
          <w:tcPr>
            <w:tcW w:w="5371" w:type="dxa"/>
          </w:tcPr>
          <w:p w:rsidR="00D825A1" w:rsidRPr="00D51DC4" w:rsidRDefault="00B42C60" w:rsidP="00B42C60">
            <w:pPr>
              <w:pStyle w:val="DataField11pt-Single"/>
              <w:rPr>
                <w:szCs w:val="22"/>
              </w:rPr>
            </w:pPr>
            <w:r w:rsidRPr="00D51DC4">
              <w:rPr>
                <w:szCs w:val="22"/>
              </w:rPr>
              <w:t>University of Vermont</w:t>
            </w:r>
          </w:p>
        </w:tc>
        <w:tc>
          <w:tcPr>
            <w:tcW w:w="1440" w:type="dxa"/>
          </w:tcPr>
          <w:p w:rsidR="00D825A1" w:rsidRPr="00D51DC4" w:rsidRDefault="00B42C60" w:rsidP="003E1568">
            <w:pPr>
              <w:pStyle w:val="DataField11pt-Single"/>
              <w:rPr>
                <w:szCs w:val="22"/>
              </w:rPr>
            </w:pPr>
            <w:r w:rsidRPr="00D51DC4">
              <w:rPr>
                <w:szCs w:val="22"/>
              </w:rPr>
              <w:t>Ph.D.</w:t>
            </w:r>
          </w:p>
        </w:tc>
        <w:tc>
          <w:tcPr>
            <w:tcW w:w="1440" w:type="dxa"/>
          </w:tcPr>
          <w:p w:rsidR="00D825A1" w:rsidRPr="00D51DC4" w:rsidRDefault="00B42C60" w:rsidP="003E1568">
            <w:pPr>
              <w:pStyle w:val="DataField11pt-Single"/>
              <w:rPr>
                <w:szCs w:val="22"/>
              </w:rPr>
            </w:pPr>
            <w:r w:rsidRPr="00D51DC4">
              <w:rPr>
                <w:szCs w:val="22"/>
              </w:rPr>
              <w:t>05/1996</w:t>
            </w:r>
          </w:p>
        </w:tc>
        <w:tc>
          <w:tcPr>
            <w:tcW w:w="2592" w:type="dxa"/>
          </w:tcPr>
          <w:p w:rsidR="00D825A1" w:rsidRPr="00D51DC4" w:rsidRDefault="00B42C60" w:rsidP="003E1568">
            <w:pPr>
              <w:pStyle w:val="DataField11pt-Single"/>
              <w:rPr>
                <w:szCs w:val="22"/>
              </w:rPr>
            </w:pPr>
            <w:r w:rsidRPr="00D51DC4">
              <w:rPr>
                <w:szCs w:val="22"/>
              </w:rPr>
              <w:t>Experimental Psychology</w:t>
            </w:r>
          </w:p>
        </w:tc>
      </w:tr>
      <w:tr w:rsidR="00D825A1" w:rsidRPr="00D51DC4" w:rsidTr="00C56C04">
        <w:trPr>
          <w:cantSplit/>
          <w:trHeight w:val="278"/>
        </w:trPr>
        <w:tc>
          <w:tcPr>
            <w:tcW w:w="5371" w:type="dxa"/>
          </w:tcPr>
          <w:p w:rsidR="00D825A1" w:rsidRPr="00D51DC4" w:rsidRDefault="00B42C60" w:rsidP="003E1568">
            <w:pPr>
              <w:pStyle w:val="DataField11pt-Single"/>
              <w:rPr>
                <w:szCs w:val="22"/>
              </w:rPr>
            </w:pPr>
            <w:r w:rsidRPr="00D51DC4">
              <w:rPr>
                <w:szCs w:val="22"/>
              </w:rPr>
              <w:t>University of California, Berkeley</w:t>
            </w:r>
          </w:p>
        </w:tc>
        <w:tc>
          <w:tcPr>
            <w:tcW w:w="1440" w:type="dxa"/>
          </w:tcPr>
          <w:p w:rsidR="00D825A1" w:rsidRPr="00D51DC4" w:rsidRDefault="00B42C60" w:rsidP="003E1568">
            <w:pPr>
              <w:pStyle w:val="DataField11pt-Single"/>
              <w:rPr>
                <w:szCs w:val="22"/>
              </w:rPr>
            </w:pPr>
            <w:r w:rsidRPr="00D51DC4">
              <w:rPr>
                <w:szCs w:val="22"/>
              </w:rPr>
              <w:t>Postdoctoral</w:t>
            </w:r>
          </w:p>
        </w:tc>
        <w:tc>
          <w:tcPr>
            <w:tcW w:w="1440" w:type="dxa"/>
          </w:tcPr>
          <w:p w:rsidR="00D825A1" w:rsidRPr="00D51DC4" w:rsidRDefault="00B42C60" w:rsidP="003E1568">
            <w:pPr>
              <w:pStyle w:val="DataField11pt-Single"/>
              <w:rPr>
                <w:szCs w:val="22"/>
              </w:rPr>
            </w:pPr>
            <w:r w:rsidRPr="00D51DC4">
              <w:rPr>
                <w:szCs w:val="22"/>
              </w:rPr>
              <w:t>08/1998</w:t>
            </w:r>
          </w:p>
        </w:tc>
        <w:tc>
          <w:tcPr>
            <w:tcW w:w="2592" w:type="dxa"/>
          </w:tcPr>
          <w:p w:rsidR="00D825A1" w:rsidRPr="00D51DC4" w:rsidRDefault="00B42C60" w:rsidP="003E1568">
            <w:pPr>
              <w:pStyle w:val="DataField11pt-Single"/>
              <w:rPr>
                <w:szCs w:val="22"/>
              </w:rPr>
            </w:pPr>
            <w:r w:rsidRPr="00D51DC4">
              <w:rPr>
                <w:szCs w:val="22"/>
              </w:rPr>
              <w:t>Public Health and Epidemiology</w:t>
            </w:r>
          </w:p>
        </w:tc>
      </w:tr>
      <w:tr w:rsidR="00240E97" w:rsidRPr="00D51DC4" w:rsidTr="00C56C04">
        <w:trPr>
          <w:cantSplit/>
          <w:trHeight w:val="278"/>
        </w:trPr>
        <w:tc>
          <w:tcPr>
            <w:tcW w:w="5371" w:type="dxa"/>
          </w:tcPr>
          <w:p w:rsidR="00240E97" w:rsidRPr="00D51DC4" w:rsidRDefault="00240E97" w:rsidP="003E1568">
            <w:pPr>
              <w:pStyle w:val="DataField11pt-Single"/>
              <w:rPr>
                <w:szCs w:val="22"/>
              </w:rPr>
            </w:pPr>
          </w:p>
        </w:tc>
        <w:tc>
          <w:tcPr>
            <w:tcW w:w="1440" w:type="dxa"/>
          </w:tcPr>
          <w:p w:rsidR="00240E97" w:rsidRPr="00D51DC4" w:rsidRDefault="00240E97" w:rsidP="003E1568">
            <w:pPr>
              <w:pStyle w:val="DataField11pt-Single"/>
              <w:rPr>
                <w:szCs w:val="22"/>
              </w:rPr>
            </w:pPr>
          </w:p>
        </w:tc>
        <w:tc>
          <w:tcPr>
            <w:tcW w:w="1440" w:type="dxa"/>
          </w:tcPr>
          <w:p w:rsidR="00240E97" w:rsidRPr="00D51DC4" w:rsidRDefault="00240E97" w:rsidP="003E1568">
            <w:pPr>
              <w:pStyle w:val="DataField11pt-Single"/>
              <w:rPr>
                <w:szCs w:val="22"/>
              </w:rPr>
            </w:pPr>
          </w:p>
        </w:tc>
        <w:tc>
          <w:tcPr>
            <w:tcW w:w="2592" w:type="dxa"/>
          </w:tcPr>
          <w:p w:rsidR="00240E97" w:rsidRPr="00D51DC4" w:rsidRDefault="00240E97" w:rsidP="003E1568">
            <w:pPr>
              <w:pStyle w:val="DataField11pt-Single"/>
              <w:rPr>
                <w:szCs w:val="22"/>
              </w:rPr>
            </w:pPr>
          </w:p>
        </w:tc>
      </w:tr>
      <w:tr w:rsidR="00240E97" w:rsidRPr="00D51DC4" w:rsidTr="00C56C04">
        <w:trPr>
          <w:cantSplit/>
          <w:trHeight w:val="278"/>
        </w:trPr>
        <w:tc>
          <w:tcPr>
            <w:tcW w:w="5371" w:type="dxa"/>
          </w:tcPr>
          <w:p w:rsidR="00240E97" w:rsidRPr="00D51DC4" w:rsidRDefault="00240E97" w:rsidP="003E1568">
            <w:pPr>
              <w:pStyle w:val="DataField11pt-Single"/>
              <w:rPr>
                <w:szCs w:val="22"/>
              </w:rPr>
            </w:pPr>
          </w:p>
        </w:tc>
        <w:tc>
          <w:tcPr>
            <w:tcW w:w="1440" w:type="dxa"/>
          </w:tcPr>
          <w:p w:rsidR="00240E97" w:rsidRPr="00D51DC4" w:rsidRDefault="00240E97" w:rsidP="003E1568">
            <w:pPr>
              <w:pStyle w:val="DataField11pt-Single"/>
              <w:rPr>
                <w:szCs w:val="22"/>
              </w:rPr>
            </w:pPr>
          </w:p>
        </w:tc>
        <w:tc>
          <w:tcPr>
            <w:tcW w:w="1440" w:type="dxa"/>
          </w:tcPr>
          <w:p w:rsidR="00240E97" w:rsidRPr="00D51DC4" w:rsidRDefault="00240E97" w:rsidP="003E1568">
            <w:pPr>
              <w:pStyle w:val="DataField11pt-Single"/>
              <w:rPr>
                <w:szCs w:val="22"/>
              </w:rPr>
            </w:pPr>
          </w:p>
        </w:tc>
        <w:tc>
          <w:tcPr>
            <w:tcW w:w="2592" w:type="dxa"/>
          </w:tcPr>
          <w:p w:rsidR="00240E97" w:rsidRPr="00D51DC4" w:rsidRDefault="00240E97" w:rsidP="003E1568">
            <w:pPr>
              <w:pStyle w:val="DataField11pt-Single"/>
              <w:rPr>
                <w:szCs w:val="22"/>
              </w:rPr>
            </w:pPr>
          </w:p>
        </w:tc>
      </w:tr>
    </w:tbl>
    <w:p w:rsidR="00E67A05" w:rsidRDefault="00E67A05" w:rsidP="00B42C60">
      <w:pPr>
        <w:pStyle w:val="Heading1"/>
      </w:pPr>
      <w:r>
        <w:t>A</w:t>
      </w:r>
      <w:r w:rsidRPr="00B13DB3">
        <w:t>. P</w:t>
      </w:r>
      <w:r w:rsidR="0049068A">
        <w:t>ersonal Statement</w:t>
      </w:r>
    </w:p>
    <w:p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rsidR="00C00F42" w:rsidRDefault="00C00F42" w:rsidP="00C00F42"/>
    <w:p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xml:space="preserve">, R. (2008). Predicting the substance-abuse treatment needs of an aging population.  American Journal of Public Health, 45(2), 236-245. PMCID: PMC9162292 Hunt, M.C., </w:t>
      </w:r>
      <w:proofErr w:type="spellStart"/>
      <w:r>
        <w:t>Newlin</w:t>
      </w:r>
      <w:proofErr w:type="spellEnd"/>
      <w:r>
        <w:t xml:space="preserve">, D.B. &amp; </w:t>
      </w:r>
      <w:proofErr w:type="spellStart"/>
      <w:r>
        <w:t>Fishbein</w:t>
      </w:r>
      <w:proofErr w:type="spellEnd"/>
      <w:r>
        <w:t>, D. (2009). Brain imaging in methamphetamine abusers across the life-span. Gerontology, 46(3), 122-145.</w:t>
      </w:r>
    </w:p>
    <w:p w:rsidR="00E67A05" w:rsidRPr="00B13DB3" w:rsidRDefault="00E67A05" w:rsidP="00B42C60">
      <w:pPr>
        <w:pStyle w:val="Heading1"/>
      </w:pPr>
      <w:r>
        <w:t>B</w:t>
      </w:r>
      <w:r w:rsidR="0049068A">
        <w:t>. Positions and Honors</w:t>
      </w:r>
    </w:p>
    <w:p w:rsidR="00E67A05" w:rsidRPr="00B42C60" w:rsidRDefault="00E67A05" w:rsidP="00B42C60">
      <w:pPr>
        <w:pStyle w:val="Heading2"/>
      </w:pPr>
      <w:r w:rsidRPr="00B42C60">
        <w:t>Positions and Employment</w:t>
      </w:r>
    </w:p>
    <w:p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rsidR="00E67A05" w:rsidRDefault="00E67A05" w:rsidP="0049068A">
      <w:r>
        <w:t>2000-2002</w:t>
      </w:r>
      <w:r>
        <w:tab/>
      </w:r>
      <w:r>
        <w:tab/>
        <w:t xml:space="preserve">Lecturer, Department of Psychology, Middlebury College, Middlebury, VT </w:t>
      </w:r>
    </w:p>
    <w:p w:rsidR="00E67A05" w:rsidRDefault="00E67A05" w:rsidP="0049068A">
      <w:r>
        <w:lastRenderedPageBreak/>
        <w:t>2001-</w:t>
      </w:r>
      <w:r>
        <w:tab/>
      </w:r>
      <w:r>
        <w:tab/>
      </w:r>
      <w:r>
        <w:tab/>
        <w:t xml:space="preserve">Consultant, Coastal Psychological Services, San Francisco, CA  </w:t>
      </w:r>
    </w:p>
    <w:p w:rsidR="00E67A05" w:rsidRDefault="00E67A05" w:rsidP="0049068A">
      <w:r>
        <w:t>2002-2005</w:t>
      </w:r>
      <w:r>
        <w:tab/>
      </w:r>
      <w:r>
        <w:tab/>
        <w:t xml:space="preserve">Assistant Professor, Department of Psychology, Washington University, St. Louis, MO </w:t>
      </w:r>
    </w:p>
    <w:p w:rsidR="00E67A05" w:rsidRDefault="00E67A05" w:rsidP="0049068A">
      <w:r>
        <w:t>200</w:t>
      </w:r>
      <w:r w:rsidR="00FF1D5B">
        <w:t>7</w:t>
      </w:r>
      <w:r>
        <w:t xml:space="preserve">- </w:t>
      </w:r>
      <w:r>
        <w:tab/>
      </w:r>
      <w:r>
        <w:tab/>
      </w:r>
      <w:r>
        <w:tab/>
        <w:t>Associate Professor, Department of Psychology, Washington University, St. Louis, MO</w:t>
      </w:r>
    </w:p>
    <w:p w:rsidR="00E67A05" w:rsidRPr="00A83312" w:rsidRDefault="00E67A05" w:rsidP="00B42C60">
      <w:pPr>
        <w:pStyle w:val="Heading2"/>
      </w:pPr>
      <w:r w:rsidRPr="00A83312">
        <w:t>Other Experience and Professional Memberships</w:t>
      </w:r>
    </w:p>
    <w:p w:rsidR="00E67A05" w:rsidRDefault="00E67A05" w:rsidP="0049068A">
      <w:r>
        <w:t>1995-</w:t>
      </w:r>
      <w:r>
        <w:tab/>
      </w:r>
      <w:r>
        <w:tab/>
      </w:r>
      <w:r>
        <w:tab/>
        <w:t>Member, American Psychological Association</w:t>
      </w:r>
    </w:p>
    <w:p w:rsidR="00E67A05" w:rsidRDefault="00E67A05" w:rsidP="0049068A">
      <w:r>
        <w:t>1998-</w:t>
      </w:r>
      <w:r>
        <w:tab/>
      </w:r>
      <w:r>
        <w:tab/>
      </w:r>
      <w:r>
        <w:tab/>
        <w:t xml:space="preserve">Member, </w:t>
      </w:r>
      <w:proofErr w:type="spellStart"/>
      <w:r>
        <w:t>Gerontological</w:t>
      </w:r>
      <w:proofErr w:type="spellEnd"/>
      <w:r>
        <w:t xml:space="preserve"> Society of America</w:t>
      </w:r>
    </w:p>
    <w:p w:rsidR="00E67A05" w:rsidRDefault="00E67A05" w:rsidP="0049068A">
      <w:r>
        <w:t>1998-</w:t>
      </w:r>
      <w:r>
        <w:tab/>
      </w:r>
      <w:r>
        <w:tab/>
      </w:r>
      <w:r>
        <w:tab/>
        <w:t>Member, American Geriatrics Society</w:t>
      </w:r>
    </w:p>
    <w:p w:rsidR="00E67A05" w:rsidRDefault="00E67A05" w:rsidP="0049068A">
      <w:r>
        <w:t>2000-</w:t>
      </w:r>
      <w:r>
        <w:tab/>
      </w:r>
      <w:r>
        <w:tab/>
      </w:r>
      <w:r>
        <w:tab/>
        <w:t xml:space="preserve">Associate Editor, Psychology and Aging </w:t>
      </w:r>
    </w:p>
    <w:p w:rsidR="00E67A05" w:rsidRDefault="00E67A05" w:rsidP="0049068A">
      <w:r>
        <w:t>2003-</w:t>
      </w:r>
      <w:r>
        <w:tab/>
      </w:r>
      <w:r>
        <w:tab/>
      </w:r>
      <w:r>
        <w:tab/>
        <w:t xml:space="preserve">Board of Advisors, Senior Services of Eastern Missouri </w:t>
      </w:r>
    </w:p>
    <w:p w:rsidR="00E67A05" w:rsidRPr="00373D71" w:rsidRDefault="00E67A05" w:rsidP="0049068A">
      <w:r w:rsidRPr="00373D71">
        <w:t>2003</w:t>
      </w:r>
      <w:r>
        <w:t>-0</w:t>
      </w:r>
      <w:r w:rsidR="00FF1D5B">
        <w:t>5</w:t>
      </w:r>
      <w:r w:rsidRPr="00373D71">
        <w:tab/>
      </w:r>
      <w:r>
        <w:tab/>
      </w:r>
      <w:r w:rsidRPr="00373D71">
        <w:t>NIH Peer Review Committee: Psychobiology of Aging, ad hoc reviewer</w:t>
      </w:r>
    </w:p>
    <w:p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rsidR="00E67A05" w:rsidRPr="00A83312" w:rsidRDefault="00E67A05" w:rsidP="00B42C60">
      <w:pPr>
        <w:pStyle w:val="Heading2"/>
      </w:pPr>
      <w:r w:rsidRPr="00A83312">
        <w:t>Honors</w:t>
      </w:r>
    </w:p>
    <w:p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rsidR="00E67A05" w:rsidRDefault="00E67A05" w:rsidP="0049068A">
      <w:r>
        <w:t>200</w:t>
      </w:r>
      <w:r w:rsidR="00FF1D5B">
        <w:t>4</w:t>
      </w:r>
      <w:r>
        <w:tab/>
      </w:r>
      <w:r>
        <w:tab/>
      </w:r>
      <w:r>
        <w:tab/>
      </w:r>
      <w:r w:rsidRPr="00F7284D">
        <w:t>Excellence in Teaching, Washington University, St. Louis, MO</w:t>
      </w:r>
    </w:p>
    <w:p w:rsidR="00E67A05" w:rsidRDefault="00E67A05" w:rsidP="0049068A">
      <w:r>
        <w:t>200</w:t>
      </w:r>
      <w:r w:rsidR="009D7E97">
        <w:t>9</w:t>
      </w:r>
      <w:r>
        <w:tab/>
      </w:r>
      <w:r>
        <w:tab/>
      </w:r>
      <w:r>
        <w:tab/>
        <w:t>Award for Best in Interdisciplinary Ethnography, International Ethnographic Society</w:t>
      </w:r>
    </w:p>
    <w:p w:rsidR="00E67A05" w:rsidRDefault="00E67A05" w:rsidP="00B42C60">
      <w:pPr>
        <w:pStyle w:val="Heading1"/>
      </w:pPr>
      <w:r w:rsidRPr="00F7284D">
        <w:t>C</w:t>
      </w:r>
      <w:r w:rsidR="00A83312" w:rsidRPr="00F7284D">
        <w:t xml:space="preserve">. </w:t>
      </w:r>
      <w:r w:rsidR="00C00F42" w:rsidRPr="00B42C60">
        <w:t>Contribution to Science</w:t>
      </w:r>
    </w:p>
    <w:p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rsidR="00C00F42" w:rsidRDefault="00C00F42" w:rsidP="00C00F42">
      <w:pPr>
        <w:ind w:left="1080"/>
      </w:pPr>
    </w:p>
    <w:p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rsidR="00C00F42" w:rsidRDefault="00C00F42" w:rsidP="00C00F42">
      <w:pPr>
        <w:numPr>
          <w:ilvl w:val="1"/>
          <w:numId w:val="19"/>
        </w:numPr>
      </w:pPr>
      <w:proofErr w:type="spellStart"/>
      <w:r>
        <w:t>Merryle</w:t>
      </w:r>
      <w:proofErr w:type="spellEnd"/>
      <w:r>
        <w:t>, R. &amp; Hunt, M.C. (2007). Randomized clinical trial of cotinine in older nicotine addicts. Age and Ageing, 38(2), 9-23. PMCID: PMC9002364</w:t>
      </w:r>
    </w:p>
    <w:p w:rsidR="00C00F42" w:rsidRDefault="00C00F42" w:rsidP="00C00F42"/>
    <w:p w:rsidR="00C00F42" w:rsidRDefault="00C00F42" w:rsidP="00C00F42">
      <w:pPr>
        <w:numPr>
          <w:ilvl w:val="0"/>
          <w:numId w:val="19"/>
        </w:numPr>
      </w:pPr>
      <w:r>
        <w:t xml:space="preserve">Methadone maintenance has been used to treat narcotics addicts for many years but I led research that  has shown that over the long-term, those in methadone treatment view themselves negatively and they </w:t>
      </w:r>
      <w:r>
        <w:lastRenderedPageBreak/>
        <w:t>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w:t>
      </w:r>
      <w:bookmarkStart w:id="0" w:name="_GoBack"/>
      <w:bookmarkEnd w:id="0"/>
      <w:r>
        <w:t>her forms of therapy.  These studies also demonstrate the policy and commercial implications associated with these findings.</w:t>
      </w:r>
    </w:p>
    <w:p w:rsidR="00C00F42" w:rsidRDefault="00C00F42" w:rsidP="00C00F42">
      <w:r>
        <w:t xml:space="preserve">   </w:t>
      </w:r>
    </w:p>
    <w:p w:rsidR="00C00F42" w:rsidRDefault="00C00F42" w:rsidP="00C00F42">
      <w:pPr>
        <w:numPr>
          <w:ilvl w:val="0"/>
          <w:numId w:val="20"/>
        </w:numPr>
        <w:ind w:left="1080"/>
      </w:pPr>
      <w:r>
        <w:t>Hunt, M.C. &amp; Jensen, J.L. (2003). Morbidity among elderly substance abusers. Journal of the Geriatrics, 60(4), 45-61.</w:t>
      </w:r>
    </w:p>
    <w:p w:rsidR="00C00F42" w:rsidRDefault="00C00F42" w:rsidP="00C00F42">
      <w:pPr>
        <w:numPr>
          <w:ilvl w:val="0"/>
          <w:numId w:val="20"/>
        </w:numPr>
        <w:ind w:left="1080"/>
      </w:pPr>
      <w:r>
        <w:t xml:space="preserve">Hunt, M.C. &amp; Pour, B. (2004). Methadone treatment and personal assessment. Journal Drug Abuse, 45(5), 15-26. </w:t>
      </w:r>
    </w:p>
    <w:p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0" w:history="1">
        <w:r w:rsidRPr="00673BC5">
          <w:rPr>
            <w:rStyle w:val="Hyperlink"/>
          </w:rPr>
          <w:t>http://www.ncbi.nlm.nih.gov/sites/myncbi/collections/public/1PgT7IEFIAJBtGMRDdWFmjWAO/?sort=date&amp;direction=ascending</w:t>
        </w:r>
      </w:hyperlink>
    </w:p>
    <w:p w:rsidR="00E67A05" w:rsidRPr="00A060C0" w:rsidRDefault="00E67A05" w:rsidP="00B42C60">
      <w:pPr>
        <w:pStyle w:val="Heading1"/>
      </w:pPr>
      <w:r w:rsidRPr="00A060C0">
        <w:t>D. Research Support</w:t>
      </w:r>
    </w:p>
    <w:p w:rsidR="00E67A05" w:rsidRPr="00A060C0" w:rsidRDefault="00E67A05" w:rsidP="00B42C60">
      <w:pPr>
        <w:pStyle w:val="Heading2"/>
      </w:pPr>
      <w:r w:rsidRPr="00A060C0">
        <w:t>Ongoing Research Support</w:t>
      </w:r>
    </w:p>
    <w:p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rsidR="00E67A05" w:rsidRDefault="00E67A05" w:rsidP="00547AC9">
      <w:r>
        <w:t>Health trajectories and behavioral interventions among older substance abusers</w:t>
      </w:r>
    </w:p>
    <w:p w:rsidR="00E67A05" w:rsidRDefault="00E67A05" w:rsidP="00547AC9">
      <w:r>
        <w:t xml:space="preserve">The goal of this study is to compare the effects of two substance abuse interventions on health outcomes in an urban population of older opiate addicts.  </w:t>
      </w:r>
    </w:p>
    <w:p w:rsidR="00E67A05" w:rsidRDefault="00E67A05" w:rsidP="00547AC9">
      <w:r>
        <w:t>Role: PI</w:t>
      </w:r>
    </w:p>
    <w:p w:rsidR="00E67A05" w:rsidRDefault="00E67A05" w:rsidP="00547AC9"/>
    <w:p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rsidR="00E67A05" w:rsidRDefault="00E67A05" w:rsidP="00547AC9">
      <w:r>
        <w:t>Physical disability, depression and substance abuse in the elderly</w:t>
      </w:r>
    </w:p>
    <w:p w:rsidR="00E67A05" w:rsidRDefault="00E67A05" w:rsidP="00547AC9">
      <w:r>
        <w:t xml:space="preserve">The goal of this study is to identify disability and depression trajectories and demographic factors associated with substance abuse in an independently-living elderly population.  </w:t>
      </w:r>
    </w:p>
    <w:p w:rsidR="00E67A05" w:rsidRDefault="00E67A05" w:rsidP="00547AC9">
      <w:r>
        <w:t>Role: Co-Investigator</w:t>
      </w:r>
    </w:p>
    <w:p w:rsidR="00E67A05" w:rsidRDefault="00E67A05" w:rsidP="00547AC9"/>
    <w:p w:rsidR="00E67A05" w:rsidRDefault="00E67A05" w:rsidP="00547AC9">
      <w:r>
        <w:t>Faculty Resourc</w:t>
      </w:r>
      <w:r w:rsidR="00547AC9">
        <w:t>es Grant, Washington University</w:t>
      </w:r>
      <w:r w:rsidR="00547AC9">
        <w:tab/>
      </w:r>
      <w:r w:rsidR="00547AC9">
        <w:tab/>
      </w:r>
      <w:r w:rsidR="00547AC9">
        <w:tab/>
      </w:r>
      <w:r>
        <w:t>08/15/09-08/14/1</w:t>
      </w:r>
      <w:r w:rsidR="00C4739B">
        <w:t>5</w:t>
      </w:r>
    </w:p>
    <w:p w:rsidR="00E67A05" w:rsidRDefault="00E67A05" w:rsidP="00547AC9">
      <w:r>
        <w:t>Opiate Addiction Database</w:t>
      </w:r>
    </w:p>
    <w:p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rsidR="00C4739B" w:rsidRDefault="00C4739B" w:rsidP="00547AC9">
      <w:r>
        <w:t>Role: PI</w:t>
      </w:r>
    </w:p>
    <w:p w:rsidR="00E67A05" w:rsidRPr="00A060C0" w:rsidRDefault="00E67A05" w:rsidP="00B42C60">
      <w:pPr>
        <w:pStyle w:val="Heading2"/>
      </w:pPr>
      <w:r w:rsidRPr="00A060C0">
        <w:t>Completed Research Support</w:t>
      </w:r>
    </w:p>
    <w:p w:rsidR="00E67A05" w:rsidRDefault="00E67A05" w:rsidP="00547AC9"/>
    <w:p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rsidR="00E67A05" w:rsidRDefault="00E67A05" w:rsidP="00547AC9">
      <w:r>
        <w:t>Community-based intervention for alcohol abuse</w:t>
      </w:r>
    </w:p>
    <w:p w:rsidR="00E67A05" w:rsidRDefault="00E67A05" w:rsidP="00547AC9">
      <w:r>
        <w:t>The goal of this project was to assess a community-based strategy for reducing alcohol abuse among older individuals.</w:t>
      </w:r>
    </w:p>
    <w:p w:rsidR="00E67A05" w:rsidRDefault="00E67A05" w:rsidP="00547AC9">
      <w:r>
        <w:t xml:space="preserve">Role: </w:t>
      </w:r>
      <w:r w:rsidR="00A14EF5">
        <w:t>PI</w:t>
      </w:r>
    </w:p>
    <w:sectPr w:rsidR="00E67A05" w:rsidSect="00DF764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35C" w:rsidRDefault="0096535C">
      <w:r>
        <w:separator/>
      </w:r>
    </w:p>
  </w:endnote>
  <w:endnote w:type="continuationSeparator" w:id="0">
    <w:p w:rsidR="0096535C" w:rsidRDefault="009653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A1" w:rsidRDefault="00E127A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647" w:rsidRPr="00321A19" w:rsidRDefault="003C2647" w:rsidP="00321A1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A1" w:rsidRDefault="00E127A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35C" w:rsidRDefault="0096535C">
      <w:r>
        <w:separator/>
      </w:r>
    </w:p>
  </w:footnote>
  <w:footnote w:type="continuationSeparator" w:id="0">
    <w:p w:rsidR="0096535C" w:rsidRDefault="009653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A1" w:rsidRDefault="00E127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448762"/>
      <w:docPartObj>
        <w:docPartGallery w:val="Watermarks"/>
        <w:docPartUnique/>
      </w:docPartObj>
    </w:sdtPr>
    <w:sdtContent>
      <w:p w:rsidR="00E127A1" w:rsidRDefault="004A02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7A1" w:rsidRDefault="00E127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rsids>
    <w:rsidRoot w:val="003F6A45"/>
    <w:rsid w:val="00007231"/>
    <w:rsid w:val="00023A7A"/>
    <w:rsid w:val="000464BA"/>
    <w:rsid w:val="00067621"/>
    <w:rsid w:val="00122EB3"/>
    <w:rsid w:val="00132CA6"/>
    <w:rsid w:val="0014571A"/>
    <w:rsid w:val="00170D87"/>
    <w:rsid w:val="00177D49"/>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1568"/>
    <w:rsid w:val="003F6A45"/>
    <w:rsid w:val="00432346"/>
    <w:rsid w:val="00447F3A"/>
    <w:rsid w:val="004759D9"/>
    <w:rsid w:val="0049068A"/>
    <w:rsid w:val="004A02EB"/>
    <w:rsid w:val="004A3FC8"/>
    <w:rsid w:val="00503A1D"/>
    <w:rsid w:val="00503B57"/>
    <w:rsid w:val="005139D8"/>
    <w:rsid w:val="005145BB"/>
    <w:rsid w:val="00517BFD"/>
    <w:rsid w:val="0054471F"/>
    <w:rsid w:val="00547AC9"/>
    <w:rsid w:val="00580DD3"/>
    <w:rsid w:val="00592740"/>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B7AF3"/>
    <w:rsid w:val="008073EB"/>
    <w:rsid w:val="00812185"/>
    <w:rsid w:val="00817055"/>
    <w:rsid w:val="00843027"/>
    <w:rsid w:val="00874EBC"/>
    <w:rsid w:val="009054EA"/>
    <w:rsid w:val="009211D3"/>
    <w:rsid w:val="00934124"/>
    <w:rsid w:val="00952A27"/>
    <w:rsid w:val="0096535C"/>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5DDF"/>
    <w:rsid w:val="00E37E57"/>
    <w:rsid w:val="00E53B95"/>
    <w:rsid w:val="00E67A05"/>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4A02EB"/>
    <w:pPr>
      <w:numPr>
        <w:numId w:val="1"/>
      </w:numPr>
    </w:pPr>
    <w:rPr>
      <w:rFonts w:ascii="Times" w:hAnsi="Times" w:cs="Times"/>
    </w:rPr>
  </w:style>
  <w:style w:type="paragraph" w:styleId="ListBullet2">
    <w:name w:val="List Bullet 2"/>
    <w:basedOn w:val="Normal"/>
    <w:autoRedefine/>
    <w:rsid w:val="004A02EB"/>
    <w:pPr>
      <w:numPr>
        <w:numId w:val="2"/>
      </w:numPr>
    </w:pPr>
    <w:rPr>
      <w:rFonts w:ascii="Times" w:hAnsi="Times" w:cs="Times"/>
    </w:rPr>
  </w:style>
  <w:style w:type="paragraph" w:styleId="ListBullet3">
    <w:name w:val="List Bullet 3"/>
    <w:basedOn w:val="Normal"/>
    <w:autoRedefine/>
    <w:rsid w:val="004A02EB"/>
    <w:pPr>
      <w:numPr>
        <w:numId w:val="3"/>
      </w:numPr>
    </w:pPr>
    <w:rPr>
      <w:rFonts w:ascii="Times" w:hAnsi="Times" w:cs="Times"/>
    </w:rPr>
  </w:style>
  <w:style w:type="paragraph" w:styleId="ListBullet4">
    <w:name w:val="List Bullet 4"/>
    <w:basedOn w:val="Normal"/>
    <w:autoRedefine/>
    <w:rsid w:val="004A02EB"/>
    <w:pPr>
      <w:numPr>
        <w:numId w:val="4"/>
      </w:numPr>
    </w:pPr>
    <w:rPr>
      <w:rFonts w:ascii="Times" w:hAnsi="Times" w:cs="Times"/>
    </w:rPr>
  </w:style>
  <w:style w:type="paragraph" w:styleId="ListBullet5">
    <w:name w:val="List Bullet 5"/>
    <w:basedOn w:val="Normal"/>
    <w:autoRedefine/>
    <w:rsid w:val="004A02EB"/>
    <w:pPr>
      <w:numPr>
        <w:numId w:val="5"/>
      </w:numPr>
    </w:pPr>
    <w:rPr>
      <w:rFonts w:ascii="Times" w:hAnsi="Times" w:cs="Times"/>
    </w:rPr>
  </w:style>
  <w:style w:type="paragraph" w:styleId="ListNumber">
    <w:name w:val="List Number"/>
    <w:basedOn w:val="Normal"/>
    <w:rsid w:val="004A02EB"/>
    <w:pPr>
      <w:numPr>
        <w:numId w:val="6"/>
      </w:numPr>
    </w:pPr>
    <w:rPr>
      <w:rFonts w:ascii="Times" w:hAnsi="Times" w:cs="Times"/>
    </w:rPr>
  </w:style>
  <w:style w:type="paragraph" w:styleId="ListNumber2">
    <w:name w:val="List Number 2"/>
    <w:basedOn w:val="Normal"/>
    <w:rsid w:val="004A02EB"/>
    <w:pPr>
      <w:numPr>
        <w:numId w:val="7"/>
      </w:numPr>
    </w:pPr>
    <w:rPr>
      <w:rFonts w:ascii="Times" w:hAnsi="Times" w:cs="Times"/>
    </w:rPr>
  </w:style>
  <w:style w:type="paragraph" w:styleId="ListNumber3">
    <w:name w:val="List Number 3"/>
    <w:basedOn w:val="Normal"/>
    <w:rsid w:val="004A02EB"/>
    <w:pPr>
      <w:numPr>
        <w:numId w:val="8"/>
      </w:numPr>
    </w:pPr>
    <w:rPr>
      <w:rFonts w:ascii="Times" w:hAnsi="Times" w:cs="Times"/>
    </w:rPr>
  </w:style>
  <w:style w:type="paragraph" w:styleId="ListNumber4">
    <w:name w:val="List Number 4"/>
    <w:basedOn w:val="Normal"/>
    <w:rsid w:val="004A02EB"/>
    <w:pPr>
      <w:numPr>
        <w:numId w:val="9"/>
      </w:numPr>
    </w:pPr>
    <w:rPr>
      <w:rFonts w:ascii="Times" w:hAnsi="Times" w:cs="Times"/>
    </w:rPr>
  </w:style>
  <w:style w:type="paragraph" w:styleId="ListNumber5">
    <w:name w:val="List Number 5"/>
    <w:basedOn w:val="Normal"/>
    <w:rsid w:val="004A02EB"/>
    <w:pPr>
      <w:numPr>
        <w:numId w:val="10"/>
      </w:numPr>
    </w:pPr>
    <w:rPr>
      <w:rFonts w:ascii="Times" w:hAnsi="Times" w:cs="Times"/>
    </w:rPr>
  </w:style>
  <w:style w:type="paragraph" w:styleId="BodyTextIndent">
    <w:name w:val="Body Text Indent"/>
    <w:basedOn w:val="Normal"/>
    <w:link w:val="BodyTextIndentChar"/>
    <w:rsid w:val="004A02EB"/>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rsid w:val="004A02EB"/>
    <w:pPr>
      <w:autoSpaceDE/>
      <w:autoSpaceDN/>
      <w:spacing w:before="100" w:beforeAutospacing="1" w:after="100" w:afterAutospacing="1"/>
    </w:pPr>
    <w:rPr>
      <w:rFonts w:eastAsia="Arial Unicode MS"/>
    </w:rPr>
  </w:style>
  <w:style w:type="paragraph" w:styleId="Header">
    <w:name w:val="header"/>
    <w:basedOn w:val="Normal"/>
    <w:rsid w:val="004A02EB"/>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sid w:val="004A02EB"/>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4A02EB"/>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r="http://schemas.openxmlformats.org/officeDocument/2006/relationships" xmlns:w="http://schemas.openxmlformats.org/wordprocessingml/2006/main">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ncbi.nlm.nih.gov/sites/myncbi/collections/public/1PgT7IEFIAJBtGMRDdWFmjWAO/?sort=date&amp;direction=ascend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marshall</cp:lastModifiedBy>
  <cp:revision>2</cp:revision>
  <cp:lastPrinted>2011-03-11T19:43:00Z</cp:lastPrinted>
  <dcterms:created xsi:type="dcterms:W3CDTF">2015-01-22T15:59:00Z</dcterms:created>
  <dcterms:modified xsi:type="dcterms:W3CDTF">2015-01-22T15:59:00Z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