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749E4C" w14:textId="237A7FFF" w:rsidR="00E41C7F" w:rsidRPr="00E41C7F" w:rsidRDefault="00E41C7F" w:rsidP="00E41C7F">
      <w:pPr>
        <w:jc w:val="center"/>
        <w:rPr>
          <w:rFonts w:ascii="Times New Roman" w:hAnsi="Times New Roman" w:cs="Times New Roman"/>
          <w:b/>
          <w:bCs/>
        </w:rPr>
      </w:pPr>
      <w:r w:rsidRPr="00E41C7F">
        <w:rPr>
          <w:rFonts w:ascii="Times New Roman" w:hAnsi="Times New Roman" w:cs="Times New Roman"/>
          <w:b/>
          <w:bCs/>
        </w:rPr>
        <w:t>Understanding Health Literacy Interventions</w:t>
      </w:r>
    </w:p>
    <w:p w14:paraId="555CC7B6" w14:textId="77777777" w:rsidR="009D0B36" w:rsidRDefault="009D0B36" w:rsidP="00EF3A65">
      <w:pPr>
        <w:rPr>
          <w:rFonts w:ascii="Times New Roman" w:hAnsi="Times New Roman" w:cs="Times New Roman"/>
        </w:rPr>
      </w:pPr>
      <w:r w:rsidRPr="009D0B36">
        <w:rPr>
          <w:rFonts w:ascii="Times New Roman" w:hAnsi="Times New Roman" w:cs="Times New Roman"/>
        </w:rPr>
        <w:t>Utilization of health information combined with understanding it requires health literacy to achieve better health results. Health literacy serves as the deciding factor in how well people handle chronic diseases but also shapes their response to medical guidance as well as enables them to make well-informed health decisions. This research performs an evaluation of findings presented by Alsaedi and McKeirnan (2021) about Type 2 diabetes management and Austin et al. (2024) for their community verification program of online health information. The evaluation of intended populations alongside testing intervention methods and recorded effects alongside defect identification generates significant findings about health literacy program success.</w:t>
      </w:r>
    </w:p>
    <w:p w14:paraId="3D828170" w14:textId="77777777" w:rsidR="003C5FE2" w:rsidRDefault="003C5FE2" w:rsidP="00EF3A65">
      <w:pPr>
        <w:rPr>
          <w:rFonts w:ascii="Times New Roman" w:hAnsi="Times New Roman" w:cs="Times New Roman"/>
        </w:rPr>
      </w:pPr>
      <w:r w:rsidRPr="003C5FE2">
        <w:rPr>
          <w:rFonts w:ascii="Times New Roman" w:hAnsi="Times New Roman" w:cs="Times New Roman"/>
        </w:rPr>
        <w:t>Alsaedi and McKeirnan (2021) study Type 2 diabetes patients focusing specifically on ethnic minorities together with non-English speakers because these groups need targeted intervention. Researchers identified this group because low health literacy affects diabetes management negatively through increased hospital stays and poor medication use and substandard interactions with healthcare providers. People belonging to this category face severe risks because they show limited ability to understand advanced medical information and self-care practices for diabetes management. The research by Austin et al. (2024) concentrates on helping Medicaid and Medicare beneficiaries and residents of Pennsylvania's general community population who demonstrated challenges in obtaining trustworthy health materials from the internet. The individuals fell victim to deceptive or unreliable information sources that produced incorrect health information and worsened their health choices.</w:t>
      </w:r>
    </w:p>
    <w:p w14:paraId="42B26674" w14:textId="3801F0E0" w:rsidR="004F29C4" w:rsidRDefault="004F29C4" w:rsidP="00EF3A65">
      <w:pPr>
        <w:rPr>
          <w:rFonts w:ascii="Times New Roman" w:hAnsi="Times New Roman" w:cs="Times New Roman"/>
        </w:rPr>
      </w:pPr>
      <w:r w:rsidRPr="004F29C4">
        <w:rPr>
          <w:rFonts w:ascii="Times New Roman" w:hAnsi="Times New Roman" w:cs="Times New Roman"/>
        </w:rPr>
        <w:t xml:space="preserve">Each study designed health literacy intervention approaches differently to fulfill requirements of its specified target groups. The researchers at Alsaedi and McKeirnan (2021) utilized different educational approaches which included personal medication labels in addition to </w:t>
      </w:r>
      <w:r w:rsidRPr="004F29C4">
        <w:rPr>
          <w:rFonts w:ascii="Times New Roman" w:hAnsi="Times New Roman" w:cs="Times New Roman"/>
        </w:rPr>
        <w:lastRenderedPageBreak/>
        <w:t>digital health resources and cultured adaptation of educational programs. Community health workers helped implement interventions through cultural and linguistic advice to community members. The care model focused on better health communication with patients while boosting medication compliance and developing diabetes self-care competencies for Type 2 diabetes patients. The authors Austin et al. (2024) established the MedlinePlus training program at public libraries which merged cooking demonstrations with health literacy education for participants. The program made participants aware of official medical websites by combining their education with hands-on learning experiences about practical health-related use of information. Austin et al. took a different approach by spreading health education through public venues instead of directly engaging patients according to Alsaedi and McKeirnan.</w:t>
      </w:r>
    </w:p>
    <w:p w14:paraId="05011BBA" w14:textId="77777777" w:rsidR="004F29C4" w:rsidRDefault="004F29C4" w:rsidP="00EF3A65">
      <w:pPr>
        <w:rPr>
          <w:rFonts w:ascii="Times New Roman" w:hAnsi="Times New Roman" w:cs="Times New Roman"/>
        </w:rPr>
      </w:pPr>
      <w:r w:rsidRPr="004F29C4">
        <w:rPr>
          <w:rFonts w:ascii="Times New Roman" w:hAnsi="Times New Roman" w:cs="Times New Roman"/>
        </w:rPr>
        <w:t>The research concluded that interventions led to better health literacy results yet the achievable outcomes depended on how participants received the intervention and who they were in both studies. Health improvement data from Alsaedi and McKeirnan (2021) showed patients recorded lower A1C numbers and kept better track of their medications while their provider interactions became more successful. The intervention encountered lingering obstacles because cultural and linguistic differences between patients and healthcare providers restricted its complete benefits. Austin et al. (2024) documented better recognition of MedlinePlus along with positive evaluations of reliable health sources by their study participants. The research participants recognized positive aspects of the program however the reported ability to independently find and use health information online remained unchanged from before they joined.</w:t>
      </w:r>
    </w:p>
    <w:p w14:paraId="51BFC60D" w14:textId="77777777" w:rsidR="00286C63" w:rsidRDefault="00286C63" w:rsidP="00EF3A65">
      <w:pPr>
        <w:rPr>
          <w:rFonts w:ascii="Times New Roman" w:hAnsi="Times New Roman" w:cs="Times New Roman"/>
        </w:rPr>
      </w:pPr>
      <w:r w:rsidRPr="00286C63">
        <w:rPr>
          <w:rFonts w:ascii="Times New Roman" w:hAnsi="Times New Roman" w:cs="Times New Roman"/>
        </w:rPr>
        <w:t xml:space="preserve">Further examination of the generalizability and limitations allows researchers to assess how findings can be extended to populations apart from original subjects. The diabetes management intervention research by Alsaedi and McKeirnan (2021) provides useful outcomes but researchers cannot determine their use for other chronic conditions. The study depends on </w:t>
      </w:r>
      <w:r w:rsidRPr="00286C63">
        <w:rPr>
          <w:rFonts w:ascii="Times New Roman" w:hAnsi="Times New Roman" w:cs="Times New Roman"/>
        </w:rPr>
        <w:lastRenderedPageBreak/>
        <w:t>short-term outcome measurements without enough evidence about how the interventions will perform over extended periods. Austin et al. (2024) experience sample size and program time-based limitations in their research. Because the research population only involved participants from one county in southwestern Pennsylvania, the study cannot extend its findings to wider national demographics. The researchers could not track what participants did with acquired information because they did not conduct additional follow-up assessments after the study ended. Long-term expanded research is necessary to understand health literacy intervention effects because both studies demonstrate this requirement.</w:t>
      </w:r>
    </w:p>
    <w:p w14:paraId="0A42CE2A" w14:textId="7A19221B" w:rsidR="00286C63" w:rsidRDefault="00286C63" w:rsidP="00EF3A65">
      <w:pPr>
        <w:rPr>
          <w:rFonts w:ascii="Times New Roman" w:hAnsi="Times New Roman" w:cs="Times New Roman"/>
        </w:rPr>
      </w:pPr>
      <w:r w:rsidRPr="00286C63">
        <w:rPr>
          <w:rFonts w:ascii="Times New Roman" w:hAnsi="Times New Roman" w:cs="Times New Roman"/>
        </w:rPr>
        <w:t>The analysis between these studies demonstrates the requirement for health literacy education which needs to be specifically designed for individual groups. Patient-centered education techniques which focus on cultural relevance led to better management of chronic diseases according to Alsaedi and McKeirnan (2021). Austin et al. (2024) delineate how education programs backed by accessible resources become instrumental for health literacy promotion. The approaches demonstrate beneficial aspects that still need a solution which works for all situations. New research should create large-scale intervention programs which unite patient direct interaction with informational programs for the general public.</w:t>
      </w:r>
    </w:p>
    <w:p w14:paraId="135C57B7" w14:textId="5AB3A1C3" w:rsidR="00EF3A65" w:rsidRPr="00EF3A65" w:rsidRDefault="003F3F2E" w:rsidP="00EF3A65">
      <w:pPr>
        <w:rPr>
          <w:rFonts w:ascii="Times New Roman" w:hAnsi="Times New Roman" w:cs="Times New Roman"/>
        </w:rPr>
      </w:pPr>
      <w:r w:rsidRPr="003F3F2E">
        <w:rPr>
          <w:rFonts w:ascii="Times New Roman" w:hAnsi="Times New Roman" w:cs="Times New Roman"/>
        </w:rPr>
        <w:t>In conclusion, health literacy interventions prove vital for outcome improvements because they help populations which need assistance when accessing medical information to understand healthcare better. The intervention strategies presented in research by Alsaedi and McKeirnan (2021) and Austin et al. (2024) provides important knowledge. The first intervention strategy provides customized educational resources for chronic disease management but the second one builds public health literacy through community participation. The research findings demonstrate potential alongside obstacles in health literacy programs because they validate the requirement for future interventions that unite strategic patient assistance programs with broad-based educational campaigns.</w:t>
      </w:r>
    </w:p>
    <w:p w14:paraId="34EF2820" w14:textId="608F6986" w:rsidR="00EF3A65" w:rsidRPr="00EF3A65" w:rsidRDefault="00067DB2" w:rsidP="00EF3A65">
      <w:pPr>
        <w:jc w:val="center"/>
        <w:rPr>
          <w:rFonts w:ascii="Times New Roman" w:hAnsi="Times New Roman" w:cs="Times New Roman"/>
          <w:b/>
          <w:bCs/>
        </w:rPr>
      </w:pPr>
      <w:r w:rsidRPr="00EF3A65">
        <w:rPr>
          <w:rFonts w:ascii="Times New Roman" w:hAnsi="Times New Roman" w:cs="Times New Roman"/>
          <w:b/>
          <w:bCs/>
        </w:rPr>
        <w:lastRenderedPageBreak/>
        <w:t>References</w:t>
      </w:r>
    </w:p>
    <w:p w14:paraId="3FE331A5" w14:textId="62BEDC00" w:rsidR="00EF3A65" w:rsidRDefault="00EF3A65" w:rsidP="00EF3A65">
      <w:pPr>
        <w:ind w:left="720" w:hanging="720"/>
        <w:jc w:val="left"/>
        <w:rPr>
          <w:rFonts w:ascii="Times New Roman" w:hAnsi="Times New Roman" w:cs="Times New Roman"/>
        </w:rPr>
      </w:pPr>
      <w:hyperlink r:id="rId4" w:history="1">
        <w:r w:rsidRPr="00EF3A65">
          <w:rPr>
            <w:rStyle w:val="Hyperlink"/>
            <w:rFonts w:ascii="Times New Roman" w:hAnsi="Times New Roman" w:cs="Times New Roman"/>
            <w:color w:val="auto"/>
            <w:u w:val="none"/>
          </w:rPr>
          <w:t xml:space="preserve">Alsaedi, R., &amp; McKeirnan, K. (2021). Literature Review of Type 2 Diabetes Management and Health Literacy. Diabetes Spectrum: </w:t>
        </w:r>
        <w:r w:rsidRPr="00EF3A65">
          <w:rPr>
            <w:rStyle w:val="Hyperlink"/>
            <w:rFonts w:ascii="Times New Roman" w:hAnsi="Times New Roman" w:cs="Times New Roman"/>
            <w:i/>
            <w:iCs/>
            <w:color w:val="auto"/>
            <w:u w:val="none"/>
          </w:rPr>
          <w:t>A Publication of the American Diabetes Association, 34</w:t>
        </w:r>
        <w:r w:rsidRPr="00EF3A65">
          <w:rPr>
            <w:rStyle w:val="Hyperlink"/>
            <w:rFonts w:ascii="Times New Roman" w:hAnsi="Times New Roman" w:cs="Times New Roman"/>
            <w:color w:val="auto"/>
            <w:u w:val="none"/>
          </w:rPr>
          <w:t>(4), 399.</w:t>
        </w:r>
      </w:hyperlink>
    </w:p>
    <w:p w14:paraId="476459E4" w14:textId="4268D357" w:rsidR="00EF3A65" w:rsidRPr="00E41C7F" w:rsidRDefault="00E41C7F" w:rsidP="00EF3A65">
      <w:pPr>
        <w:ind w:left="720" w:hanging="720"/>
        <w:jc w:val="left"/>
        <w:rPr>
          <w:rFonts w:ascii="Times New Roman" w:hAnsi="Times New Roman" w:cs="Times New Roman"/>
        </w:rPr>
      </w:pPr>
      <w:hyperlink r:id="rId5" w:history="1">
        <w:r w:rsidRPr="00E41C7F">
          <w:rPr>
            <w:rStyle w:val="Hyperlink"/>
            <w:rFonts w:ascii="Times New Roman" w:hAnsi="Times New Roman" w:cs="Times New Roman"/>
            <w:color w:val="auto"/>
            <w:u w:val="none"/>
          </w:rPr>
          <w:t xml:space="preserve">Austin, S., Hughes, E., &amp; Qu, H. (2024). A community engagement program to improve awareness for credible online health information. </w:t>
        </w:r>
        <w:r w:rsidRPr="00E41C7F">
          <w:rPr>
            <w:rStyle w:val="Hyperlink"/>
            <w:rFonts w:ascii="Times New Roman" w:hAnsi="Times New Roman" w:cs="Times New Roman"/>
            <w:i/>
            <w:iCs/>
            <w:color w:val="auto"/>
            <w:u w:val="none"/>
          </w:rPr>
          <w:t>Journal of the Medical Library Association: JMLA, 112</w:t>
        </w:r>
        <w:r w:rsidRPr="00E41C7F">
          <w:rPr>
            <w:rStyle w:val="Hyperlink"/>
            <w:rFonts w:ascii="Times New Roman" w:hAnsi="Times New Roman" w:cs="Times New Roman"/>
            <w:color w:val="auto"/>
            <w:u w:val="none"/>
          </w:rPr>
          <w:t>(4), 341.</w:t>
        </w:r>
      </w:hyperlink>
    </w:p>
    <w:sectPr w:rsidR="00EF3A65" w:rsidRPr="00E41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ECC"/>
    <w:rsid w:val="00007811"/>
    <w:rsid w:val="00067DB2"/>
    <w:rsid w:val="00106EA5"/>
    <w:rsid w:val="001A651B"/>
    <w:rsid w:val="00286C63"/>
    <w:rsid w:val="00294CB5"/>
    <w:rsid w:val="003C5FE2"/>
    <w:rsid w:val="003F3F2E"/>
    <w:rsid w:val="00404170"/>
    <w:rsid w:val="004E639E"/>
    <w:rsid w:val="004F29C4"/>
    <w:rsid w:val="005078A4"/>
    <w:rsid w:val="00552404"/>
    <w:rsid w:val="005B0758"/>
    <w:rsid w:val="005B653D"/>
    <w:rsid w:val="005D5E5A"/>
    <w:rsid w:val="006B6143"/>
    <w:rsid w:val="006D40B5"/>
    <w:rsid w:val="007A557F"/>
    <w:rsid w:val="009D0B36"/>
    <w:rsid w:val="00A7610E"/>
    <w:rsid w:val="00A92ECC"/>
    <w:rsid w:val="00B216CD"/>
    <w:rsid w:val="00BA268C"/>
    <w:rsid w:val="00BC630D"/>
    <w:rsid w:val="00D85F09"/>
    <w:rsid w:val="00E41C7F"/>
    <w:rsid w:val="00EF3A65"/>
    <w:rsid w:val="00FA15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59C00"/>
  <w15:chartTrackingRefBased/>
  <w15:docId w15:val="{713219F9-DBA1-42AB-9B55-5EB9C3731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A92E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E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E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E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E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E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E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E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E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ECC"/>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A92ECC"/>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A92ECC"/>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A92ECC"/>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A92ECC"/>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A92ECC"/>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A92ECC"/>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A92ECC"/>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A92ECC"/>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A92E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EC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A92E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ECC"/>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A92ECC"/>
    <w:pPr>
      <w:spacing w:before="160"/>
      <w:jc w:val="center"/>
    </w:pPr>
    <w:rPr>
      <w:i/>
      <w:iCs/>
      <w:color w:val="404040" w:themeColor="text1" w:themeTint="BF"/>
    </w:rPr>
  </w:style>
  <w:style w:type="character" w:customStyle="1" w:styleId="QuoteChar">
    <w:name w:val="Quote Char"/>
    <w:basedOn w:val="DefaultParagraphFont"/>
    <w:link w:val="Quote"/>
    <w:uiPriority w:val="29"/>
    <w:rsid w:val="00A92ECC"/>
    <w:rPr>
      <w:i/>
      <w:iCs/>
      <w:color w:val="404040" w:themeColor="text1" w:themeTint="BF"/>
      <w:lang w:val="en-US"/>
    </w:rPr>
  </w:style>
  <w:style w:type="paragraph" w:styleId="ListParagraph">
    <w:name w:val="List Paragraph"/>
    <w:basedOn w:val="Normal"/>
    <w:uiPriority w:val="34"/>
    <w:qFormat/>
    <w:rsid w:val="00A92ECC"/>
    <w:pPr>
      <w:ind w:left="720"/>
      <w:contextualSpacing/>
    </w:pPr>
  </w:style>
  <w:style w:type="character" w:styleId="IntenseEmphasis">
    <w:name w:val="Intense Emphasis"/>
    <w:basedOn w:val="DefaultParagraphFont"/>
    <w:uiPriority w:val="21"/>
    <w:qFormat/>
    <w:rsid w:val="00A92ECC"/>
    <w:rPr>
      <w:i/>
      <w:iCs/>
      <w:color w:val="0F4761" w:themeColor="accent1" w:themeShade="BF"/>
    </w:rPr>
  </w:style>
  <w:style w:type="paragraph" w:styleId="IntenseQuote">
    <w:name w:val="Intense Quote"/>
    <w:basedOn w:val="Normal"/>
    <w:next w:val="Normal"/>
    <w:link w:val="IntenseQuoteChar"/>
    <w:uiPriority w:val="30"/>
    <w:qFormat/>
    <w:rsid w:val="00A92E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ECC"/>
    <w:rPr>
      <w:i/>
      <w:iCs/>
      <w:color w:val="0F4761" w:themeColor="accent1" w:themeShade="BF"/>
      <w:lang w:val="en-US"/>
    </w:rPr>
  </w:style>
  <w:style w:type="character" w:styleId="IntenseReference">
    <w:name w:val="Intense Reference"/>
    <w:basedOn w:val="DefaultParagraphFont"/>
    <w:uiPriority w:val="32"/>
    <w:qFormat/>
    <w:rsid w:val="00A92ECC"/>
    <w:rPr>
      <w:b/>
      <w:bCs/>
      <w:smallCaps/>
      <w:color w:val="0F4761" w:themeColor="accent1" w:themeShade="BF"/>
      <w:spacing w:val="5"/>
    </w:rPr>
  </w:style>
  <w:style w:type="character" w:styleId="Hyperlink">
    <w:name w:val="Hyperlink"/>
    <w:basedOn w:val="DefaultParagraphFont"/>
    <w:uiPriority w:val="99"/>
    <w:unhideWhenUsed/>
    <w:rsid w:val="006B6143"/>
    <w:rPr>
      <w:color w:val="467886" w:themeColor="hyperlink"/>
      <w:u w:val="single"/>
    </w:rPr>
  </w:style>
  <w:style w:type="character" w:styleId="UnresolvedMention">
    <w:name w:val="Unresolved Mention"/>
    <w:basedOn w:val="DefaultParagraphFont"/>
    <w:uiPriority w:val="99"/>
    <w:semiHidden/>
    <w:unhideWhenUsed/>
    <w:rsid w:val="006B61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mc.ncbi.nlm.nih.gov/articles/PMC11486053/" TargetMode="External"/><Relationship Id="rId4" Type="http://schemas.openxmlformats.org/officeDocument/2006/relationships/hyperlink" Target="https://pmc.ncbi.nlm.nih.gov/articles/PMC86031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1035</Words>
  <Characters>5902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9</cp:revision>
  <dcterms:created xsi:type="dcterms:W3CDTF">2025-02-23T18:13:00Z</dcterms:created>
  <dcterms:modified xsi:type="dcterms:W3CDTF">2025-02-24T16:33:00Z</dcterms:modified>
</cp:coreProperties>
</file>