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7.xml" ContentType="application/vnd.openxmlformats-officedocument.wordprocessingml.header+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before="520" w:after="120"/>
        <w:ind w:hanging="0" w:start="0"/>
        <w:jc w:val="center"/>
        <w:rPr/>
      </w:pPr>
      <w:r>
        <w:rPr/>
        <w:drawing>
          <wp:inline distT="0" distB="0" distL="0" distR="0">
            <wp:extent cx="1417320" cy="1651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17320" cy="1651635"/>
                    </a:xfrm>
                    <a:prstGeom prst="rect">
                      <a:avLst/>
                    </a:prstGeom>
                    <a:noFill/>
                  </pic:spPr>
                </pic:pic>
              </a:graphicData>
            </a:graphic>
          </wp:inline>
        </w:drawing>
      </w:r>
    </w:p>
    <w:p>
      <w:pPr>
        <w:pStyle w:val="Normal"/>
        <w:spacing w:lineRule="auto" w:line="312" w:before="0" w:after="120"/>
        <w:ind w:hanging="0" w:start="0"/>
        <w:jc w:val="center"/>
        <w:rPr/>
      </w:pPr>
      <w:r>
        <w:rPr>
          <w:rFonts w:eastAsia="Times New Roman" w:cs="Times New Roman"/>
          <w:b/>
          <w:color w:val="000000"/>
          <w:sz w:val="30"/>
        </w:rPr>
        <w:t>HỌC VIỆN NGÂN HÀNG</w:t>
      </w:r>
    </w:p>
    <w:p>
      <w:pPr>
        <w:pStyle w:val="Normal"/>
        <w:spacing w:lineRule="auto" w:line="312" w:before="0" w:after="120"/>
        <w:ind w:hanging="0" w:start="0"/>
        <w:jc w:val="center"/>
        <w:rPr/>
      </w:pPr>
      <w:r>
        <w:rPr>
          <w:rFonts w:eastAsia="Times New Roman" w:cs="Times New Roman"/>
          <w:b/>
          <w:color w:val="000000"/>
          <w:sz w:val="28"/>
        </w:rPr>
        <w:t>MÔN THỰC HÀNH NGHỀ LUẬT</w:t>
      </w:r>
    </w:p>
    <w:p>
      <w:pPr>
        <w:pStyle w:val="Normal"/>
        <w:spacing w:lineRule="auto" w:line="312" w:before="0" w:after="120"/>
        <w:ind w:hanging="0" w:start="0"/>
        <w:jc w:val="center"/>
        <w:rPr/>
      </w:pPr>
      <w:r>
        <w:rPr>
          <w:rFonts w:eastAsia="Times New Roman" w:cs="Times New Roman"/>
          <w:b/>
          <w:color w:val="000000"/>
          <w:sz w:val="40"/>
        </w:rPr>
        <w:t>BÁO CÁO TỔNG HỢP</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DỊCH VỤ PHÁP LÝ HỖ TRỢ THÀNH LẬP VÀ VẬN HÀNH</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DOANH NGHIỆP CUNG ỨNG VÍ ĐIỆN TỬ</w:t>
      </w:r>
    </w:p>
    <w:p>
      <w:pPr>
        <w:pStyle w:val="Normal"/>
        <w:spacing w:lineRule="auto" w:line="312" w:before="0" w:after="120"/>
        <w:ind w:hanging="0" w:start="0"/>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134" w:gutter="0" w:header="634" w:top="1201" w:footer="634" w:bottom="1201"/>
          <w:pgNumType w:fmt="decimal"/>
          <w:formProt w:val="false"/>
          <w:titlePg/>
          <w:textDirection w:val="lrTb"/>
          <w:docGrid w:type="default" w:linePitch="360" w:charSpace="0"/>
        </w:sectPr>
      </w:pPr>
      <w:r>
        <w:drawing>
          <wp:anchor distT="0" distB="0" distL="0" distR="0" simplePos="0" relativeHeight="3" behindDoc="1" locked="0" layoutInCell="0" allowOverlap="1">
            <wp:simplePos x="0" y="0"/>
            <wp:positionH relativeFrom="page">
              <wp:posOffset>0</wp:posOffset>
            </wp:positionH>
            <wp:positionV relativeFrom="page">
              <wp:posOffset>0</wp:posOffset>
            </wp:positionV>
            <wp:extent cx="7560310" cy="10692130"/>
            <wp:effectExtent l="0" t="0" r="0" b="0"/>
            <wp:wrapNone/>
            <wp:docPr id="2" name="Khung viền bìa hoa văn Học viện Ngân hàng" descr="Khung viền trang trí màu xanh trên trang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hung viền bìa hoa văn Học viện Ngân hàng" descr="Khung viền trang trí màu xanh trên trang bìa"/>
                    <pic:cNvPicPr>
                      <a:picLocks noChangeAspect="1" noChangeArrowheads="1"/>
                    </pic:cNvPicPr>
                  </pic:nvPicPr>
                  <pic:blipFill>
                    <a:blip r:embed="rId3"/>
                    <a:stretch>
                      <a:fillRect/>
                    </a:stretch>
                  </pic:blipFill>
                  <pic:spPr bwMode="auto">
                    <a:xfrm>
                      <a:off x="0" y="0"/>
                      <a:ext cx="7560310" cy="10692130"/>
                    </a:xfrm>
                    <a:prstGeom prst="rect">
                      <a:avLst/>
                    </a:prstGeom>
                    <a:noFill/>
                  </pic:spPr>
                </pic:pic>
              </a:graphicData>
            </a:graphic>
          </wp:anchor>
        </w:drawing>
      </w:r>
      <w:r>
        <w:rPr>
          <w:rFonts w:eastAsia="Times New Roman" w:cs="Times New Roman"/>
          <w:b/>
          <w:color w:val="000000"/>
          <w:sz w:val="30"/>
        </w:rPr>
        <w:t>NHÓM 13</w:t>
      </w:r>
    </w:p>
    <w:p>
      <w:pPr>
        <w:pStyle w:val="Normal"/>
        <w:keepNext w:val="true"/>
        <w:spacing w:before="0" w:after="120"/>
        <w:jc w:val="center"/>
        <w:rPr/>
      </w:pPr>
      <w:r>
        <w:rPr>
          <w:rFonts w:eastAsia="Times New Roman" w:cs="Times New Roman"/>
          <w:b/>
          <w:sz w:val="26"/>
        </w:rPr>
        <w:t>BIÊN BẢN HỌP NHÓM 13.</w:t>
      </w:r>
    </w:p>
    <w:p>
      <w:pPr>
        <w:pStyle w:val="Normal"/>
        <w:keepNext w:val="true"/>
        <w:spacing w:before="0" w:after="160"/>
        <w:jc w:val="center"/>
        <w:rPr/>
      </w:pPr>
      <w:r>
        <w:rPr>
          <w:rFonts w:eastAsia="Times New Roman" w:cs="Times New Roman"/>
          <w:b/>
          <w:sz w:val="26"/>
        </w:rPr>
        <w:t>BUỔI 2.</w:t>
      </w:r>
    </w:p>
    <w:tbl>
      <w:tblPr>
        <w:tblW w:w="9582" w:type="dxa"/>
        <w:jc w:val="center"/>
        <w:tblInd w:w="0" w:type="dxa"/>
        <w:tblLayout w:type="fixed"/>
        <w:tblCellMar>
          <w:top w:w="80" w:type="dxa"/>
          <w:start w:w="80" w:type="dxa"/>
          <w:bottom w:w="80" w:type="dxa"/>
          <w:end w:w="80" w:type="dxa"/>
        </w:tblCellMar>
        <w:tblLook w:noHBand="0" w:lastColumn="0" w:firstColumn="1" w:lastRow="0" w:firstRow="1" w:noVBand="1" w:val="04a0"/>
      </w:tblPr>
      <w:tblGrid>
        <w:gridCol w:w="4791"/>
        <w:gridCol w:w="4791"/>
      </w:tblGrid>
      <w:tr>
        <w:trPr/>
        <w:tc>
          <w:tcPr>
            <w:tcW w:w="4791" w:type="dxa"/>
            <w:tcBorders/>
            <w:vAlign w:val="center"/>
          </w:tcPr>
          <w:p>
            <w:pPr>
              <w:pStyle w:val="Normal"/>
              <w:spacing w:lineRule="auto" w:line="240" w:before="0" w:after="0"/>
              <w:jc w:val="center"/>
              <w:rPr/>
            </w:pPr>
            <w:r>
              <w:rPr>
                <w:rFonts w:eastAsia="Times New Roman" w:cs="Times New Roman"/>
                <w:b/>
                <w:sz w:val="26"/>
              </w:rPr>
              <w:t>HỌC VIỆN NGÂN HÀNG</w:t>
            </w:r>
          </w:p>
          <w:p>
            <w:pPr>
              <w:pStyle w:val="Normal"/>
              <w:spacing w:lineRule="auto" w:line="240" w:before="0" w:after="0"/>
              <w:jc w:val="center"/>
              <w:rPr/>
            </w:pPr>
            <w:r>
              <w:rPr>
                <w:rFonts w:eastAsia="Times New Roman" w:cs="Times New Roman"/>
                <w:b/>
                <w:sz w:val="26"/>
              </w:rPr>
              <w:t>LỚP 261LAW61A02</w:t>
            </w:r>
          </w:p>
          <w:p>
            <w:pPr>
              <w:pStyle w:val="Normal"/>
              <w:spacing w:lineRule="auto" w:line="240" w:before="0" w:after="0"/>
              <w:jc w:val="center"/>
              <w:rPr/>
            </w:pPr>
            <w:r>
              <w:rPr>
                <w:rFonts w:eastAsia="Times New Roman" w:cs="Times New Roman"/>
                <w:b/>
                <w:sz w:val="26"/>
              </w:rPr>
              <w:t>NHÓM 13</w:t>
            </w:r>
          </w:p>
        </w:tc>
        <w:tc>
          <w:tcPr>
            <w:tcW w:w="4791" w:type="dxa"/>
            <w:tcBorders/>
            <w:vAlign w:val="center"/>
          </w:tcPr>
          <w:p>
            <w:pPr>
              <w:pStyle w:val="Normal"/>
              <w:spacing w:lineRule="auto" w:line="240" w:before="0" w:after="0"/>
              <w:jc w:val="center"/>
              <w:rPr/>
            </w:pPr>
            <w:r>
              <w:rPr>
                <w:rFonts w:eastAsia="Times New Roman" w:cs="Times New Roman"/>
                <w:b/>
                <w:sz w:val="26"/>
              </w:rPr>
              <w:t>CỘNG HÒA XÃ HỘI CHỦ NGHĨA VIỆT NAM</w:t>
            </w:r>
          </w:p>
          <w:p>
            <w:pPr>
              <w:pStyle w:val="Normal"/>
              <w:spacing w:lineRule="auto" w:line="240" w:before="0" w:after="0"/>
              <w:jc w:val="center"/>
              <w:rPr/>
            </w:pPr>
            <w:r>
              <w:rPr>
                <w:rFonts w:eastAsia="Times New Roman" w:cs="Times New Roman"/>
                <w:b/>
                <w:sz w:val="26"/>
              </w:rPr>
              <w:t>Độc lập - Tự do - Hạnh phúc</w:t>
            </w:r>
          </w:p>
          <w:p>
            <w:pPr>
              <w:pStyle w:val="Normal"/>
              <w:spacing w:lineRule="auto" w:line="240" w:before="0" w:after="0"/>
              <w:jc w:val="center"/>
              <w:rPr/>
            </w:pPr>
            <w:r>
              <w:rPr>
                <w:rFonts w:eastAsia="Times New Roman" w:cs="Times New Roman"/>
                <w:b/>
                <w:sz w:val="26"/>
              </w:rPr>
              <w:t>Ngày 19 tháng 8 năm 2026</w:t>
            </w:r>
          </w:p>
        </w:tc>
      </w:tr>
    </w:tbl>
    <w:p>
      <w:pPr>
        <w:pStyle w:val="Normal"/>
        <w:keepNext w:val="true"/>
        <w:pageBreakBefore w:val="false"/>
        <w:spacing w:before="120" w:after="120"/>
        <w:jc w:val="start"/>
        <w:rPr/>
      </w:pPr>
      <w:r>
        <w:rPr>
          <w:rFonts w:eastAsia="Times New Roman" w:cs="Times New Roman"/>
          <w:b/>
          <w:sz w:val="26"/>
        </w:rPr>
        <w:t>I. Thời gian và địa điểm.</w:t>
      </w:r>
    </w:p>
    <w:p>
      <w:pPr>
        <w:pStyle w:val="Normal"/>
        <w:spacing w:lineRule="auto" w:line="360" w:before="0" w:after="120"/>
        <w:jc w:val="both"/>
        <w:rPr/>
      </w:pPr>
      <w:r>
        <w:rPr>
          <w:rFonts w:eastAsia="Times New Roman" w:cs="Times New Roman"/>
          <w:b w:val="false"/>
          <w:sz w:val="26"/>
        </w:rPr>
        <w:t>Ngày họp: Ngày 19 tháng 8 năm 2026.</w:t>
      </w:r>
    </w:p>
    <w:p>
      <w:pPr>
        <w:pStyle w:val="Normal"/>
        <w:spacing w:lineRule="auto" w:line="360" w:before="0" w:after="120"/>
        <w:jc w:val="both"/>
        <w:rPr/>
      </w:pPr>
      <w:r>
        <w:rPr>
          <w:rFonts w:eastAsia="Times New Roman" w:cs="Times New Roman"/>
          <w:b w:val="false"/>
          <w:sz w:val="26"/>
        </w:rPr>
        <w:t>Thời gian: 10 giờ 00 phút.</w:t>
      </w:r>
    </w:p>
    <w:p>
      <w:pPr>
        <w:pStyle w:val="Normal"/>
        <w:spacing w:lineRule="auto" w:line="360" w:before="0" w:after="120"/>
        <w:jc w:val="both"/>
        <w:rPr/>
      </w:pPr>
      <w:r>
        <w:rPr>
          <w:rFonts w:eastAsia="Times New Roman" w:cs="Times New Roman"/>
          <w:b w:val="false"/>
          <w:sz w:val="26"/>
        </w:rPr>
        <w:t>Địa điểm: Thư viện.</w:t>
      </w:r>
    </w:p>
    <w:p>
      <w:pPr>
        <w:pStyle w:val="Normal"/>
        <w:keepNext w:val="true"/>
        <w:pageBreakBefore w:val="false"/>
        <w:spacing w:before="120" w:after="120"/>
        <w:jc w:val="start"/>
        <w:rPr/>
      </w:pPr>
      <w:r>
        <w:rPr>
          <w:rFonts w:eastAsia="Times New Roman" w:cs="Times New Roman"/>
          <w:b/>
          <w:sz w:val="26"/>
        </w:rPr>
        <w:t>II. Thành phần tham dự.</w:t>
      </w:r>
    </w:p>
    <w:p>
      <w:pPr>
        <w:pStyle w:val="Normal"/>
        <w:spacing w:lineRule="auto" w:line="360" w:before="0" w:after="120"/>
        <w:ind w:firstLine="567"/>
        <w:jc w:val="both"/>
        <w:rPr/>
      </w:pPr>
      <w:r>
        <w:rPr>
          <w:rFonts w:eastAsia="Times New Roman" w:cs="Times New Roman"/>
          <w:b w:val="false"/>
          <w:sz w:val="26"/>
        </w:rPr>
        <w:t>Toàn thể 12 thành viên Nhóm 13 - Lớp 261LAW61A02.</w:t>
      </w:r>
    </w:p>
    <w:p>
      <w:pPr>
        <w:pStyle w:val="Normal"/>
        <w:keepNext w:val="true"/>
        <w:pageBreakBefore w:val="false"/>
        <w:spacing w:before="120" w:after="120"/>
        <w:jc w:val="start"/>
        <w:rPr/>
      </w:pPr>
      <w:r>
        <w:rPr>
          <w:rFonts w:eastAsia="Times New Roman" w:cs="Times New Roman"/>
          <w:b/>
          <w:sz w:val="26"/>
        </w:rPr>
        <w:t>III. Nội dung cuộc họp.</w:t>
      </w:r>
    </w:p>
    <w:p>
      <w:pPr>
        <w:pStyle w:val="Normal"/>
        <w:spacing w:lineRule="auto" w:line="360" w:before="0" w:after="120"/>
        <w:ind w:firstLine="567"/>
        <w:jc w:val="both"/>
        <w:rPr/>
      </w:pPr>
      <w:r>
        <w:rPr>
          <w:rFonts w:eastAsia="Times New Roman" w:cs="Times New Roman"/>
          <w:b w:val="false"/>
          <w:sz w:val="26"/>
        </w:rPr>
        <w:t>Nhóm tiến hành rà soát, phân công và ghi nhận kết quả thực hiện công việc của từng thành viên đối với Báo cáo sơ bộ dịch vụ pháp lý ví điện tử, cụ thể như sau:</w:t>
      </w:r>
    </w:p>
    <w:p>
      <w:pPr>
        <w:pStyle w:val="Normal"/>
        <w:rPr/>
      </w:pPr>
      <w:r>
        <w:rPr/>
      </w:r>
      <w:r>
        <w:br w:type="page"/>
      </w:r>
    </w:p>
    <w:p>
      <w:pPr>
        <w:pStyle w:val="Normal"/>
        <w:keepNext w:val="true"/>
        <w:spacing w:before="0" w:after="120"/>
        <w:jc w:val="start"/>
        <w:rPr/>
      </w:pPr>
      <w:r>
        <w:rPr>
          <w:rFonts w:eastAsia="Times New Roman" w:cs="Times New Roman"/>
          <w:b/>
          <w:sz w:val="26"/>
        </w:rPr>
        <w:t>IV. Bảng phân công công việc và đánh giá đóng góp.</w:t>
      </w:r>
    </w:p>
    <w:tbl>
      <w:tblPr>
        <w:tblW w:w="10193" w:type="dxa"/>
        <w:jc w:val="center"/>
        <w:tblInd w:w="0" w:type="dxa"/>
        <w:tblLayout w:type="fixed"/>
        <w:tblCellMar>
          <w:top w:w="80" w:type="dxa"/>
          <w:start w:w="80" w:type="dxa"/>
          <w:bottom w:w="80" w:type="dxa"/>
          <w:end w:w="80" w:type="dxa"/>
        </w:tblCellMar>
        <w:tblLook w:noHBand="0" w:lastColumn="0" w:firstColumn="1" w:lastRow="0" w:firstRow="1" w:noVBand="1" w:val="04a0"/>
      </w:tblPr>
      <w:tblGrid>
        <w:gridCol w:w="983"/>
        <w:gridCol w:w="2014"/>
        <w:gridCol w:w="1643"/>
        <w:gridCol w:w="4188"/>
        <w:gridCol w:w="1365"/>
      </w:tblGrid>
      <w:tr>
        <w:trPr>
          <w:tblHeader w:val="true"/>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Số TT</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Họ và tên</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Mã sinh viên</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Công việc</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Đóng góp</w:t>
            </w:r>
          </w:p>
          <w:p>
            <w:pPr>
              <w:pStyle w:val="Normal"/>
              <w:spacing w:lineRule="auto" w:line="240" w:before="0" w:after="0"/>
              <w:ind w:hanging="0" w:start="0"/>
              <w:jc w:val="center"/>
              <w:rPr/>
            </w:pPr>
            <w:r>
              <w:rPr>
                <w:rFonts w:eastAsia="Times New Roman" w:cs="Times New Roman"/>
                <w:b/>
                <w:sz w:val="26"/>
              </w:rPr>
              <w:t>(10 điểm)</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Đoàn Anh Phương</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w:t>
            </w:r>
            <w:r>
              <w:rPr>
                <w:rFonts w:eastAsia="Times New Roman" w:cs="Times New Roman"/>
                <w:b w:val="false"/>
                <w:sz w:val="26"/>
              </w:rPr>
              <w:t>6A4062550</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rFonts w:ascii="Times New Roman" w:hAnsi="Times New Roman" w:eastAsia="Times New Roman" w:cs="Times New Roman"/>
                <w:b w:val="false"/>
                <w:sz w:val="26"/>
              </w:rPr>
            </w:pPr>
            <w:r>
              <w:rPr>
                <w:rFonts w:eastAsia="Times New Roman" w:cs="Times New Roman"/>
                <w:b w:val="false"/>
                <w:sz w:val="26"/>
              </w:rPr>
              <w:t>1. Tư vấn xác định mô hình: Tư vấn pháp lý thường xuyên (nhánh thẩm định sản phẩm mới).</w:t>
            </w:r>
          </w:p>
          <w:p>
            <w:pPr>
              <w:pStyle w:val="Normal"/>
              <w:spacing w:lineRule="auto" w:line="240" w:before="0" w:after="0"/>
              <w:ind w:hanging="0" w:start="0"/>
              <w:jc w:val="start"/>
              <w:rPr>
                <w:rFonts w:ascii="Times New Roman" w:hAnsi="Times New Roman" w:eastAsia="Times New Roman" w:cs="Times New Roman"/>
                <w:b w:val="false"/>
                <w:sz w:val="26"/>
              </w:rPr>
            </w:pPr>
            <w:r>
              <w:rPr>
                <w:rFonts w:eastAsia="Times New Roman" w:cs="Times New Roman"/>
                <w:b w:val="false"/>
                <w:sz w:val="26"/>
              </w:rPr>
              <w:t>2. Chỉnh sửa nội dung (Tuần 2 và bản cuối Báo cáo sơ bộ).</w:t>
            </w:r>
          </w:p>
          <w:p>
            <w:pPr>
              <w:pStyle w:val="Normal"/>
              <w:spacing w:lineRule="auto" w:line="240" w:before="0" w:after="0"/>
              <w:ind w:hanging="0" w:start="0"/>
              <w:jc w:val="start"/>
              <w:rPr/>
            </w:pPr>
            <w:r>
              <w:rPr>
                <w:rFonts w:eastAsia="Times New Roman" w:cs="Times New Roman"/>
                <w:b w:val="false"/>
                <w:sz w:val="26"/>
              </w:rPr>
              <w:t>3. Xây dựng định dạng, dàn ý chung của Báo cáo.</w:t>
            </w:r>
          </w:p>
          <w:p>
            <w:pPr>
              <w:pStyle w:val="Normal"/>
              <w:spacing w:lineRule="auto" w:line="240" w:before="0" w:after="0"/>
              <w:ind w:hanging="0" w:start="0"/>
              <w:jc w:val="start"/>
              <w:rPr/>
            </w:pPr>
            <w:r>
              <w:rPr>
                <w:rFonts w:eastAsia="Times New Roman" w:cs="Times New Roman"/>
                <w:b w:val="false"/>
                <w:sz w:val="26"/>
              </w:rPr>
              <w:t>4. Thuyết trình.</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10</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Lê Thị Hồng Nhung</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26A4062545</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thuê ngoài dịch vụ công nghệ thông tin.</w:t>
            </w:r>
          </w:p>
          <w:p>
            <w:pPr>
              <w:pStyle w:val="Normal"/>
              <w:spacing w:lineRule="auto" w:line="240" w:before="0" w:after="0"/>
              <w:ind w:hanging="0" w:start="0"/>
              <w:jc w:val="start"/>
              <w:rPr/>
            </w:pPr>
            <w:r>
              <w:rPr>
                <w:rFonts w:eastAsia="Times New Roman" w:cs="Times New Roman"/>
                <w:b w:val="false"/>
                <w:sz w:val="26"/>
              </w:rPr>
              <w:t>- Hợp đồng với đơn vị chấp nhận thanh toán.</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3</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Vũ Anh Quân</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26A4062552</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 Hợp đồng cung cấp dịch vụ tích hợp API ví điện tử.</w:t>
            </w:r>
          </w:p>
          <w:p>
            <w:pPr>
              <w:pStyle w:val="Normal"/>
              <w:spacing w:lineRule="auto" w:line="240" w:before="0" w:after="0"/>
              <w:ind w:hanging="0" w:start="0"/>
              <w:jc w:val="start"/>
              <w:rPr/>
            </w:pPr>
            <w:r>
              <w:rPr>
                <w:rFonts w:eastAsia="Times New Roman" w:cs="Times New Roman"/>
                <w:b w:val="false"/>
                <w:sz w:val="26"/>
              </w:rPr>
              <w:t>2. Tổng hợp Word: bản đầy đủ và bản tóm tắt.</w:t>
            </w:r>
          </w:p>
          <w:p>
            <w:pPr>
              <w:pStyle w:val="Normal"/>
              <w:spacing w:lineRule="auto" w:line="240" w:before="0" w:after="0"/>
              <w:ind w:hanging="0" w:start="0"/>
              <w:jc w:val="start"/>
              <w:rPr/>
            </w:pPr>
            <w:r>
              <w:rPr>
                <w:rFonts w:eastAsia="Times New Roman" w:cs="Times New Roman"/>
                <w:b w:val="false"/>
                <w:sz w:val="26"/>
              </w:rPr>
              <w:t>3. Xây dựng website.</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10</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4</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Phạm Văn Quang</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26A4062551</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bảo mật thông tin.</w:t>
            </w:r>
          </w:p>
          <w:p>
            <w:pPr>
              <w:pStyle w:val="Normal"/>
              <w:spacing w:lineRule="auto" w:line="240" w:before="0" w:after="0"/>
              <w:ind w:hanging="0" w:start="0"/>
              <w:jc w:val="start"/>
              <w:rPr/>
            </w:pPr>
            <w:r>
              <w:rPr>
                <w:rFonts w:eastAsia="Times New Roman" w:cs="Times New Roman"/>
                <w:b w:val="false"/>
                <w:sz w:val="26"/>
              </w:rPr>
              <w:t>- Thỏa thuận sở hữu trí tuệ.</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7,5</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5</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Nguyễn Huy Thái</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26A4062558</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Quy trình xử lý khiếu nại.</w:t>
            </w:r>
          </w:p>
          <w:p>
            <w:pPr>
              <w:pStyle w:val="Normal"/>
              <w:spacing w:lineRule="auto" w:line="240" w:before="0" w:after="0"/>
              <w:ind w:hanging="0" w:start="0"/>
              <w:jc w:val="start"/>
              <w:rPr/>
            </w:pPr>
            <w:r>
              <w:rPr>
                <w:rFonts w:eastAsia="Times New Roman" w:cs="Times New Roman"/>
                <w:b w:val="false"/>
                <w:sz w:val="26"/>
              </w:rPr>
              <w:t>- Các văn bản, hồ sơ xử lý tình huống.</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6</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Lê Phương Thảo</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26A4062560</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lao động.</w:t>
            </w:r>
          </w:p>
          <w:p>
            <w:pPr>
              <w:pStyle w:val="Normal"/>
              <w:spacing w:lineRule="auto" w:line="240" w:before="0" w:after="0"/>
              <w:ind w:hanging="0" w:start="0"/>
              <w:jc w:val="start"/>
              <w:rPr/>
            </w:pPr>
            <w:r>
              <w:rPr>
                <w:rFonts w:eastAsia="Times New Roman" w:cs="Times New Roman"/>
                <w:b w:val="false"/>
                <w:sz w:val="26"/>
              </w:rPr>
              <w:t>- Hợp đồng sử dụng dịch vụ ví điện tử liên kết ngân hàng.</w:t>
            </w:r>
          </w:p>
          <w:p>
            <w:pPr>
              <w:pStyle w:val="Normal"/>
              <w:spacing w:lineRule="auto" w:line="240" w:before="0" w:after="0"/>
              <w:ind w:hanging="0" w:start="0"/>
              <w:jc w:val="start"/>
              <w:rPr/>
            </w:pPr>
            <w:r>
              <w:rPr>
                <w:rFonts w:eastAsia="Times New Roman" w:cs="Times New Roman"/>
                <w:b w:val="false"/>
                <w:sz w:val="26"/>
              </w:rPr>
              <w:t>2. Thuyết trình.</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9</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7</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Phạm Dạ Thảo</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26A4060735</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Dịch vụ tư vấn thành lập công ty cổ phần.</w:t>
            </w:r>
          </w:p>
          <w:p>
            <w:pPr>
              <w:pStyle w:val="Normal"/>
              <w:spacing w:lineRule="auto" w:line="240" w:before="0" w:after="0"/>
              <w:ind w:hanging="0" w:start="0"/>
              <w:jc w:val="start"/>
              <w:rPr/>
            </w:pPr>
            <w:r>
              <w:rPr>
                <w:rFonts w:eastAsia="Times New Roman" w:cs="Times New Roman"/>
                <w:b w:val="false"/>
                <w:sz w:val="26"/>
              </w:rPr>
              <w:t>- Hợp đồng hợp tác kinh doanh.</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bl>
    <w:p>
      <w:pPr>
        <w:pStyle w:val="Normal"/>
        <w:rPr/>
      </w:pPr>
      <w:r>
        <w:rPr/>
      </w:r>
      <w:r>
        <w:br w:type="page"/>
      </w:r>
    </w:p>
    <w:tbl>
      <w:tblPr>
        <w:tblW w:w="10008" w:type="dxa"/>
        <w:jc w:val="center"/>
        <w:tblInd w:w="0" w:type="dxa"/>
        <w:tblLayout w:type="fixed"/>
        <w:tblCellMar>
          <w:top w:w="80" w:type="dxa"/>
          <w:start w:w="80" w:type="dxa"/>
          <w:bottom w:w="80" w:type="dxa"/>
          <w:end w:w="80" w:type="dxa"/>
        </w:tblCellMar>
        <w:tblLook w:noHBand="0" w:lastColumn="0" w:firstColumn="1" w:lastRow="0" w:firstRow="1" w:noVBand="1" w:val="04a0"/>
      </w:tblPr>
      <w:tblGrid>
        <w:gridCol w:w="890"/>
        <w:gridCol w:w="2014"/>
        <w:gridCol w:w="1548"/>
        <w:gridCol w:w="4189"/>
        <w:gridCol w:w="1367"/>
      </w:tblGrid>
      <w:tr>
        <w:trPr>
          <w:tblHeader w:val="true"/>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pageBreakBefore/>
              <w:spacing w:lineRule="auto" w:line="240" w:before="0" w:after="0"/>
              <w:ind w:hanging="0" w:start="0"/>
              <w:jc w:val="center"/>
              <w:rPr/>
            </w:pPr>
            <w:r>
              <w:rPr>
                <w:rFonts w:eastAsia="Times New Roman" w:cs="Times New Roman"/>
                <w:b/>
                <w:sz w:val="26"/>
              </w:rPr>
              <w:t>Số</w:t>
            </w:r>
          </w:p>
          <w:p>
            <w:pPr>
              <w:pStyle w:val="Normal"/>
              <w:spacing w:lineRule="auto" w:line="240" w:before="0" w:after="0"/>
              <w:ind w:hanging="0" w:start="0"/>
              <w:jc w:val="center"/>
              <w:rPr/>
            </w:pPr>
            <w:r>
              <w:rPr>
                <w:rFonts w:eastAsia="Times New Roman" w:cs="Times New Roman"/>
                <w:b/>
                <w:sz w:val="26"/>
              </w:rPr>
              <w:t>TT</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Họ và tên</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Mã sinh viên</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Công việc</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Đóng góp</w:t>
            </w:r>
          </w:p>
          <w:p>
            <w:pPr>
              <w:pStyle w:val="Normal"/>
              <w:spacing w:lineRule="auto" w:line="240" w:before="0" w:after="0"/>
              <w:ind w:hanging="0" w:start="0"/>
              <w:jc w:val="center"/>
              <w:rPr/>
            </w:pPr>
            <w:r>
              <w:rPr>
                <w:rFonts w:eastAsia="Times New Roman" w:cs="Times New Roman"/>
                <w:b/>
                <w:sz w:val="26"/>
              </w:rPr>
              <w:t>(10 điểm)</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Vũ Phương Thảo</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26A4060736</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hợp tác kết nối và mở tài khoản bảo đảm thanh toán.</w:t>
            </w:r>
          </w:p>
          <w:p>
            <w:pPr>
              <w:pStyle w:val="Normal"/>
              <w:spacing w:lineRule="auto" w:line="240" w:before="0" w:after="0"/>
              <w:ind w:hanging="0" w:start="0"/>
              <w:jc w:val="start"/>
              <w:rPr/>
            </w:pPr>
            <w:r>
              <w:rPr>
                <w:rFonts w:eastAsia="Times New Roman" w:cs="Times New Roman"/>
                <w:b w:val="false"/>
                <w:sz w:val="26"/>
              </w:rPr>
              <w:t>- Dịch vụ tư vấn thường xuyên (nhánh cập nhật pháp lý định kỳ).</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7,5</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9</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Kiều Hoài Thu</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26A4060739</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Điều lệ công ty.</w:t>
            </w:r>
          </w:p>
          <w:p>
            <w:pPr>
              <w:pStyle w:val="Normal"/>
              <w:spacing w:lineRule="auto" w:line="240" w:before="0" w:after="0"/>
              <w:ind w:hanging="0" w:start="0"/>
              <w:jc w:val="start"/>
              <w:rPr/>
            </w:pPr>
            <w:r>
              <w:rPr>
                <w:rFonts w:eastAsia="Times New Roman" w:cs="Times New Roman"/>
                <w:b w:val="false"/>
                <w:sz w:val="26"/>
              </w:rPr>
              <w:t>- Tư vấn tổ chức và tiến hành Đại hội đồng cổ đông.</w:t>
            </w:r>
          </w:p>
          <w:p>
            <w:pPr>
              <w:pStyle w:val="Normal"/>
              <w:spacing w:lineRule="auto" w:line="240" w:before="0" w:after="0"/>
              <w:ind w:hanging="0" w:start="0"/>
              <w:jc w:val="start"/>
              <w:rPr/>
            </w:pPr>
            <w:r>
              <w:rPr>
                <w:rFonts w:eastAsia="Times New Roman" w:cs="Times New Roman"/>
                <w:b w:val="false"/>
                <w:sz w:val="26"/>
              </w:rPr>
              <w:t>2. Thuyết trình.</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8,5</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10</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Trần Thị Thơ</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26A4060737</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với Giám đốc/Tổng giám đốc.</w:t>
            </w:r>
          </w:p>
          <w:p>
            <w:pPr>
              <w:pStyle w:val="Normal"/>
              <w:spacing w:lineRule="auto" w:line="240" w:before="0" w:after="0"/>
              <w:ind w:hanging="0" w:start="0"/>
              <w:jc w:val="start"/>
              <w:rPr/>
            </w:pPr>
            <w:r>
              <w:rPr>
                <w:rFonts w:eastAsia="Times New Roman" w:cs="Times New Roman"/>
                <w:b w:val="false"/>
                <w:sz w:val="26"/>
              </w:rPr>
              <w:t>- Hợp đồng mở và sử dụng ví điện tử.</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11</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Trần Thị Thùy</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26A4062565</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Thỏa thuận giữa các cổ đông.</w:t>
            </w:r>
          </w:p>
          <w:p>
            <w:pPr>
              <w:pStyle w:val="Normal"/>
              <w:spacing w:lineRule="auto" w:line="240" w:before="0" w:after="0"/>
              <w:ind w:hanging="0" w:start="0"/>
              <w:jc w:val="start"/>
              <w:rPr/>
            </w:pPr>
            <w:r>
              <w:rPr>
                <w:rFonts w:eastAsia="Times New Roman" w:cs="Times New Roman"/>
                <w:b w:val="false"/>
                <w:sz w:val="26"/>
              </w:rPr>
              <w:t>- Hợp đồng cung cấp dịch vụ thanh toán.</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12</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Vương Thu Thủy</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26A4062567</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hợp tác khuyến mại.</w:t>
            </w:r>
          </w:p>
          <w:p>
            <w:pPr>
              <w:pStyle w:val="Normal"/>
              <w:spacing w:lineRule="auto" w:line="240" w:before="0" w:after="0"/>
              <w:ind w:hanging="0" w:start="0"/>
              <w:jc w:val="start"/>
              <w:rPr/>
            </w:pPr>
            <w:r>
              <w:rPr>
                <w:rFonts w:eastAsia="Times New Roman" w:cs="Times New Roman"/>
                <w:b w:val="false"/>
                <w:sz w:val="26"/>
              </w:rPr>
              <w:t>- Chính sách bảo vệ dữ liệu cá nhân.</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bl>
    <w:p>
      <w:pPr>
        <w:pStyle w:val="Normal"/>
        <w:keepNext w:val="true"/>
        <w:spacing w:before="120" w:after="120"/>
        <w:ind w:hanging="0" w:start="0"/>
        <w:jc w:val="start"/>
        <w:rPr>
          <w:rFonts w:ascii="Times New Roman" w:hAnsi="Times New Roman" w:eastAsia="Times New Roman" w:cs="Times New Roman"/>
          <w:b/>
          <w:sz w:val="26"/>
        </w:rPr>
      </w:pPr>
      <w:r>
        <w:rPr>
          <w:rFonts w:eastAsia="Times New Roman" w:cs="Times New Roman"/>
          <w:b/>
          <w:sz w:val="26"/>
        </w:rPr>
      </w:r>
    </w:p>
    <w:p>
      <w:pPr>
        <w:pStyle w:val="Normal"/>
        <w:spacing w:before="120" w:after="120"/>
        <w:ind w:hanging="0" w:start="0"/>
        <w:jc w:val="start"/>
        <w:rPr>
          <w:rFonts w:ascii="Times New Roman" w:hAnsi="Times New Roman" w:eastAsia="Times New Roman" w:cs="Times New Roman"/>
          <w:b/>
          <w:sz w:val="26"/>
        </w:rPr>
      </w:pPr>
      <w:r>
        <w:rPr>
          <w:rFonts w:eastAsia="Times New Roman" w:cs="Times New Roman"/>
          <w:b/>
          <w:sz w:val="26"/>
        </w:rPr>
        <w:t>V. Kết luận.</w:t>
      </w:r>
    </w:p>
    <w:p>
      <w:pPr>
        <w:pStyle w:val="Normal"/>
        <w:spacing w:lineRule="auto" w:line="360" w:before="0" w:after="120"/>
        <w:ind w:firstLine="567"/>
        <w:jc w:val="both"/>
        <w:rPr/>
      </w:pPr>
      <w:r>
        <w:rPr>
          <w:rFonts w:eastAsia="Times New Roman" w:cs="Times New Roman"/>
          <w:b w:val="false"/>
          <w:sz w:val="26"/>
        </w:rPr>
        <w:t>Cuộc họp kết thúc lúc 11 giờ 30 phút cùng ngày. Các thành viên đã thống nhất về nội dung công việc đã thực hiện và mức điểm đóng góp được ghi nhận trong biên bản này.</w:t>
      </w:r>
    </w:p>
    <w:p>
      <w:pPr>
        <w:pStyle w:val="Normal"/>
        <w:keepLines/>
        <w:spacing w:before="240" w:after="120"/>
        <w:jc w:val="end"/>
        <w:r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567" w:top="1134" w:footer="567" w:bottom="1134"/>
          <w:pgNumType w:fmt="decimal"/>
          <w:formProt w:val="false"/>
          <w:textDirection w:val="lrTb"/>
          <w:docGrid w:type="default" w:linePitch="360" w:charSpace="0"/>
        </w:sectPr>
      </w:pPr>
      <w:r>
        <w:rPr>
          <w:rFonts w:eastAsia="Times New Roman" w:cs="Times New Roman"/>
          <w:b/>
          <w:sz w:val="26"/>
        </w:rPr>
        <w:t>NHÓM TRƯỞNG</w:t>
      </w:r>
      <w:r>
        <w:rPr/>
        <w:br/>
      </w:r>
      <w:r>
        <w:rPr>
          <w:rFonts w:eastAsia="Times New Roman" w:cs="Times New Roman"/>
          <w:i/>
          <w:sz w:val="26"/>
        </w:rPr>
        <w:t>(Ký, ghi rõ họ tên)</w:t>
      </w:r>
    </w:p>
    <w:p>
      <w:pPr>
        <w:pStyle w:val="Heading1"/>
        <w:spacing w:before="0" w:after="240"/>
        <w:ind w:hanging="0"/>
        <w:jc w:val="center"/>
        <w:rPr/>
      </w:pPr>
      <w:r>
        <w:rPr>
          <w:rFonts w:eastAsia="Times New Roman" w:cs="Times New Roman" w:ascii="Times New Roman" w:hAnsi="Times New Roman"/>
          <w:b/>
          <w:color w:val="000000"/>
          <w:sz w:val="26"/>
        </w:rPr>
        <w:t>MỤC LỤC</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1. TƯ VẤN XÁC ĐỊNH MÔ HÌNH FINTECH.</w:t>
      </w:r>
      <w:r>
        <w:rPr/>
        <w:tab/>
      </w:r>
      <w:r>
        <w:rPr>
          <w:rFonts w:eastAsia="Times New Roman" w:cs="Times New Roman"/>
          <w:b/>
          <w:sz w:val="26"/>
        </w:rPr>
        <w:t>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1.1. Giới thiệu dịch vụ.</w:t>
      </w:r>
      <w:r>
        <w:rPr/>
        <w:tab/>
      </w:r>
      <w:r>
        <w:rPr>
          <w:rFonts w:eastAsia="Times New Roman" w:cs="Times New Roman"/>
          <w:b w:val="false"/>
          <w:sz w:val="26"/>
        </w:rPr>
        <w:t>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1.2. Nội dung dịch vụ.</w:t>
      </w:r>
      <w:r>
        <w:rPr/>
        <w:tab/>
      </w:r>
      <w:r>
        <w:rPr>
          <w:rFonts w:eastAsia="Times New Roman" w:cs="Times New Roman"/>
          <w:b w:val="false"/>
          <w:sz w:val="26"/>
        </w:rPr>
        <w:t>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1.3. Phạm vi dịch vụ.</w:t>
      </w:r>
      <w:r>
        <w:rPr/>
        <w:tab/>
      </w:r>
      <w:r>
        <w:rPr>
          <w:rFonts w:eastAsia="Times New Roman" w:cs="Times New Roman"/>
          <w:b w:val="false"/>
          <w:sz w:val="26"/>
        </w:rPr>
        <w:t>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1.4. Mục đích dịch vụ.</w:t>
      </w:r>
      <w:r>
        <w:rPr/>
        <w:tab/>
      </w:r>
      <w:r>
        <w:rPr>
          <w:rFonts w:eastAsia="Times New Roman" w:cs="Times New Roman"/>
          <w:b w:val="false"/>
          <w:sz w:val="26"/>
        </w:rPr>
        <w:t>4</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2. TƯ VẤN THÀNH LẬP DOANH NGHIỆP.</w:t>
      </w:r>
      <w:r>
        <w:rPr/>
        <w:tab/>
      </w:r>
      <w:r>
        <w:rPr>
          <w:rFonts w:eastAsia="Times New Roman" w:cs="Times New Roman"/>
          <w:b/>
          <w:sz w:val="26"/>
        </w:rPr>
        <w:t>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2.1. Dịch vụ tư vấn thành lập công ty cổ phần.</w:t>
      </w:r>
      <w:r>
        <w:rPr/>
        <w:tab/>
      </w:r>
      <w:r>
        <w:rPr>
          <w:rFonts w:eastAsia="Times New Roman" w:cs="Times New Roman"/>
          <w:b w:val="false"/>
          <w:sz w:val="26"/>
        </w:rPr>
        <w:t>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2.2. Điều lệ công ty (*).</w:t>
      </w:r>
      <w:r>
        <w:rPr/>
        <w:tab/>
      </w:r>
      <w:r>
        <w:rPr>
          <w:rFonts w:eastAsia="Times New Roman" w:cs="Times New Roman"/>
          <w:b w:val="false"/>
          <w:sz w:val="26"/>
        </w:rPr>
        <w:t>9</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3. TƯ VẤN XÂY DỰNG CƠ SỞ PHÁP LÝ CHO HOẠT ĐỘNG NỘI BỘ.</w:t>
      </w:r>
      <w:r>
        <w:rPr/>
        <w:tab/>
      </w:r>
      <w:r>
        <w:rPr>
          <w:rFonts w:eastAsia="Times New Roman" w:cs="Times New Roman"/>
          <w:b/>
          <w:sz w:val="26"/>
        </w:rPr>
        <w:t>12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3.1. Tư vấn tổ chức và tiến hành Đại hội đồng cổ đông.</w:t>
      </w:r>
      <w:r>
        <w:rPr/>
        <w:tab/>
      </w:r>
      <w:r>
        <w:rPr>
          <w:rFonts w:eastAsia="Times New Roman" w:cs="Times New Roman"/>
          <w:b w:val="false"/>
          <w:sz w:val="26"/>
        </w:rPr>
        <w:t>12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3.2. Hợp đồng lao động (*).</w:t>
      </w:r>
      <w:r>
        <w:rPr/>
        <w:tab/>
      </w:r>
      <w:r>
        <w:rPr>
          <w:rFonts w:eastAsia="Times New Roman" w:cs="Times New Roman"/>
          <w:b w:val="false"/>
          <w:sz w:val="26"/>
        </w:rPr>
        <w:t>14</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3.3. Hợp đồng bảo mật thông tin (*).</w:t>
      </w:r>
      <w:r>
        <w:rPr/>
        <w:tab/>
      </w:r>
      <w:r>
        <w:rPr>
          <w:rFonts w:eastAsia="Times New Roman" w:cs="Times New Roman"/>
          <w:b w:val="false"/>
          <w:sz w:val="26"/>
        </w:rPr>
        <w:t>16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3.4. Thỏa thuận sở hữu trí tuệ.</w:t>
      </w:r>
      <w:r>
        <w:rPr/>
        <w:tab/>
      </w:r>
      <w:r>
        <w:rPr>
          <w:rFonts w:eastAsia="Times New Roman" w:cs="Times New Roman"/>
          <w:b w:val="false"/>
          <w:sz w:val="26"/>
        </w:rPr>
        <w:t>18</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3.5. Hợp đồng với Giám đốc hoặc Tổng giám đốc.</w:t>
      </w:r>
      <w:r>
        <w:rPr/>
        <w:tab/>
      </w:r>
      <w:r>
        <w:rPr>
          <w:rFonts w:eastAsia="Times New Roman" w:cs="Times New Roman"/>
          <w:b w:val="false"/>
          <w:sz w:val="26"/>
        </w:rPr>
        <w:t>21</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3.6. Thỏa thuận giữa các cổ đông.</w:t>
      </w:r>
      <w:r>
        <w:rPr/>
        <w:tab/>
      </w:r>
      <w:r>
        <w:rPr>
          <w:rFonts w:eastAsia="Times New Roman" w:cs="Times New Roman"/>
          <w:b w:val="false"/>
          <w:sz w:val="26"/>
        </w:rPr>
        <w:t>24</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4. TƯ VẤN PHÁP LÝ PHỤC VỤ HOẠT ĐỘNG KINH DOANH.</w:t>
      </w:r>
      <w:r>
        <w:rPr/>
        <w:tab/>
      </w:r>
      <w:r>
        <w:rPr>
          <w:rFonts w:eastAsia="Times New Roman" w:cs="Times New Roman"/>
          <w:b/>
          <w:sz w:val="26"/>
        </w:rPr>
        <w:t>29</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4.1. Hợp đồng mở và sử dụng ví điện tử (*).</w:t>
      </w:r>
      <w:r>
        <w:rPr/>
        <w:tab/>
      </w:r>
      <w:r>
        <w:rPr>
          <w:rFonts w:eastAsia="Times New Roman" w:cs="Times New Roman"/>
          <w:b w:val="false"/>
          <w:sz w:val="26"/>
        </w:rPr>
        <w:t>29</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4.2. Hợp đồng thuê ngoài dịch vụ công nghệ thông tin.</w:t>
      </w:r>
      <w:r>
        <w:rPr/>
        <w:tab/>
      </w:r>
      <w:r>
        <w:rPr>
          <w:rFonts w:eastAsia="Times New Roman" w:cs="Times New Roman"/>
          <w:b w:val="false"/>
          <w:sz w:val="26"/>
        </w:rPr>
        <w:t>33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4.3. Hợp đồng hợp tác khuyến mại.</w:t>
      </w:r>
      <w:r>
        <w:rPr/>
        <w:tab/>
      </w:r>
      <w:r>
        <w:rPr>
          <w:rFonts w:eastAsia="Times New Roman" w:cs="Times New Roman"/>
          <w:b w:val="false"/>
          <w:sz w:val="26"/>
        </w:rPr>
        <w:t>38</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4.4. Hợp đồng hợp tác kinh doanh.</w:t>
      </w:r>
      <w:r>
        <w:rPr/>
        <w:tab/>
      </w:r>
      <w:r>
        <w:rPr>
          <w:rFonts w:eastAsia="Times New Roman" w:cs="Times New Roman"/>
          <w:b w:val="false"/>
          <w:sz w:val="26"/>
        </w:rPr>
        <w:t>40</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4.5. Hợp đồng kết nối và mở tài khoản bảo đảm thanh toán (*).</w:t>
      </w:r>
      <w:r>
        <w:rPr/>
        <w:tab/>
      </w:r>
      <w:r>
        <w:rPr>
          <w:rFonts w:eastAsia="Times New Roman" w:cs="Times New Roman"/>
          <w:b w:val="false"/>
          <w:sz w:val="26"/>
        </w:rPr>
        <w:t>42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4.6. Hợp đồng cung cấp dịch vụ thanh toán bằng ví điện tử.</w:t>
      </w:r>
      <w:r>
        <w:rPr/>
        <w:tab/>
      </w:r>
      <w:r>
        <w:rPr>
          <w:rFonts w:eastAsia="Times New Roman" w:cs="Times New Roman"/>
          <w:b w:val="false"/>
          <w:sz w:val="26"/>
        </w:rPr>
        <w:t>47</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4.7. Hợp đồng với đơn vị chấp nhận thanh toán (*).</w:t>
      </w:r>
      <w:r>
        <w:rPr/>
        <w:tab/>
      </w:r>
      <w:r>
        <w:rPr>
          <w:rFonts w:eastAsia="Times New Roman" w:cs="Times New Roman"/>
          <w:b w:val="false"/>
          <w:sz w:val="26"/>
        </w:rPr>
        <w:t>52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4.8. Hợp đồng cung cấp dịch vụ tích hợp API ví điện tử.</w:t>
      </w:r>
      <w:r>
        <w:rPr/>
        <w:tab/>
      </w:r>
      <w:r>
        <w:rPr>
          <w:rFonts w:eastAsia="Times New Roman" w:cs="Times New Roman"/>
          <w:b w:val="false"/>
          <w:sz w:val="26"/>
        </w:rPr>
        <w:t>56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4.9. Hợp đồng sử dụng dịch vụ ví điện tử liên kết ngân hàng (*).</w:t>
      </w:r>
      <w:r>
        <w:rPr/>
        <w:tab/>
      </w:r>
      <w:r>
        <w:rPr>
          <w:rFonts w:eastAsia="Times New Roman" w:cs="Times New Roman"/>
          <w:b w:val="false"/>
          <w:sz w:val="26"/>
        </w:rPr>
        <w:t>63</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5. TƯ VẤN TUÂN THỦ VÀ QUẢN TRỊ RỦI RO PHÁP LÝ.</w:t>
      </w:r>
      <w:r>
        <w:rPr/>
        <w:tab/>
      </w:r>
      <w:r>
        <w:rPr>
          <w:rFonts w:eastAsia="Times New Roman" w:cs="Times New Roman"/>
          <w:b/>
          <w:sz w:val="26"/>
        </w:rPr>
        <w:t>66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5.1. Chính sách bảo vệ dữ liệu cá nhân (*).</w:t>
      </w:r>
      <w:r>
        <w:rPr/>
        <w:tab/>
      </w:r>
      <w:r>
        <w:rPr>
          <w:rFonts w:eastAsia="Times New Roman" w:cs="Times New Roman"/>
          <w:b w:val="false"/>
          <w:sz w:val="26"/>
        </w:rPr>
        <w:t>66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5.2. Quy trình xử lý khiếu nại và tra soát (*).</w:t>
      </w:r>
      <w:r>
        <w:rPr/>
        <w:tab/>
      </w:r>
      <w:r>
        <w:rPr>
          <w:rFonts w:eastAsia="Times New Roman" w:cs="Times New Roman"/>
          <w:b w:val="false"/>
          <w:sz w:val="26"/>
        </w:rPr>
        <w:t>68</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5.3. Dịch vụ cập nhật pháp lý định kỳ.</w:t>
      </w:r>
      <w:r>
        <w:rPr/>
        <w:tab/>
      </w:r>
      <w:r>
        <w:rPr>
          <w:rFonts w:eastAsia="Times New Roman" w:cs="Times New Roman"/>
          <w:b w:val="false"/>
          <w:sz w:val="26"/>
        </w:rPr>
        <w:t>70</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6. TƯ VẤN XỬ LÝ CÁC VẤN ĐỀ PHÁT SINH.</w:t>
      </w:r>
      <w:r>
        <w:rPr/>
        <w:tab/>
      </w:r>
      <w:r>
        <w:rPr>
          <w:rFonts w:eastAsia="Times New Roman" w:cs="Times New Roman"/>
          <w:b/>
          <w:sz w:val="26"/>
        </w:rPr>
        <w:t>73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6.1. Giới thiệu dịch vụ.</w:t>
      </w:r>
      <w:r>
        <w:rPr/>
        <w:tab/>
      </w:r>
      <w:r>
        <w:rPr>
          <w:rFonts w:eastAsia="Times New Roman" w:cs="Times New Roman"/>
          <w:b w:val="false"/>
          <w:sz w:val="26"/>
        </w:rPr>
        <w:t>73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6.2. Nội dung dịch vụ.</w:t>
      </w:r>
      <w:r>
        <w:rPr/>
        <w:tab/>
      </w:r>
      <w:r>
        <w:rPr>
          <w:rFonts w:eastAsia="Times New Roman" w:cs="Times New Roman"/>
          <w:b w:val="false"/>
          <w:sz w:val="26"/>
        </w:rPr>
        <w:t>73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6.3. Phạm vi dịch vụ.</w:t>
      </w:r>
      <w:r>
        <w:rPr/>
        <w:tab/>
      </w:r>
      <w:r>
        <w:rPr>
          <w:rFonts w:eastAsia="Times New Roman" w:cs="Times New Roman"/>
          <w:b w:val="false"/>
          <w:sz w:val="26"/>
        </w:rPr>
        <w:t>74</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6.4. Mục đích dịch vụ.</w:t>
      </w:r>
      <w:r>
        <w:rPr/>
        <w:tab/>
      </w:r>
      <w:r>
        <w:rPr>
          <w:rFonts w:eastAsia="Times New Roman" w:cs="Times New Roman"/>
          <w:b w:val="false"/>
          <w:sz w:val="26"/>
        </w:rPr>
        <w:t>74</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7. HAI SẢN PHẨM DEMO.</w:t>
      </w:r>
      <w:r>
        <w:rPr/>
        <w:tab/>
      </w:r>
      <w:r>
        <w:rPr>
          <w:rFonts w:eastAsia="Times New Roman" w:cs="Times New Roman"/>
          <w:b/>
          <w:sz w:val="26"/>
        </w:rPr>
        <w:t>76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7.1. Demo Điều lệ công ty cổ phần cung ứng dịch vụ ví điện tử.</w:t>
      </w:r>
      <w:r>
        <w:rPr/>
        <w:tab/>
      </w:r>
      <w:r>
        <w:rPr>
          <w:rFonts w:eastAsia="Times New Roman" w:cs="Times New Roman"/>
          <w:b w:val="false"/>
          <w:sz w:val="26"/>
        </w:rPr>
        <w:t>76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7.2. Demo Hợp đồng mở và sử dụng ví điện tử.</w:t>
      </w:r>
      <w:r>
        <w:rPr/>
        <w:tab/>
      </w:r>
      <w:r>
        <w:rPr>
          <w:rFonts w:eastAsia="Times New Roman" w:cs="Times New Roman"/>
          <w:b w:val="false"/>
          <w:sz w:val="26"/>
        </w:rPr>
        <w:t>76</w:t>
      </w:r>
    </w:p>
    <w:p>
      <w:pPr>
        <w:pStyle w:val="TOC1"/>
        <w:tabs>
          <w:tab w:val="clear" w:pos="720"/>
          <w:tab w:val="right" w:pos="8844" w:leader="dot"/>
        </w:tabs>
        <w:spacing w:lineRule="auto" w:line="240" w:before="0" w:after="0"/>
        <w:ind w:hanging="0" w:start="0" w:end="0"/>
        <w:rPr/>
      </w:pPr>
      <w:r>
        <w:rPr>
          <w:rFonts w:eastAsia="Times New Roman" w:cs="Times New Roman"/>
          <w:b/>
          <w:sz w:val="26"/>
        </w:rPr>
        <w:t>KẾT LUẬN VÀ KIẾN NGHỊ.</w:t>
      </w:r>
      <w:r>
        <w:rPr/>
        <w:tab/>
      </w:r>
      <w:r>
        <w:rPr>
          <w:rFonts w:eastAsia="Times New Roman" w:cs="Times New Roman"/>
          <w:b/>
          <w:sz w:val="26"/>
        </w:rPr>
        <w:t>77</w:t>
      </w:r>
    </w:p>
    <w:p>
      <w:pPr>
        <w:pStyle w:val="TOC1"/>
        <w:tabs>
          <w:tab w:val="clear" w:pos="720"/>
          <w:tab w:val="right" w:pos="8844" w:leader="dot"/>
        </w:tabs>
        <w:spacing w:lineRule="auto" w:line="240" w:before="0" w:after="0"/>
        <w:ind w:hanging="0" w:start="0" w:end="0"/>
        <w:rPr/>
      </w:pPr>
      <w:r>
        <w:rPr>
          <w:rFonts w:eastAsia="Times New Roman" w:cs="Times New Roman"/>
          <w:b/>
          <w:sz w:val="26"/>
        </w:rPr>
        <w:t>DANH MỤC CĂN CỨ PHÁP LÝ CẬP NHẬT.</w:t>
      </w:r>
      <w:r>
        <w:rPr/>
        <w:tab/>
      </w:r>
      <w:r>
        <w:rPr>
          <w:rFonts w:eastAsia="Times New Roman" w:cs="Times New Roman"/>
          <w:b/>
          <w:sz w:val="26"/>
        </w:rPr>
        <w:t>77</w:t>
      </w:r>
    </w:p>
    <w:p>
      <w:pPr>
        <w:pStyle w:val="Normal"/>
        <w:spacing w:before="0" w:after="0"/>
        <w:ind w:hanging="0"/>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1. TƯ VẤN XÁC ĐỊNH MÔ HÌNH FINTECH.</w:t>
      </w:r>
    </w:p>
    <w:p>
      <w:pPr>
        <w:pStyle w:val="Normal"/>
        <w:spacing w:lineRule="auto" w:line="312" w:before="0" w:after="120"/>
        <w:ind w:firstLine="567"/>
        <w:jc w:val="both"/>
        <w:rPr/>
      </w:pPr>
      <w:r>
        <w:rPr>
          <w:rFonts w:eastAsia="Times New Roman" w:cs="Times New Roman"/>
          <w:color w:val="000000"/>
          <w:sz w:val="26"/>
        </w:rPr>
        <w:t>Về dịch vụ Tư vấn pháp lý thường xuyên (Nhánh thẩm định sản phẩm mới)</w:t>
      </w:r>
    </w:p>
    <w:p>
      <w:pPr>
        <w:pStyle w:val="Heading2"/>
        <w:keepNext w:val="true"/>
        <w:spacing w:before="120" w:after="100"/>
        <w:rPr/>
      </w:pPr>
      <w:r>
        <w:rPr>
          <w:rFonts w:eastAsia="Times New Roman" w:cs="Times New Roman" w:ascii="Times New Roman" w:hAnsi="Times New Roman"/>
          <w:b/>
          <w:color w:val="000000"/>
          <w:sz w:val="26"/>
        </w:rPr>
        <w:t>1.1. Giới thiệu dịch vụ.</w:t>
      </w:r>
    </w:p>
    <w:p>
      <w:pPr>
        <w:pStyle w:val="Normal"/>
        <w:spacing w:lineRule="auto" w:line="312" w:before="0" w:after="120"/>
        <w:ind w:firstLine="567"/>
        <w:jc w:val="both"/>
        <w:rPr/>
      </w:pPr>
      <w:r>
        <w:rPr>
          <w:rFonts w:eastAsia="Times New Roman" w:cs="Times New Roman"/>
          <w:color w:val="000000"/>
          <w:sz w:val="26"/>
        </w:rPr>
        <w:t>Công ty Luật TNHH Thịnh Vượng cung cấp dịch vụ tư vấn pháp lý thường xuyên cho doanh nghiệp trong suốt quá trình xây dựng, thẩm định và ra mắt sản phẩm ví điện tử (e-wallet). Trong quá trình vận hành, doanh nghiệp không chỉ cần luật sư khi đã có tranh chấp, bị thanh tra, bị đối tác chậm thanh toán hoặc phát sinh khiếu nại lao động. Ví điện tử là sản phẩm trung gian thanh toán chịu sự quản lý chặt chẽ của Ngân hàng Nhà nước (NHNN) và nhiều quy định pháp luật liên ngành về thanh toán, phòng, chống rửa tiền và bảo vệ dữ liệu cá nhân, nên đòi hỏi hoạt động tư vấn có chuyên môn sâu và được cập nhật liên tục. Vì vậy, chúng tôi đóng vai trò là đầu mối pháp lý đồng hành định kỳ, nắm hồ sơ, theo sát giao dịch và hỗ trợ ban lãnh đạo kiểm soát rủi ro trong quá trình kinh doanh.</w:t>
      </w:r>
    </w:p>
    <w:p>
      <w:pPr>
        <w:pStyle w:val="Heading2"/>
        <w:keepNext w:val="true"/>
        <w:spacing w:before="120" w:after="100"/>
        <w:rPr/>
      </w:pPr>
      <w:r>
        <w:rPr>
          <w:rFonts w:eastAsia="Times New Roman" w:cs="Times New Roman" w:ascii="Times New Roman" w:hAnsi="Times New Roman"/>
          <w:b/>
          <w:color w:val="000000"/>
          <w:sz w:val="26"/>
        </w:rPr>
        <w:t>1.2. Nội dung dịch vụ.</w:t>
      </w:r>
    </w:p>
    <w:p>
      <w:pPr>
        <w:pStyle w:val="Normal"/>
        <w:spacing w:lineRule="auto" w:line="312" w:before="0" w:after="120"/>
        <w:ind w:hanging="0" w:start="0"/>
        <w:jc w:val="both"/>
        <w:rPr/>
      </w:pPr>
      <w:r>
        <w:rPr>
          <w:rFonts w:eastAsia="Times New Roman" w:cs="Times New Roman"/>
          <w:color w:val="000000"/>
          <w:sz w:val="26"/>
        </w:rPr>
        <w:t>Bước 1: Chuẩn bị thông tin, hồ sơ về sản phẩm dự kiến ra mắt</w:t>
      </w:r>
    </w:p>
    <w:p>
      <w:pPr>
        <w:pStyle w:val="Normal"/>
        <w:spacing w:lineRule="auto" w:line="312" w:before="0" w:after="120"/>
        <w:ind w:hanging="0" w:start="0"/>
        <w:jc w:val="both"/>
        <w:rPr/>
      </w:pPr>
      <w:r>
        <w:rPr>
          <w:rFonts w:eastAsia="Times New Roman" w:cs="Times New Roman"/>
          <w:color w:val="000000"/>
          <w:sz w:val="26"/>
        </w:rPr>
        <w:t>Bước 2: Rà soát tư cách pháp lý và điều kiện cung ứng dịch vụ của doanh nghiệp</w:t>
      </w:r>
    </w:p>
    <w:p>
      <w:pPr>
        <w:pStyle w:val="Normal"/>
        <w:spacing w:lineRule="auto" w:line="312" w:before="0" w:after="120"/>
        <w:ind w:hanging="0" w:start="0"/>
        <w:jc w:val="both"/>
        <w:rPr/>
      </w:pPr>
      <w:r>
        <w:rPr>
          <w:rFonts w:eastAsia="Times New Roman" w:cs="Times New Roman"/>
          <w:color w:val="000000"/>
          <w:sz w:val="26"/>
        </w:rPr>
        <w:t>Bước 3: Thẩm định nội dung, tính năng sản phẩm đối chiếu với quy định pháp luật</w:t>
      </w:r>
    </w:p>
    <w:p>
      <w:pPr>
        <w:pStyle w:val="Normal"/>
        <w:spacing w:lineRule="auto" w:line="312" w:before="0" w:after="120"/>
        <w:ind w:hanging="0" w:start="0"/>
        <w:jc w:val="both"/>
        <w:rPr/>
      </w:pPr>
      <w:r>
        <w:rPr>
          <w:rFonts w:eastAsia="Times New Roman" w:cs="Times New Roman"/>
          <w:color w:val="000000"/>
          <w:sz w:val="26"/>
        </w:rPr>
        <w:t>Bước 4: Hoàn thiện hồ sơ và trình cấp có thẩm quyền phê duyệt</w:t>
      </w:r>
    </w:p>
    <w:p>
      <w:pPr>
        <w:pStyle w:val="Normal"/>
        <w:spacing w:lineRule="auto" w:line="312" w:before="0" w:after="120"/>
        <w:ind w:firstLine="567"/>
        <w:jc w:val="both"/>
        <w:rPr/>
      </w:pPr>
      <w:r>
        <w:rPr>
          <w:rFonts w:eastAsia="Times New Roman" w:cs="Times New Roman"/>
          <w:color w:val="000000"/>
          <w:sz w:val="26"/>
        </w:rPr>
        <w:t>Chúng tôi sẽ tiếp nhận thông tin về ý tưởng, mô hình vận hành và các tính năng của sản phẩm ví điện tử bao gồm: nạp/rút tiền, liên kết ngân hàng, thanh toán, chuyển tiền, thu hộ - chi hộ, hạn mức giao dịch,… để xác định sản phẩm có thuộc phạm vi điều chỉnh của pháp luật hay không, căn cứ theo khoản 16 Điều 3 Nghị định 52/2024/NĐ-CP. Trên cơ sở đó, tiến hành kiểm tra tư cách chủ thể của doanh nghiệp: doanh nghiệp đã được Ngân hàng Nhà nước cấp Giấy phép hoạt động cung ứng dịch vụ trung gian thanh toán hay chưa, hoặc nếu sản phẩm ví điện tử làm phát sinh dịch vụ trung gian thanh toán chưa nằm trong phạm vi Giấy phép hiện có thì cần thực hiện thủ tục xin sửa đổi, bổ sung Giấy phép.</w:t>
      </w:r>
    </w:p>
    <w:p>
      <w:pPr>
        <w:pStyle w:val="Normal"/>
        <w:spacing w:lineRule="auto" w:line="312" w:before="0" w:after="120"/>
        <w:ind w:firstLine="567"/>
        <w:jc w:val="both"/>
        <w:rPr/>
      </w:pPr>
      <w:r>
        <w:rPr>
          <w:rFonts w:eastAsia="Times New Roman" w:cs="Times New Roman"/>
          <w:color w:val="000000"/>
          <w:sz w:val="26"/>
        </w:rPr>
        <w:t>Đồng thời, thẩm định các điều kiện về pháp nhân, hệ thống kỹ thuật và giải pháp an toàn thông tin theo khoản 2 Điều 22 Nghị định 52/2024/NĐ-CP, bao gồm việc kiểm tra giấy phép thành lập/giấy chứng nhận đăng ký doanh nghiệp, tình trạng pháp lý của doanh nghiệp (không đang chia tách, hợp nhất, giải thể, phá sản), cũng như bản thuyết minh giải pháp kỹ thuật có đáp ứng yêu cầu an toàn hệ thống thông tin cấp độ 3 hay không. Đối với sản phẩm ví điện tử phục vụ khách hàng có tài khoản tại nhiều ngân hàng, rà soát thêm điều kiện liên kết với tổ chức cung ứng dịch vụ chuyển mạch tài chính và bù trừ điện tử đã được cấp phép, cũng như biên bản nghiệm thu kỹ thuật với ngân hàng hợp tác theo mẫu quy định.</w:t>
      </w:r>
    </w:p>
    <w:p>
      <w:pPr>
        <w:pStyle w:val="Normal"/>
        <w:spacing w:lineRule="auto" w:line="312" w:before="0" w:after="120"/>
        <w:ind w:firstLine="567"/>
        <w:jc w:val="both"/>
        <w:rPr/>
      </w:pPr>
      <w:r>
        <w:rPr>
          <w:rFonts w:eastAsia="Times New Roman" w:cs="Times New Roman"/>
          <w:color w:val="000000"/>
          <w:sz w:val="26"/>
        </w:rPr>
        <w:t>Rà soát nội dung, cơ chế vận hành của sản phẩm mới nhằm đảm bảo không rơi vào các hành vi bị nghiêm cấm theo Điều 8 Nghị định 52/2024/NĐ-CP, chẳng hạn như: cơ chế định danh khách hàng có nguy cơ dẫn đến việc mở hoặc duy trì ví điện tử nặc danh, mạo danh; tính năng cho phép chuyển nhượng/cho thuê/cho mượn ví điện tử; hoặc việc triển khai dịch vụ trung gian thanh toán khi chưa được cấp phép hợp lệ.</w:t>
      </w:r>
    </w:p>
    <w:p>
      <w:pPr>
        <w:pStyle w:val="Normal"/>
        <w:spacing w:lineRule="auto" w:line="312" w:before="0" w:after="120"/>
        <w:ind w:firstLine="567"/>
        <w:jc w:val="both"/>
        <w:rPr/>
      </w:pPr>
      <w:r>
        <w:rPr>
          <w:rFonts w:eastAsia="Times New Roman" w:cs="Times New Roman"/>
          <w:color w:val="000000"/>
          <w:sz w:val="26"/>
        </w:rPr>
        <w:t>Hỗ trợ doanh nghiệp trong việc xác định thời điểm và điều kiện được phép chính thức triển khai sản phẩm ra thị trường: về thời hạn triển khai tối đa 6 tháng kể từ ngày được cấp Giấy phép để tránh doanh nghiệp bị động, gián đoạn kế hoạch kinh doanh nếu không đáp ứng kịp tiến độ; về việc hệ thống kỹ thuật phải hoàn tất triển khai và đáp ứng đầy đủ điều kiện luật định trước khi được phép cung ứng dịch vụ ra thị trường, để tránh nguy cơ bị xử phạt do đưa sản phẩm vận hành khi chưa đủ điều kiện; về nghĩa vụ chuẩn bị đầy đủ hồ sơ, tài liệu chứng minh (bản thuyết minh kỹ thuật, biên bản nghiệm thu,…) để tránh phát sinh tranh chấp hoặc bị từ chối hồ sơ khi làm việc với Ngân hàng Nhà nước.</w:t>
      </w:r>
    </w:p>
    <w:p>
      <w:pPr>
        <w:pStyle w:val="Normal"/>
        <w:spacing w:lineRule="auto" w:line="312" w:before="0" w:after="120"/>
        <w:ind w:firstLine="567"/>
        <w:jc w:val="both"/>
        <w:rPr/>
      </w:pPr>
      <w:r>
        <w:rPr>
          <w:rFonts w:eastAsia="Times New Roman" w:cs="Times New Roman"/>
          <w:color w:val="000000"/>
          <w:sz w:val="26"/>
        </w:rPr>
        <w:t>Căn cứ vào khoản 2 Điều 22 và Điều 8 Nghị định 52/2024/NĐ-CP để xác định điều kiện cấp phép và giới hạn hành vi của doanh nghiệp trong quá trình thẩm định, triển khai sản phẩm ví điện tử mới.</w:t>
      </w:r>
    </w:p>
    <w:p>
      <w:pPr>
        <w:pStyle w:val="Heading2"/>
        <w:keepNext w:val="true"/>
        <w:spacing w:before="120" w:after="100"/>
        <w:rPr/>
      </w:pPr>
      <w:r>
        <w:rPr>
          <w:rFonts w:eastAsia="Times New Roman" w:cs="Times New Roman" w:ascii="Times New Roman" w:hAnsi="Times New Roman"/>
          <w:b/>
          <w:color w:val="000000"/>
          <w:sz w:val="26"/>
        </w:rPr>
        <w:t>1.3. Phạm vi dịch vụ.</w:t>
      </w:r>
    </w:p>
    <w:p>
      <w:pPr>
        <w:pStyle w:val="Normal"/>
        <w:spacing w:lineRule="auto" w:line="312" w:before="0" w:after="120"/>
        <w:ind w:firstLine="567"/>
        <w:jc w:val="both"/>
        <w:rPr/>
      </w:pPr>
      <w:r>
        <w:rPr>
          <w:rFonts w:eastAsia="Times New Roman" w:cs="Times New Roman"/>
          <w:color w:val="000000"/>
          <w:sz w:val="26"/>
        </w:rPr>
        <w:t>Hồ sơ thẩm định sản phẩm ví điện tử mới, ngoài các tài liệu thuyết minh cụ thể về mô hình vận hành và tính năng sản phẩm, thì phải đảm bảo đầy đủ các thành phần hồ sơ tối thiểu theo quy định tại khoản 2 Điều 22 Nghị định 52/2024/NĐ-CP, bao gồm giấy phép thành lập/giấy chứng nhận đăng ký doanh nghiệp, bản thuyết minh giải pháp kỹ thuật và các tài liệu chứng minh điều kiện an toàn hệ thống thông tin.</w:t>
      </w:r>
    </w:p>
    <w:p>
      <w:pPr>
        <w:pStyle w:val="Normal"/>
        <w:spacing w:lineRule="auto" w:line="312" w:before="0" w:after="120"/>
        <w:ind w:firstLine="567"/>
        <w:jc w:val="both"/>
        <w:rPr/>
      </w:pPr>
      <w:r>
        <w:rPr>
          <w:rFonts w:eastAsia="Times New Roman" w:cs="Times New Roman"/>
          <w:color w:val="000000"/>
          <w:sz w:val="26"/>
        </w:rPr>
        <w:t>Phạm vi dịch vụ cũng bao trùm việc thẩm định điều kiện liên kết hệ thống đối với các sản phẩm ví điện tử phục vụ khách hàng có tài khoản tại nhiều ngân hàng, cụ thể là kiểm tra tổ chức có được một đơn vị cung ứng dịch vụ chuyển mạch tài chính và bù trừ điện tử đã được Ngân hàng Nhà nước cấp phép hỗ trợ xử lý chuyển mạch giao dịch và bù trừ nghĩa vụ phát sinh hay không, cùng với biên bản nghiệm thu kỹ thuật đã ký với ngân hàng hợp tác theo mẫu quy định. Giai đoạn triển khai dịch vụ tư vấn thường xuyên sẽ diễn ra: từ ý tưởng sản phẩm → xây dựng hồ sơ xin phép/thẩm định nội bộ → làm việc với cơ quan quản lý → giám sát tuân thủ sau khi ra mắt.</w:t>
      </w:r>
    </w:p>
    <w:p>
      <w:pPr>
        <w:pStyle w:val="Normal"/>
        <w:spacing w:lineRule="auto" w:line="312" w:before="0" w:after="120"/>
        <w:ind w:firstLine="567"/>
        <w:jc w:val="both"/>
        <w:rPr/>
      </w:pPr>
      <w:r>
        <w:rPr>
          <w:rFonts w:eastAsia="Times New Roman" w:cs="Times New Roman"/>
          <w:color w:val="000000"/>
          <w:sz w:val="26"/>
        </w:rPr>
        <w:t>Về đối tượng áp dụng, phạm vi dịch vụ bao gồm mọi sản phẩm ví điện tử mới hoặc tính năng thay đổi lớn phát sinh trong thời hạn hợp đồng tư vấn (mở rộng hạn mức giao dịch, bổ sung hình thức liên kết ngân hàng, thêm chức năng thanh toán, hỗ trợ thu hộ – chi hộ mới,…), không giới hạn theo từng lần ra mắt sản phẩm riêng lẻ. Về thời điểm áp dụng, phạm vi tư vấn kéo dài xuyên suốt từ khi hình thành ý tưởng sản phẩm đến khi hoàn tất thẩm định nội bộ, chuẩn bị hồ sơ trình Ngân hàng Nhà nước, và theo dõi việc triển khai thực tế trong thời hạn tối đa 6 tháng kể từ ngày được cấp phép theo quy định.</w:t>
      </w:r>
    </w:p>
    <w:p>
      <w:pPr>
        <w:pStyle w:val="Normal"/>
        <w:spacing w:lineRule="auto" w:line="312" w:before="0" w:after="120"/>
        <w:ind w:firstLine="567"/>
        <w:jc w:val="both"/>
        <w:rPr/>
      </w:pPr>
      <w:r>
        <w:rPr>
          <w:rFonts w:eastAsia="Times New Roman" w:cs="Times New Roman"/>
          <w:color w:val="000000"/>
          <w:sz w:val="26"/>
        </w:rPr>
        <w:t>Phạm vi dịch vụ không bao gồm việc đại diện doanh nghiệp chịu trách nhiệm pháp lý trước Ngân hàng Nhà nước, không thẩm định sâu về mã nguồn hay hạ tầng kỹ thuật (chỉ đánh giá khía cạnh tuân thủ pháp lý của các yếu tố kỹ thuật theo luật định), và không bao gồm tư vấn thuế, kế toán chuyên sâu trừ khi có thỏa thuận riêng.</w:t>
      </w:r>
    </w:p>
    <w:p>
      <w:pPr>
        <w:pStyle w:val="Heading2"/>
        <w:keepNext w:val="true"/>
        <w:spacing w:before="120" w:after="100"/>
        <w:rPr/>
      </w:pPr>
      <w:r>
        <w:rPr>
          <w:rFonts w:eastAsia="Times New Roman" w:cs="Times New Roman" w:ascii="Times New Roman" w:hAnsi="Times New Roman"/>
          <w:b/>
          <w:color w:val="000000"/>
          <w:sz w:val="26"/>
        </w:rPr>
        <w:t>1.4. Mục đích dịch vụ.</w:t>
      </w:r>
    </w:p>
    <w:p>
      <w:pPr>
        <w:pStyle w:val="Normal"/>
        <w:spacing w:lineRule="auto" w:line="312" w:before="0" w:after="120"/>
        <w:ind w:firstLine="567"/>
        <w:jc w:val="both"/>
        <w:rPr/>
      </w:pPr>
      <w:r>
        <w:rPr>
          <w:rFonts w:eastAsia="Times New Roman" w:cs="Times New Roman"/>
          <w:color w:val="000000"/>
          <w:sz w:val="26"/>
        </w:rPr>
        <w:t>Thứ nhất, dịch vụ giúp doanh nghiệp tránh rủi ro bị từ chối cấp phép hoặc bị xử phạt do sản phẩm ví không tuân thủ quy định về trung gian thanh toán. Bởi việc cung ứng dịch vụ ví điện tử khi chưa được Ngân hàng Nhà nước cấp Giấy phép hoạt động cung ứng dịch vụ trung gian thanh toán là hành vi bị nghiêm cấm theo Điều 8 Nghị định 52/2024/NĐ-CP; đồng thời, hồ sơ đề nghị cấp phép phải đáp ứng đầy đủ các điều kiện về pháp nhân và hệ thống kỹ thuật theo khoản 2 Điều 22 Nghị định 52/2024/NĐ-CP. Việc được tư vấn rà soát trước giúp doanh nghiệp phát hiện sớm các thiếu sót trong hồ sơ, tránh bị NHNN từ chối hoặc yêu cầu bổ sung nhiều lần, kéo dài thời gian phê duyệt.</w:t>
      </w:r>
    </w:p>
    <w:p>
      <w:pPr>
        <w:pStyle w:val="Normal"/>
        <w:spacing w:lineRule="auto" w:line="312" w:before="0" w:after="120"/>
        <w:ind w:firstLine="567"/>
        <w:jc w:val="both"/>
        <w:rPr/>
      </w:pPr>
      <w:r>
        <w:rPr>
          <w:rFonts w:eastAsia="Times New Roman" w:cs="Times New Roman"/>
          <w:color w:val="000000"/>
          <w:sz w:val="26"/>
        </w:rPr>
        <w:t>Thứ hai, giảm thời gian ra mắt sản phẩm (time-to-market) nhờ chúng tôi nắm rõ hồ sơ và lịch sử làm việc với NHNN trong các lần thẩm định trước. Điều này đặc biệt có ý nghĩa khi pháp luật quy định thời hạn tối đa 06 tháng kể từ ngày được cấp Giấy phép để chính thức đưa dịch vụ ra thị trường; nếu doanh nghiệp không chuẩn bị kịp hệ thống kỹ thuật đáp ứng điều kiện tại điểm đ khoản 2 Điều 22 Nghị định 52/2024/NĐ-CP trong thời hạn này, có thể mất cơ hội kinh doanh hoặc phải thực hiện lại thủ tục.</w:t>
      </w:r>
    </w:p>
    <w:p>
      <w:pPr>
        <w:pStyle w:val="Normal"/>
        <w:spacing w:lineRule="auto" w:line="312" w:before="0" w:after="120"/>
        <w:ind w:firstLine="567"/>
        <w:jc w:val="both"/>
        <w:rPr/>
      </w:pPr>
      <w:r>
        <w:rPr>
          <w:rFonts w:eastAsia="Times New Roman" w:cs="Times New Roman"/>
          <w:color w:val="000000"/>
          <w:sz w:val="26"/>
        </w:rPr>
        <w:t>Thứ ba, kiểm soát rủi ro rửa tiền và gian lận tài chính - vấn đề đặc biệt nhạy cảm đối với ví điện tử do liên quan trực tiếp đến dòng tiền của người dùng. Việc tư vấn thường xuyên giúp doanh nghiệp thiết kế cơ chế định danh khách hàng (KYC) và giám sát giao dịch phù hợp, tránh rơi vào các hành vi bị cấm theo Điều 8 Nghị định 52/2024/NĐ-CP như mở hoặc duy trì ví điện tử nặc danh, mạo danh, hay để xảy ra tình trạng mua bán, cho thuê, cho mượn ví điện tử,… những hành vi thường bị lợi dụng để rửa tiền hoặc gian lận tài chính qua kênh thanh toán điện tử.</w:t>
      </w:r>
    </w:p>
    <w:p>
      <w:pPr>
        <w:pStyle w:val="Normal"/>
        <w:spacing w:lineRule="auto" w:line="312" w:before="0" w:after="120"/>
        <w:ind w:firstLine="567"/>
        <w:jc w:val="both"/>
        <w:rPr/>
      </w:pPr>
      <w:r>
        <w:rPr>
          <w:rFonts w:eastAsia="Times New Roman" w:cs="Times New Roman"/>
          <w:color w:val="000000"/>
          <w:sz w:val="26"/>
        </w:rPr>
        <w:t>Thứ tư, hỗ trợ đội ngũ pháp chế/tuân thủ nội bộ của doanh nghiệp vốn thường có nguồn lực mỏng, xử lý khối lượng công việc thẩm định lớn khi công ty phát triển sản phẩm liên tục. Với tính chất của một mô hình kinh doanh công nghệ có tốc độ đổi mới nhanh, doanh nghiệp thường khó bố trí đủ nhân sự pháp lý chuyên sâu về từng khía cạnh (giấy phép, an toàn thông tin, phòng chống rửa tiền,…) cho mọi sản phẩm mới; chúng tôi đóng vai trò như bộ phận pháp chế mở rộng, giúp san sẻ áp lực này.</w:t>
      </w:r>
    </w:p>
    <w:p>
      <w:pPr>
        <w:pStyle w:val="Normal"/>
        <w:spacing w:lineRule="auto" w:line="312" w:before="0" w:after="120"/>
        <w:ind w:firstLine="567"/>
        <w:jc w:val="both"/>
        <w:rPr/>
      </w:pPr>
      <w:r>
        <w:rPr>
          <w:rFonts w:eastAsia="Times New Roman" w:cs="Times New Roman"/>
          <w:color w:val="000000"/>
          <w:sz w:val="26"/>
        </w:rPr>
        <w:t>Thứ năm, tạo niềm tin với cơ quan quản lý (NHNN) và đối tác ngân hàng liên kết, nhờ hồ sơ tuân thủ nhất quán qua từng lần thẩm định và có tư vấn chuyên môn đồng hành lâu dài. Một doanh nghiệp có lịch sử hồ sơ minh bạch, tuân thủ đầy đủ điều kiện tại khoản 2 Điều 22 Nghị định 52/2024/NĐ-CP qua nhiều lần xin cấp/sửa đổi Giấy phép sẽ được cơ quan quản lý và ngân hàng hợp tác đánh giá cao về mức độ tín nhiệm. Từ đó thuận lợi hơn trong các lần mở rộng hợp tác hoặc xin cấp phép cho sản phẩm mới sau này.</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2. TƯ VẤN THÀNH LẬP DOANH NGHIỆP.</w:t>
      </w:r>
    </w:p>
    <w:p>
      <w:pPr>
        <w:pStyle w:val="Heading2"/>
        <w:keepNext w:val="true"/>
        <w:spacing w:before="120" w:after="100"/>
        <w:rPr/>
      </w:pPr>
      <w:r>
        <w:rPr>
          <w:rFonts w:eastAsia="Times New Roman" w:cs="Times New Roman" w:ascii="Times New Roman" w:hAnsi="Times New Roman"/>
          <w:b/>
          <w:color w:val="000000"/>
          <w:sz w:val="26"/>
        </w:rPr>
        <w:t>2.1. Dịch vụ tư vấn thành lập công ty cổ phần.</w:t>
      </w:r>
    </w:p>
    <w:p>
      <w:pPr>
        <w:pStyle w:val="Heading3"/>
        <w:keepNext w:val="true"/>
        <w:spacing w:before="120" w:after="100"/>
        <w:rPr/>
      </w:pPr>
      <w:r>
        <w:rPr>
          <w:rFonts w:eastAsia="Times New Roman" w:cs="Times New Roman" w:ascii="Times New Roman" w:hAnsi="Times New Roman"/>
          <w:b/>
          <w:color w:val="000000"/>
          <w:sz w:val="26"/>
        </w:rPr>
        <w:t>2.1.1. Giới thiệu dịch vụ.</w:t>
      </w:r>
    </w:p>
    <w:p>
      <w:pPr>
        <w:pStyle w:val="Normal"/>
        <w:spacing w:lineRule="auto" w:line="312" w:before="0" w:after="120"/>
        <w:ind w:firstLine="567"/>
        <w:jc w:val="both"/>
        <w:rPr/>
      </w:pPr>
      <w:r>
        <w:rPr>
          <w:rFonts w:eastAsia="Times New Roman" w:cs="Times New Roman"/>
          <w:color w:val="000000"/>
          <w:sz w:val="26"/>
        </w:rPr>
        <w:t>Trên cơ sở thông tin được cung cấp, doanh nghiệp dự kiến được thành lập bởi 05 nhà đầu tư trong nước, có vốn điều lệ dự kiến từ 50 đến 200 tỷ đồng, đặt trụ sở chính tại Việt Nam và hoạt động trên phạm vi toàn quốc. Doanh nghiệp dự kiến tuyển dụng từ 15 đến 30 người lao động trong năm đầu tiên và có định hướng huy động thêm vốn hoặc hợp tác với nhà đầu tư nước ngoài trong tương lai.</w:t>
      </w:r>
    </w:p>
    <w:p>
      <w:pPr>
        <w:pStyle w:val="Normal"/>
        <w:spacing w:lineRule="auto" w:line="312" w:before="0" w:after="120"/>
        <w:ind w:firstLine="567"/>
        <w:jc w:val="both"/>
        <w:rPr/>
      </w:pPr>
      <w:r>
        <w:rPr>
          <w:rFonts w:eastAsia="Times New Roman" w:cs="Times New Roman"/>
          <w:color w:val="000000"/>
          <w:sz w:val="26"/>
        </w:rPr>
        <w:t>Trên cơ sở các đặc điểm trên, đề xuất khách hàng lựa chọn công ty cổ phần làm loại hình doanh nghiệp.</w:t>
      </w:r>
    </w:p>
    <w:p>
      <w:pPr>
        <w:pStyle w:val="Normal"/>
        <w:spacing w:lineRule="auto" w:line="312" w:before="0" w:after="120"/>
        <w:ind w:firstLine="567"/>
        <w:jc w:val="both"/>
        <w:rPr/>
      </w:pPr>
      <w:r>
        <w:rPr>
          <w:rFonts w:eastAsia="Times New Roman" w:cs="Times New Roman"/>
          <w:color w:val="000000"/>
          <w:sz w:val="26"/>
        </w:rPr>
        <w:t>Việc lựa chọn công ty cổ phần được xem xét dựa trên số lượng nhà đầu tư, quy mô vốn dự kiến và định hướng phát triển của doanh nghiệp. Công ty cổ phần phù hợp với trường hợp có nhiều nhà đầu tư cùng góp vốn và tạo điều kiện thuận lợi cho việc tiếp nhận thêm nhà đầu tư, thay đổi cơ cấu sở hữu và huy động vốn trong quá trình phát triển.</w:t>
      </w:r>
    </w:p>
    <w:p>
      <w:pPr>
        <w:pStyle w:val="Normal"/>
        <w:spacing w:lineRule="auto" w:line="312" w:before="0" w:after="120"/>
        <w:ind w:firstLine="567"/>
        <w:jc w:val="both"/>
        <w:rPr/>
      </w:pPr>
      <w:r>
        <w:rPr>
          <w:rFonts w:eastAsia="Times New Roman" w:cs="Times New Roman"/>
          <w:color w:val="000000"/>
          <w:sz w:val="26"/>
        </w:rPr>
        <w:t>Dịch vụ này tập trung vào việc thiết lập tư cách pháp lý của doanh nghiệp, từ việc lựa chọn loại hình và các thông tin đăng ký cơ bản đến việc chuẩn bị, nộp và hoàn tất thủ tục đăng ký doanh nghiệp.</w:t>
      </w:r>
    </w:p>
    <w:p>
      <w:pPr>
        <w:pStyle w:val="Heading3"/>
        <w:keepNext w:val="true"/>
        <w:spacing w:before="120" w:after="100"/>
        <w:rPr/>
      </w:pPr>
      <w:r>
        <w:rPr>
          <w:rFonts w:eastAsia="Times New Roman" w:cs="Times New Roman" w:ascii="Times New Roman" w:hAnsi="Times New Roman"/>
          <w:b/>
          <w:color w:val="000000"/>
          <w:sz w:val="26"/>
        </w:rPr>
        <w:t>2.1.2. Nội dung dịch vụ.</w:t>
      </w:r>
    </w:p>
    <w:p>
      <w:pPr>
        <w:pStyle w:val="Normal"/>
        <w:spacing w:lineRule="auto" w:line="312" w:before="0" w:after="120"/>
        <w:ind w:hanging="0" w:start="0"/>
        <w:jc w:val="both"/>
        <w:rPr/>
      </w:pPr>
      <w:r>
        <w:rPr>
          <w:rFonts w:eastAsia="Times New Roman" w:cs="Times New Roman"/>
          <w:color w:val="000000"/>
          <w:sz w:val="26"/>
        </w:rPr>
        <w:t>- Thứ nhất, tư vấn lựa chọn loại hình doanh nghiệp. Tiến hành phân tích các loại hình doanh nghiệp có thể được lựa chọn theo quy định pháp luật và căn cứ vào đặc điểm, nhu cầu của khách hàng để đưa ra phương án phù hợp. Đối với dự án kinh doanh ví điện tử, chúng tôi đề xuất thành lập công ty cổ phần được quy định tại Điều 111 Luật Doanh nghiệp 2020, được sửa đổi, bổ sung năm 2025.</w:t>
      </w:r>
    </w:p>
    <w:p>
      <w:pPr>
        <w:pStyle w:val="Normal"/>
        <w:spacing w:lineRule="auto" w:line="312" w:before="0" w:after="120"/>
        <w:ind w:hanging="0" w:start="0"/>
        <w:jc w:val="both"/>
        <w:rPr/>
      </w:pPr>
      <w:r>
        <w:rPr>
          <w:rFonts w:eastAsia="Times New Roman" w:cs="Times New Roman"/>
          <w:color w:val="000000"/>
          <w:sz w:val="26"/>
        </w:rPr>
        <w:t>- Thứ hai, tư vấn cơ cấu cổ đông sáng lập. Tư vấn các vấn đề cần thiết để xác lập cơ cấu cổ đông ban đầu của doanh nghiệp, bao gồm:</w:t>
      </w:r>
    </w:p>
    <w:p>
      <w:pPr>
        <w:pStyle w:val="Normal"/>
        <w:numPr>
          <w:ilvl w:val="0"/>
          <w:numId w:val="0"/>
        </w:numPr>
        <w:spacing w:lineRule="auto" w:line="312" w:before="0" w:after="120"/>
        <w:ind w:hanging="0" w:start="0"/>
        <w:jc w:val="both"/>
        <w:rPr/>
      </w:pPr>
      <w:r>
        <w:rPr>
          <w:rFonts w:eastAsia="Times New Roman" w:cs="Times New Roman"/>
          <w:color w:val="000000"/>
          <w:sz w:val="26"/>
        </w:rPr>
        <w:t>+ Xác định số cổ đông sáng lập</w:t>
      </w:r>
    </w:p>
    <w:p>
      <w:pPr>
        <w:pStyle w:val="Normal"/>
        <w:numPr>
          <w:ilvl w:val="0"/>
          <w:numId w:val="0"/>
        </w:numPr>
        <w:spacing w:lineRule="auto" w:line="312" w:before="0" w:after="120"/>
        <w:ind w:hanging="0" w:start="0"/>
        <w:jc w:val="both"/>
        <w:rPr/>
      </w:pPr>
      <w:r>
        <w:rPr>
          <w:rFonts w:eastAsia="Times New Roman" w:cs="Times New Roman"/>
          <w:color w:val="000000"/>
          <w:sz w:val="26"/>
        </w:rPr>
        <w:t>+ Xác định số lượng cổ phần mỗi cổ đông đăng ký mua</w:t>
      </w:r>
    </w:p>
    <w:p>
      <w:pPr>
        <w:pStyle w:val="Normal"/>
        <w:spacing w:lineRule="auto" w:line="312" w:before="0" w:after="120"/>
        <w:ind w:hanging="0" w:start="0"/>
        <w:jc w:val="both"/>
        <w:rPr>
          <w:rFonts w:ascii="Times New Roman" w:hAnsi="Times New Roman" w:eastAsia="Times New Roman" w:cs="Times New Roman"/>
          <w:color w:val="000000"/>
          <w:sz w:val="26"/>
        </w:rPr>
      </w:pPr>
      <w:r>
        <w:rPr>
          <w:rFonts w:eastAsia="Times New Roman" w:cs="Times New Roman"/>
          <w:color w:val="000000"/>
          <w:sz w:val="26"/>
        </w:rPr>
        <w:t>+ Xác định tỷ lệ sở hữu tương ứng với phần vốn góp</w:t>
      </w:r>
    </w:p>
    <w:p>
      <w:pPr>
        <w:pStyle w:val="Normal"/>
        <w:spacing w:lineRule="auto" w:line="312" w:before="0" w:after="120"/>
        <w:ind w:hanging="0" w:start="0"/>
        <w:jc w:val="both"/>
        <w:rPr/>
      </w:pPr>
      <w:r>
        <w:rPr>
          <w:rFonts w:eastAsia="Times New Roman" w:cs="Times New Roman"/>
          <w:color w:val="000000"/>
          <w:sz w:val="26"/>
        </w:rPr>
        <w:t>+ Xác định loại cổ phần đăng ký</w:t>
      </w:r>
    </w:p>
    <w:p>
      <w:pPr>
        <w:pStyle w:val="Normal"/>
        <w:spacing w:lineRule="auto" w:line="312" w:before="0" w:after="120"/>
        <w:ind w:hanging="0" w:start="0"/>
        <w:jc w:val="both"/>
        <w:rPr/>
      </w:pPr>
      <w:r>
        <w:rPr>
          <w:rFonts w:eastAsia="Times New Roman" w:cs="Times New Roman"/>
          <w:color w:val="000000"/>
          <w:sz w:val="26"/>
        </w:rPr>
        <w:t>+ Xác định phần vốn góp của từng cổ đông</w:t>
      </w:r>
    </w:p>
    <w:p>
      <w:pPr>
        <w:pStyle w:val="Normal"/>
        <w:spacing w:lineRule="auto" w:line="312" w:before="0" w:after="120"/>
        <w:ind w:hanging="0" w:start="0"/>
        <w:jc w:val="both"/>
        <w:rPr/>
      </w:pPr>
      <w:r>
        <w:rPr>
          <w:rFonts w:eastAsia="Times New Roman" w:cs="Times New Roman"/>
          <w:color w:val="000000"/>
          <w:sz w:val="26"/>
        </w:rPr>
        <w:t>+ Tư vấn phương thức và thời hạn góp vốn theo quy định pháp luật</w:t>
      </w:r>
    </w:p>
    <w:p>
      <w:pPr>
        <w:pStyle w:val="Normal"/>
        <w:spacing w:lineRule="auto" w:line="312" w:before="0" w:after="120"/>
        <w:ind w:hanging="0" w:start="0"/>
        <w:jc w:val="both"/>
        <w:rPr/>
      </w:pPr>
      <w:r>
        <w:rPr>
          <w:rFonts w:eastAsia="Times New Roman" w:cs="Times New Roman"/>
          <w:color w:val="000000"/>
          <w:sz w:val="26"/>
        </w:rPr>
        <w:t>- Thứ ba, tư vấn vốn điều lệ. Đối với dự án, khách hàng dự kiến vốn điều lệ từ 50 đến 200 tỷ đồng. Từ đó tư vấn lựa chọn mức vốn cụ thể dựa trên:</w:t>
      </w:r>
    </w:p>
    <w:p>
      <w:pPr>
        <w:pStyle w:val="Normal"/>
        <w:spacing w:lineRule="auto" w:line="312" w:before="0" w:after="120"/>
        <w:ind w:hanging="0" w:start="0"/>
        <w:jc w:val="both"/>
        <w:rPr>
          <w:b w:val="false"/>
          <w:bCs w:val="false"/>
        </w:rPr>
      </w:pPr>
      <w:r>
        <w:rPr>
          <w:rFonts w:eastAsia="Times New Roman" w:cs="Times New Roman"/>
          <w:color w:val="000000"/>
          <w:sz w:val="26"/>
        </w:rPr>
        <w:t>+ Nhu cầu vốn để triển khai hoạt động kinh doanh</w:t>
      </w:r>
    </w:p>
    <w:p>
      <w:pPr>
        <w:pStyle w:val="Normal"/>
        <w:spacing w:lineRule="auto" w:line="312" w:before="0" w:after="120"/>
        <w:ind w:hanging="0" w:start="0"/>
        <w:jc w:val="both"/>
        <w:rPr>
          <w:b w:val="false"/>
          <w:bCs w:val="false"/>
        </w:rPr>
      </w:pPr>
      <w:r>
        <w:rPr>
          <w:rFonts w:eastAsia="Times New Roman" w:cs="Times New Roman"/>
          <w:color w:val="000000"/>
          <w:sz w:val="26"/>
        </w:rPr>
        <w:t>+ Khả năng góp vốn thực tế của các cổ đông</w:t>
      </w:r>
    </w:p>
    <w:p>
      <w:pPr>
        <w:pStyle w:val="Normal"/>
        <w:spacing w:lineRule="auto" w:line="312" w:before="0" w:after="120"/>
        <w:ind w:hanging="0" w:start="0"/>
        <w:jc w:val="both"/>
        <w:rPr>
          <w:b w:val="false"/>
          <w:bCs w:val="false"/>
        </w:rPr>
      </w:pPr>
      <w:r>
        <w:rPr>
          <w:rFonts w:eastAsia="Times New Roman" w:cs="Times New Roman"/>
          <w:color w:val="000000"/>
          <w:sz w:val="26"/>
        </w:rPr>
        <w:t>+ Quy mô hoạt động dự kiến</w:t>
      </w:r>
    </w:p>
    <w:p>
      <w:pPr>
        <w:pStyle w:val="Normal"/>
        <w:spacing w:lineRule="auto" w:line="312" w:before="0" w:after="120"/>
        <w:ind w:hanging="0" w:start="0"/>
        <w:jc w:val="both"/>
        <w:rPr>
          <w:b w:val="false"/>
          <w:bCs w:val="false"/>
        </w:rPr>
      </w:pPr>
      <w:r>
        <w:rPr>
          <w:rFonts w:eastAsia="Times New Roman" w:cs="Times New Roman"/>
          <w:color w:val="000000"/>
          <w:sz w:val="26"/>
        </w:rPr>
        <w:t>+ Các yêu cầu pháp lý liên quan đến hoạt động cung ứng dịch vụ ví điện tử</w:t>
      </w:r>
    </w:p>
    <w:p>
      <w:pPr>
        <w:pStyle w:val="Normal"/>
        <w:spacing w:lineRule="auto" w:line="312" w:before="0" w:after="120"/>
        <w:ind w:hanging="0" w:start="0"/>
        <w:jc w:val="both"/>
        <w:rPr>
          <w:b w:val="false"/>
          <w:bCs w:val="false"/>
        </w:rPr>
      </w:pPr>
      <w:r>
        <w:rPr>
          <w:rFonts w:eastAsia="Times New Roman" w:cs="Times New Roman"/>
          <w:color w:val="000000"/>
          <w:sz w:val="26"/>
        </w:rPr>
        <w:t>+ Kế hoạch huy động vốn và mở rộng doanh nghiệp trong tương lai</w:t>
      </w:r>
    </w:p>
    <w:p>
      <w:pPr>
        <w:pStyle w:val="Normal"/>
        <w:spacing w:lineRule="auto" w:line="312" w:before="0" w:after="120"/>
        <w:ind w:hanging="0" w:start="0"/>
        <w:jc w:val="both"/>
        <w:rPr/>
      </w:pPr>
      <w:r>
        <w:rPr>
          <w:rFonts w:eastAsia="Times New Roman" w:cs="Times New Roman"/>
          <w:color w:val="000000"/>
          <w:sz w:val="26"/>
        </w:rPr>
        <w:t>- Thứ tư, tư vấn tên doanh nghiệp và trụ sở chính. Hỗ trợ khách hàng lựa chọn tên doanh nghiệp phù hợp với quy định pháp luật, đồng thời kiểm tra khả năng sử dụng tên dự kiến trước khi chuẩn bị hồ sơ đăng ký. Đối với trụ sở chính, tư vấn về yêu cầu pháp lý đối với địa chỉ trụ sở và rà soát thông tin địa điểm do khách hàng cung cấp nhằm hạn chế rủi ro trong quá trình đăng ký doanh nghiệp.</w:t>
      </w:r>
    </w:p>
    <w:p>
      <w:pPr>
        <w:pStyle w:val="Normal"/>
        <w:spacing w:lineRule="auto" w:line="312" w:before="0" w:after="120"/>
        <w:ind w:hanging="0" w:start="0"/>
        <w:jc w:val="both"/>
        <w:rPr/>
      </w:pPr>
      <w:r>
        <w:rPr>
          <w:rFonts w:eastAsia="Times New Roman" w:cs="Times New Roman"/>
          <w:color w:val="000000"/>
          <w:sz w:val="26"/>
        </w:rPr>
        <w:t>- Thứ năm, tư vấn ngành, nghề kinh doanh. Xác định và tư vấn các ngành, nghề kinh doanh phù hợp với hoạt động mà doanh nghiệp dự kiến triển khai. Trên cơ sở mô hình kinh doanh dịch vụ ví điện tử, rà soát các hoạt động dự kiến của doanh nghiệp như:</w:t>
      </w:r>
    </w:p>
    <w:p>
      <w:pPr>
        <w:pStyle w:val="Normal"/>
        <w:spacing w:lineRule="auto" w:line="312" w:before="0" w:after="120"/>
        <w:ind w:hanging="0" w:start="0"/>
        <w:jc w:val="both"/>
        <w:rPr/>
      </w:pPr>
      <w:r>
        <w:rPr>
          <w:rFonts w:eastAsia="Times New Roman" w:cs="Times New Roman"/>
          <w:color w:val="000000"/>
          <w:sz w:val="26"/>
        </w:rPr>
        <w:t>+ Cung ứng dịch vụ ví điện tử</w:t>
      </w:r>
    </w:p>
    <w:p>
      <w:pPr>
        <w:pStyle w:val="Normal"/>
        <w:spacing w:lineRule="auto" w:line="312" w:before="0" w:after="120"/>
        <w:ind w:hanging="0" w:start="0"/>
        <w:jc w:val="both"/>
        <w:rPr/>
      </w:pPr>
      <w:r>
        <w:rPr>
          <w:rFonts w:eastAsia="Times New Roman" w:cs="Times New Roman"/>
          <w:color w:val="000000"/>
          <w:sz w:val="26"/>
        </w:rPr>
        <w:t>+ Thanh toán điện tử</w:t>
      </w:r>
    </w:p>
    <w:p>
      <w:pPr>
        <w:pStyle w:val="Normal"/>
        <w:spacing w:lineRule="auto" w:line="312" w:before="0" w:after="120"/>
        <w:ind w:hanging="0" w:start="0"/>
        <w:jc w:val="both"/>
        <w:rPr/>
      </w:pPr>
      <w:r>
        <w:rPr>
          <w:rFonts w:eastAsia="Times New Roman" w:cs="Times New Roman"/>
          <w:color w:val="000000"/>
          <w:sz w:val="26"/>
        </w:rPr>
        <w:t>+ Phát triển và vận hành nền tảng công nghệ</w:t>
      </w:r>
    </w:p>
    <w:p>
      <w:pPr>
        <w:pStyle w:val="Normal"/>
        <w:spacing w:lineRule="auto" w:line="312" w:before="0" w:after="120"/>
        <w:ind w:hanging="0" w:start="0"/>
        <w:jc w:val="both"/>
        <w:rPr/>
      </w:pPr>
      <w:r>
        <w:rPr>
          <w:rFonts w:eastAsia="Times New Roman" w:cs="Times New Roman"/>
          <w:color w:val="000000"/>
          <w:sz w:val="26"/>
        </w:rPr>
        <w:t>+ Cung cấp các dịch vụ hỗ trợ liên quan đến hệ thống thanh toán trong phạm vi pháp luật cho phép</w:t>
      </w:r>
    </w:p>
    <w:p>
      <w:pPr>
        <w:pStyle w:val="Normal"/>
        <w:spacing w:lineRule="auto" w:line="312" w:before="0" w:after="120"/>
        <w:ind w:firstLine="567"/>
        <w:jc w:val="both"/>
        <w:rPr/>
      </w:pPr>
      <w:r>
        <w:rPr>
          <w:rFonts w:eastAsia="Times New Roman" w:cs="Times New Roman"/>
          <w:color w:val="000000"/>
          <w:sz w:val="26"/>
        </w:rPr>
        <w:t>Đối với hoạt động ví điện tử, tư vấn cho khách hàng về việc đăng ký doanh nghiệp chỉ là bước xác lập tư cách pháp lý của công ty và không đồng nghĩa với việc doanh nghiệp đương nhiên được cung ứng dịch vụ ví điện tử. Doanh nghiệp phải tiếp tục đáp ứng các điều kiện và thực hiện thủ tục pháp lý cần thiết đối với hoạt động cung ứng dịch vụ trung gian thanh toán theo quy định pháp luật chuyên ngành.</w:t>
      </w:r>
    </w:p>
    <w:p>
      <w:pPr>
        <w:pStyle w:val="Normal"/>
        <w:spacing w:lineRule="auto" w:line="312" w:before="0" w:after="120"/>
        <w:ind w:hanging="0" w:start="0"/>
        <w:jc w:val="both"/>
        <w:rPr/>
      </w:pPr>
      <w:r>
        <w:rPr>
          <w:rFonts w:eastAsia="Times New Roman" w:cs="Times New Roman"/>
          <w:color w:val="000000"/>
          <w:sz w:val="26"/>
        </w:rPr>
        <w:t>- Thứ sáu, chuẩn bị và hoàn thiện hồ sơ đăng ký doanh nghiệp. Sau khi thống nhất các thông tin cơ bản, chuẩn bị hồ sơ đăng ký thành lập công ty cổ phần theo quy định pháp luật. Công việc bao gồm:</w:t>
      </w:r>
    </w:p>
    <w:p>
      <w:pPr>
        <w:pStyle w:val="Normal"/>
        <w:spacing w:lineRule="auto" w:line="312" w:before="0" w:after="120"/>
        <w:ind w:hanging="0" w:start="0"/>
        <w:jc w:val="both"/>
        <w:rPr>
          <w:b w:val="false"/>
          <w:bCs w:val="false"/>
        </w:rPr>
      </w:pPr>
      <w:r>
        <w:rPr>
          <w:rFonts w:eastAsia="Times New Roman" w:cs="Times New Roman"/>
          <w:color w:val="000000"/>
          <w:sz w:val="26"/>
        </w:rPr>
        <w:t>+ Soạn thảo giấy đề nghị đăng ký doanh nghiệp</w:t>
      </w:r>
    </w:p>
    <w:p>
      <w:pPr>
        <w:pStyle w:val="Normal"/>
        <w:numPr>
          <w:ilvl w:val="0"/>
          <w:numId w:val="0"/>
        </w:numPr>
        <w:spacing w:lineRule="auto" w:line="312" w:before="0" w:after="120"/>
        <w:ind w:hanging="0" w:start="0"/>
        <w:jc w:val="both"/>
        <w:rPr/>
      </w:pPr>
      <w:r>
        <w:rPr>
          <w:rFonts w:eastAsia="Times New Roman" w:cs="Times New Roman"/>
          <w:color w:val="000000"/>
          <w:sz w:val="26"/>
        </w:rPr>
        <w:t>+ Chuẩn bị danh sách cổ đông sáng lập</w:t>
      </w:r>
    </w:p>
    <w:p>
      <w:pPr>
        <w:pStyle w:val="Normal"/>
        <w:spacing w:lineRule="auto" w:line="312" w:before="0" w:after="120"/>
        <w:ind w:hanging="0" w:start="0"/>
        <w:jc w:val="both"/>
        <w:rPr/>
      </w:pPr>
      <w:r>
        <w:rPr>
          <w:rFonts w:eastAsia="Times New Roman" w:cs="Times New Roman"/>
          <w:color w:val="000000"/>
          <w:sz w:val="26"/>
        </w:rPr>
        <w:t>+ Chuẩn bị các tài liệu pháp lý của cổ đông và người có liên quan theo yêu cầu</w:t>
      </w:r>
    </w:p>
    <w:p>
      <w:pPr>
        <w:pStyle w:val="Normal"/>
        <w:spacing w:lineRule="auto" w:line="312" w:before="0" w:after="120"/>
        <w:ind w:hanging="0" w:start="0"/>
        <w:jc w:val="both"/>
        <w:rPr/>
      </w:pPr>
      <w:r>
        <w:rPr>
          <w:rFonts w:eastAsia="Times New Roman" w:cs="Times New Roman"/>
          <w:color w:val="000000"/>
          <w:sz w:val="26"/>
        </w:rPr>
        <w:t>+ Rà soát tính thống nhất của thông tin trong hồ sơ</w:t>
      </w:r>
    </w:p>
    <w:p>
      <w:pPr>
        <w:pStyle w:val="Normal"/>
        <w:spacing w:lineRule="auto" w:line="312" w:before="0" w:after="120"/>
        <w:ind w:hanging="0" w:start="0"/>
        <w:jc w:val="both"/>
        <w:rPr/>
      </w:pPr>
      <w:r>
        <w:rPr>
          <w:rFonts w:eastAsia="Times New Roman" w:cs="Times New Roman"/>
          <w:color w:val="000000"/>
          <w:sz w:val="26"/>
        </w:rPr>
        <w:t>+ Hướng dẫn khách hàng ký và hoàn thiện hồ sơ</w:t>
      </w:r>
    </w:p>
    <w:p>
      <w:pPr>
        <w:pStyle w:val="Normal"/>
        <w:spacing w:lineRule="auto" w:line="312" w:before="0" w:after="120"/>
        <w:ind w:hanging="0" w:start="0"/>
        <w:jc w:val="both"/>
        <w:rPr/>
      </w:pPr>
      <w:r>
        <w:rPr>
          <w:rFonts w:eastAsia="Times New Roman" w:cs="Times New Roman"/>
          <w:color w:val="000000"/>
          <w:sz w:val="26"/>
        </w:rPr>
        <w:t>+ Kiểm tra hồ sơ trước khi nộp</w:t>
      </w:r>
    </w:p>
    <w:p>
      <w:pPr>
        <w:pStyle w:val="Normal"/>
        <w:spacing w:lineRule="auto" w:line="312" w:before="0" w:after="120"/>
        <w:ind w:hanging="0" w:start="0"/>
        <w:jc w:val="both"/>
        <w:rPr/>
      </w:pPr>
      <w:r>
        <w:rPr>
          <w:rFonts w:eastAsia="Times New Roman" w:cs="Times New Roman"/>
          <w:color w:val="000000"/>
          <w:sz w:val="26"/>
        </w:rPr>
        <w:t>- Thứ bảy, thực hiện thủ tục đăng ký doanh nghiệp. Hỗ trợ khách hàng thực hiện thủ tục đăng ký thành lập doanh nghiệp với cơ quan đăng ký kinh doanh có thẩm quyền. Phạm vi công việc bao gồm:</w:t>
      </w:r>
    </w:p>
    <w:p>
      <w:pPr>
        <w:pStyle w:val="Normal"/>
        <w:spacing w:lineRule="auto" w:line="312" w:before="0" w:after="120"/>
        <w:ind w:hanging="0" w:start="0"/>
        <w:jc w:val="both"/>
        <w:rPr/>
      </w:pPr>
      <w:r>
        <w:rPr>
          <w:rFonts w:eastAsia="Times New Roman" w:cs="Times New Roman"/>
          <w:color w:val="000000"/>
          <w:sz w:val="26"/>
        </w:rPr>
        <w:t>+ Nộp hồ sơ đăng ký doanh nghiệp</w:t>
      </w:r>
    </w:p>
    <w:p>
      <w:pPr>
        <w:pStyle w:val="Normal"/>
        <w:spacing w:lineRule="auto" w:line="312" w:before="0" w:after="120"/>
        <w:ind w:hanging="0" w:start="0"/>
        <w:jc w:val="both"/>
        <w:rPr/>
      </w:pPr>
      <w:r>
        <w:rPr>
          <w:rFonts w:eastAsia="Times New Roman" w:cs="Times New Roman"/>
          <w:color w:val="000000"/>
          <w:sz w:val="26"/>
        </w:rPr>
        <w:t>+ Theo dõi tình trạng xử lý hồ sơ</w:t>
      </w:r>
    </w:p>
    <w:p>
      <w:pPr>
        <w:pStyle w:val="Normal"/>
        <w:spacing w:lineRule="auto" w:line="312" w:before="0" w:after="120"/>
        <w:ind w:hanging="0" w:start="0"/>
        <w:jc w:val="both"/>
        <w:rPr/>
      </w:pPr>
      <w:r>
        <w:rPr>
          <w:rFonts w:eastAsia="Times New Roman" w:cs="Times New Roman"/>
          <w:color w:val="000000"/>
          <w:sz w:val="26"/>
        </w:rPr>
        <w:t>+ Tiếp nhận và phản hồi yêu cầu sửa đổi, bổ sung hồ sơ nếu có</w:t>
      </w:r>
    </w:p>
    <w:p>
      <w:pPr>
        <w:pStyle w:val="Normal"/>
        <w:spacing w:lineRule="auto" w:line="312" w:before="0" w:after="120"/>
        <w:ind w:hanging="0" w:start="0"/>
        <w:jc w:val="both"/>
        <w:rPr/>
      </w:pPr>
      <w:r>
        <w:rPr>
          <w:rFonts w:eastAsia="Times New Roman" w:cs="Times New Roman"/>
          <w:color w:val="000000"/>
          <w:sz w:val="26"/>
        </w:rPr>
        <w:t>+ Hoàn thiện và nộp lại hồ sơ theo yêu cầu</w:t>
      </w:r>
    </w:p>
    <w:p>
      <w:pPr>
        <w:pStyle w:val="Normal"/>
        <w:spacing w:lineRule="auto" w:line="312" w:before="0" w:after="120"/>
        <w:ind w:hanging="0" w:start="0"/>
        <w:jc w:val="both"/>
        <w:rPr/>
      </w:pPr>
      <w:r>
        <w:rPr>
          <w:rFonts w:eastAsia="Times New Roman" w:cs="Times New Roman"/>
          <w:color w:val="000000"/>
          <w:sz w:val="26"/>
        </w:rPr>
        <w:t>- Thứ tám, hỗ trợ các công việc cơ bản sau khi thành lập. Sau khi doanh nghiệp được cấp Giấy chứng nhận đăng ký doanh nghiệp, hướng dẫn khách hàng thực hiện các công việc pháp lý cơ bản nhằm hoàn tất quá trình thành lập doanh nghiệp và chuẩn bị cho việc đưa doanh nghiệp vào hoạt động. Phạm vi hỗ trợ có thể bao gồm việc hướng dẫn công bố thông tin đăng ký doanh nghiệp, quản lý con dấu và các công việc pháp lý cơ bản khác theo quy định pháp luật.</w:t>
      </w:r>
    </w:p>
    <w:p>
      <w:pPr>
        <w:pStyle w:val="Heading3"/>
        <w:keepNext w:val="true"/>
        <w:spacing w:before="120" w:after="100"/>
        <w:rPr/>
      </w:pPr>
      <w:r>
        <w:rPr>
          <w:rFonts w:eastAsia="Times New Roman" w:cs="Times New Roman" w:ascii="Times New Roman" w:hAnsi="Times New Roman"/>
          <w:b/>
          <w:color w:val="000000"/>
          <w:sz w:val="26"/>
        </w:rPr>
        <w:t>2.1.3. Phạm vi dịch vụ.</w:t>
      </w:r>
    </w:p>
    <w:p>
      <w:pPr>
        <w:pStyle w:val="Normal"/>
        <w:spacing w:lineRule="auto" w:line="312" w:before="0" w:after="120"/>
        <w:ind w:firstLine="567"/>
        <w:jc w:val="both"/>
        <w:rPr/>
      </w:pPr>
      <w:r>
        <w:rPr>
          <w:rFonts w:eastAsia="Times New Roman" w:cs="Times New Roman"/>
          <w:color w:val="000000"/>
          <w:sz w:val="26"/>
        </w:rPr>
        <w:t>Phạm vi dịch vụ áp dụng đối với việc tư vấn thành lập công ty cổ phần cung ứng dịch vụ ví điện tử, bao gồm việc tư vấn lựa chọn loại hình doanh nghiệp, cơ cấu cổ đông sáng lập, vốn điều lệ, tên và trụ sở chính, ngành nghề kinh doanh, chuẩn bị và hoàn thiện hồ sơ đăng ký doanh nghiệp, thực hiện thủ tục đăng ký thành lập và hướng dẫn các công việc pháp lý cơ bản sau khi doanh nghiệp được thành lập.</w:t>
      </w:r>
    </w:p>
    <w:p>
      <w:pPr>
        <w:pStyle w:val="Normal"/>
        <w:spacing w:lineRule="auto" w:line="312" w:before="0" w:after="120"/>
        <w:ind w:firstLine="567"/>
        <w:jc w:val="both"/>
        <w:rPr/>
      </w:pPr>
      <w:r>
        <w:rPr>
          <w:rFonts w:eastAsia="Times New Roman" w:cs="Times New Roman"/>
          <w:color w:val="000000"/>
          <w:sz w:val="26"/>
        </w:rPr>
        <w:t>Về thời điểm áp dụng, dịch vụ được thực hiện từ thời điểm khách hàng cung cấp đầy đủ thông tin, tài liệu cần thiết cho đến khi hoàn tất các công việc thuộc phạm vi thành lập doanh nghiệp; thời gian xử lý của cơ quan nhà nước và thời gian khách hàng bổ sung hồ sơ không được tính vào thời hạn thực hiện dịch vụ.</w:t>
      </w:r>
    </w:p>
    <w:p>
      <w:pPr>
        <w:pStyle w:val="Normal"/>
        <w:spacing w:lineRule="auto" w:line="312" w:before="0" w:after="120"/>
        <w:ind w:firstLine="567"/>
        <w:jc w:val="both"/>
        <w:rPr/>
      </w:pPr>
      <w:r>
        <w:rPr>
          <w:rFonts w:eastAsia="Times New Roman" w:cs="Times New Roman"/>
          <w:color w:val="000000"/>
          <w:sz w:val="26"/>
        </w:rPr>
        <w:t>Phạm vi dịch vụ không bao gồm việc soạn thảo, tư vấn chuyên sâu về Điều lệ công ty; thực hiện thủ tục xin Giấy phép cung ứng dịch vụ trung gian thanh toán; tư vấn chuyên sâu về hệ thống kỹ thuật, an toàn thông tin và công nghệ phục vụ việc cấp phép ví điện tử; thủ tục đầu tư hoặc đăng ký góp vốn, mua cổ phần của nhà đầu tư nước ngoài; tư vấn thuế, kế toán, kiểm toán và các công việc pháp lý phục vụ quá trình vận hành doanh nghiệp, trừ trường hợp các bên có thỏa thuận riêng.</w:t>
      </w:r>
    </w:p>
    <w:p>
      <w:pPr>
        <w:pStyle w:val="Heading3"/>
        <w:keepNext w:val="true"/>
        <w:spacing w:before="120" w:after="100"/>
        <w:rPr/>
      </w:pPr>
      <w:r>
        <w:rPr>
          <w:rFonts w:eastAsia="Times New Roman" w:cs="Times New Roman" w:ascii="Times New Roman" w:hAnsi="Times New Roman"/>
          <w:b/>
          <w:color w:val="000000"/>
          <w:sz w:val="26"/>
        </w:rPr>
        <w:t>2.1.4. Mục đích dịch vụ.</w:t>
      </w:r>
    </w:p>
    <w:p>
      <w:pPr>
        <w:pStyle w:val="Normal"/>
        <w:spacing w:lineRule="auto" w:line="312" w:before="0" w:after="120"/>
        <w:ind w:firstLine="567"/>
        <w:jc w:val="both"/>
        <w:rPr/>
      </w:pPr>
      <w:r>
        <w:rPr>
          <w:rFonts w:eastAsia="Times New Roman" w:cs="Times New Roman"/>
          <w:color w:val="000000"/>
          <w:sz w:val="26"/>
        </w:rPr>
        <w:t>Dịch vụ tư vấn thành lập công ty nhằm hỗ trợ khách hàng xác lập tư cách pháp lý của doanh nghiệp một cách đầy đủ và đúng quy định, từ việc lựa chọn mô hình công ty cổ phần, xác định cơ cấu sở hữu và mức vốn điều lệ, đến việc chuẩn bị và hoàn thiện hồ sơ đăng ký doanh nghiệp. Qua đó, Công ty chúng tôi giúp hạn chế sai sót, rủi ro trong quá trình thành lập, bảo đảm doanh nghiệp được đăng ký hợp lệ và tạo nền tảng pháp lý để triển khai hoạt động kinh doanh trong tương lai.</w:t>
      </w:r>
    </w:p>
    <w:p>
      <w:pPr>
        <w:pStyle w:val="Heading2"/>
        <w:keepNext w:val="true"/>
        <w:spacing w:before="120" w:after="100"/>
        <w:rPr/>
      </w:pPr>
      <w:r>
        <w:rPr>
          <w:rFonts w:eastAsia="Times New Roman" w:cs="Times New Roman" w:ascii="Times New Roman" w:hAnsi="Times New Roman"/>
          <w:b/>
          <w:color w:val="000000"/>
          <w:sz w:val="26"/>
        </w:rPr>
        <w:t>2.2. Điều lệ công ty (*).</w:t>
      </w:r>
    </w:p>
    <w:p>
      <w:pPr>
        <w:pStyle w:val="Normal"/>
        <w:spacing w:lineRule="auto" w:line="312" w:before="0" w:after="120"/>
        <w:ind w:firstLine="567"/>
        <w:jc w:val="both"/>
        <w:rPr/>
      </w:pPr>
      <w:r>
        <w:rPr>
          <w:rFonts w:eastAsia="Times New Roman" w:cs="Times New Roman"/>
          <w:color w:val="000000"/>
          <w:sz w:val="26"/>
        </w:rPr>
        <w:t>Căn cứ vào Luật Doanh nghiệp số 59/2020/QH14, được sửa đổi, bổ sung bởi Luật số 76/2025/QH15 được Quốc hội nước Cộng hòa xã hội chủ nghĩa Việt Nam thông qua ngày 17 tháng 6 năm 2020. Luật sửa đổi, bổ sung một số điều của Luật Doanh nghiệp ngày 17 tháng 6 năm 2025 và các văn bản hướng dẫn thi hành</w:t>
      </w:r>
    </w:p>
    <w:p>
      <w:pPr>
        <w:pStyle w:val="Normal"/>
        <w:spacing w:lineRule="auto" w:line="312" w:before="0" w:after="120"/>
        <w:ind w:firstLine="567"/>
        <w:jc w:val="both"/>
        <w:rPr/>
      </w:pPr>
      <w:r>
        <w:rPr>
          <w:rFonts w:eastAsia="Times New Roman" w:cs="Times New Roman"/>
          <w:color w:val="000000"/>
          <w:sz w:val="26"/>
        </w:rPr>
        <w:t>Trên cơ sở thông tin do Công ty cung cấp về mô hình tổ chức, cơ cấu cổ đông và định hướng hoạt động trong lĩnh vực Fintech, đặc biệt là dự kiến cung ứng dịch vụ ví điện tử, chúng tôi nhận thấy Điều lệ Công ty cần được xây dựng vừa bảo đảm tuân thủ các quy định của pháp luật về doanh nghiệp, vừa phù hợp với các yêu cầu pháp lý đặc thù của hoạt động trung gian thanh toán. Theo đó, chúng tôi tư vấn Công ty xây dựng và hoàn thiện Điều lệ theo các nhóm nội dung trọng tâm sau.</w:t>
      </w:r>
    </w:p>
    <w:p>
      <w:pPr>
        <w:pStyle w:val="Heading3"/>
        <w:keepNext w:val="true"/>
        <w:spacing w:before="120" w:after="100"/>
        <w:rPr/>
      </w:pPr>
      <w:r>
        <w:rPr>
          <w:rFonts w:eastAsia="Times New Roman" w:cs="Times New Roman" w:ascii="Times New Roman" w:hAnsi="Times New Roman"/>
          <w:b/>
          <w:color w:val="000000"/>
          <w:sz w:val="26"/>
        </w:rPr>
        <w:t>2.2.1. Giới thiệu dịch vụ.</w:t>
      </w:r>
    </w:p>
    <w:p>
      <w:pPr>
        <w:pStyle w:val="Normal"/>
        <w:spacing w:lineRule="auto" w:line="312" w:before="0" w:after="120"/>
        <w:ind w:firstLine="567"/>
        <w:jc w:val="both"/>
        <w:rPr/>
      </w:pPr>
      <w:r>
        <w:rPr>
          <w:rFonts w:eastAsia="Times New Roman" w:cs="Times New Roman"/>
          <w:color w:val="000000"/>
          <w:sz w:val="26"/>
        </w:rPr>
        <w:t>Điều lệ công ty là văn bản pháp lý nội bộ quan trọng, quy định cơ cấu tổ chức, quản trị, quyền và nghĩa vụ của cổ đông, người quản lý và cơ chế vận hành của công ty cổ phần. Đối với doanh nghiệp cung ứng dịch vụ ví điện tử, Điều lệ không chỉ cần phù hợp với Luật Doanh nghiệp mà còn phải phản ánh đặc thù về cơ cấu sở hữu, huy động vốn, quản trị doanh nghiệp, quản lý tài chính và tuân thủ pháp luật chuyên ngành về trung gian thanh toán.</w:t>
      </w:r>
    </w:p>
    <w:p>
      <w:pPr>
        <w:pStyle w:val="Normal"/>
        <w:spacing w:lineRule="auto" w:line="312" w:before="0" w:after="120"/>
        <w:ind w:firstLine="567"/>
        <w:jc w:val="both"/>
        <w:rPr/>
      </w:pPr>
      <w:r>
        <w:rPr>
          <w:rFonts w:eastAsia="Times New Roman" w:cs="Times New Roman"/>
          <w:color w:val="000000"/>
          <w:sz w:val="26"/>
        </w:rPr>
        <w:t>Theo đó, cung cấp dịch vụ tư vấn xây dựng Điều lệ cho Công ty, trên cơ sở cơ cấu 05 cổ đông sáng lập, định hướng tiếp nhận nhà đầu tư mới và hoạt động cung ứng dịch vụ ví điện tử; đồng thời thiết lập các quy định nội bộ nhằm phân định rõ thẩm quyền, trách nhiệm của các cơ quan quản lý, bảo đảm tính minh bạch trong quản trị và hạn chế các rủi ro pháp lý trong quá trình hoạt động.</w:t>
      </w:r>
    </w:p>
    <w:p>
      <w:pPr>
        <w:pStyle w:val="Heading3"/>
        <w:keepNext w:val="true"/>
        <w:spacing w:before="120" w:after="100"/>
        <w:rPr>
          <w:rFonts w:ascii="Times New Roman" w:hAnsi="Times New Roman" w:eastAsia="Times New Roman"/>
        </w:rPr>
      </w:pPr>
      <w:r>
        <w:rPr>
          <w:rFonts w:eastAsia="Times New Roman" w:cs="Times New Roman" w:ascii="Times New Roman" w:hAnsi="Times New Roman"/>
          <w:b/>
          <w:color w:val="000000"/>
          <w:sz w:val="26"/>
        </w:rPr>
        <w:t>2.2.2. Nội dung dịch vụ.</w:t>
      </w:r>
    </w:p>
    <w:p>
      <w:pPr>
        <w:pStyle w:val="Normal"/>
        <w:spacing w:lineRule="auto" w:line="312" w:before="0" w:after="120"/>
        <w:ind w:hanging="0" w:start="0"/>
        <w:jc w:val="both"/>
        <w:rPr/>
      </w:pPr>
      <w:r>
        <w:rPr>
          <w:rFonts w:eastAsia="Times New Roman" w:cs="Times New Roman"/>
          <w:b/>
          <w:color w:val="000000"/>
          <w:sz w:val="26"/>
        </w:rPr>
        <w:t>Gồm 7 chương:</w:t>
      </w:r>
    </w:p>
    <w:p>
      <w:pPr>
        <w:pStyle w:val="Normal"/>
        <w:spacing w:lineRule="auto" w:line="312" w:before="0" w:after="120"/>
        <w:ind w:hanging="0" w:start="425"/>
        <w:jc w:val="both"/>
        <w:rPr/>
      </w:pPr>
      <w:r>
        <w:rPr>
          <w:rFonts w:eastAsia="Times New Roman" w:cs="Times New Roman"/>
          <w:color w:val="000000"/>
          <w:sz w:val="26"/>
        </w:rPr>
        <w:t>- Chương 1. Tư vấn xây dựng các quy định về hình thức, tên gọi, trụ sở, ngành nghề kinh doanh, vốn điều lệ, cơ cấu và phương thức huy động vốn, tăng giảm vốn điều lệ; cổ đông sáng lập, các loại cổ phần, cổ phiếu, sổ đăng ký cổ đông, quyền và nghĩa vụ của cổ đông; cổ phần ưu đãi biểu quyết, cổ phần ưu đãi cổ tức, cổ phần phổ thông của cổ đông sáng lập, thanh toán cổ phần đã đăng ký mua; chào bán, chuyển nhượng, mua lại cổ phần, chào bán và chuyển nhượng trái phiếu riêng lẻ, điều kiện thanh toán và xử lý cổ phần được mua lại, trả cổ tức và thu hồi tiền thanh toán cổ phần mua lại hoặc cổ tức.</w:t>
      </w:r>
    </w:p>
    <w:p>
      <w:pPr>
        <w:pStyle w:val="Normal"/>
        <w:spacing w:lineRule="auto" w:line="312" w:before="0" w:after="120"/>
        <w:ind w:hanging="0" w:start="425"/>
        <w:jc w:val="both"/>
        <w:rPr/>
      </w:pPr>
      <w:r>
        <w:rPr>
          <w:rFonts w:eastAsia="Times New Roman" w:cs="Times New Roman"/>
          <w:color w:val="000000"/>
          <w:sz w:val="26"/>
        </w:rPr>
        <w:t>- Chương 2. Cơ cấu tổ chức và quản lý công ty tư vấn xây dựng quy định về cơ cấu tổ chức, người đại diện theo pháp luật, con dấu và nghĩa vụ của người quản lý; thẩm quyền, tổ chức và hoạt động của Đại hội đồng cổ đông, Hội đồng quản trị, Tổng Giám đốc/Giám đốc và Ban kiểm soát; quy định về triệu tập, tiến hành họp, biểu quyết, thông qua nghị quyết, tiêu chuẩn, nhiệm kỳ, quyền và nghĩa vụ của các chức danh quản lý và cơ quan kiểm soát.</w:t>
      </w:r>
    </w:p>
    <w:p>
      <w:pPr>
        <w:pStyle w:val="Normal"/>
        <w:spacing w:lineRule="auto" w:line="312" w:before="0" w:after="120"/>
        <w:ind w:hanging="0" w:start="425"/>
        <w:jc w:val="both"/>
        <w:rPr/>
      </w:pPr>
      <w:r>
        <w:rPr>
          <w:rFonts w:eastAsia="Times New Roman" w:cs="Times New Roman"/>
          <w:color w:val="000000"/>
          <w:sz w:val="26"/>
        </w:rPr>
        <w:t>- Chương 3. Chủ sở hữu hưởng lợi của công ty sẽ tư vấn quy định về xác định chủ sở hữu hưởng lợi, kê khai thông tin và thông tin làm căn cứ xác định chủ sở hữu hưởng lợi; cập nhật khi có thay đổi và lưu giữ thông tin về chủ sở hữu hưởng lợi của Công ty.</w:t>
      </w:r>
    </w:p>
    <w:p>
      <w:pPr>
        <w:pStyle w:val="Normal"/>
        <w:spacing w:lineRule="auto" w:line="312" w:before="0" w:after="120"/>
        <w:ind w:hanging="0" w:start="425"/>
        <w:jc w:val="both"/>
        <w:rPr/>
      </w:pPr>
      <w:r>
        <w:rPr>
          <w:rFonts w:eastAsia="Times New Roman" w:cs="Times New Roman"/>
          <w:color w:val="000000"/>
          <w:sz w:val="26"/>
        </w:rPr>
        <w:t>- Chương 4. Căn cứ, phương pháp xác định thù lao, tiền lương và thưởng cho người quản lý và thành viên ban kiểm soát hoặc kiểm soát viên tư vấn thù lao, tiền lương và lợi ích khác của thành viên Hội đồng quản trị, Tổng Giám đốc; công khai các lợi ích liên quan; thù lao và lợi ích khác của thành viên Ban kiểm soát.</w:t>
      </w:r>
    </w:p>
    <w:p>
      <w:pPr>
        <w:pStyle w:val="Normal"/>
        <w:spacing w:lineRule="auto" w:line="312" w:before="0" w:after="120"/>
        <w:ind w:hanging="0" w:start="425"/>
        <w:jc w:val="both"/>
        <w:rPr/>
      </w:pPr>
      <w:r>
        <w:rPr>
          <w:rFonts w:eastAsia="Times New Roman" w:cs="Times New Roman"/>
          <w:color w:val="000000"/>
          <w:sz w:val="26"/>
        </w:rPr>
        <w:t>- Chương 5. Tài chính tư vấn thể lệ quyết toán, trả cổ tức và lập quỹ, nguyên tắc phân chia lợi nhuận sau thuế, xử lý lỗ trong kinh doanh.</w:t>
      </w:r>
    </w:p>
    <w:p>
      <w:pPr>
        <w:pStyle w:val="Normal"/>
        <w:spacing w:lineRule="auto" w:line="312" w:before="0" w:after="120"/>
        <w:ind w:hanging="0" w:start="425"/>
        <w:jc w:val="both"/>
        <w:rPr/>
      </w:pPr>
      <w:r>
        <w:rPr>
          <w:rFonts w:eastAsia="Times New Roman" w:cs="Times New Roman"/>
          <w:color w:val="000000"/>
          <w:sz w:val="26"/>
        </w:rPr>
        <w:t>- Chương 6. Hoạt động cung ứng dịch vụ ví điện tử và tuân thủ pháp luật chuyên ngành tư vấn xây dựng các quy định về nguyên tắc cung ứng dịch vụ ví điện tử, quản trị rủi ro, an toàn hệ thống và bảo mật thông tin, bảo vệ khách hàng, phòng chống gian lận, phòng chống rửa tiền, đồng thời quy định các vấn đề liên quan đến đề án cung ứng dịch vụ và giải pháp kỹ thuật.</w:t>
      </w:r>
    </w:p>
    <w:p>
      <w:pPr>
        <w:pStyle w:val="Normal"/>
        <w:spacing w:lineRule="auto" w:line="312" w:before="0" w:after="120"/>
        <w:ind w:hanging="0" w:start="425"/>
        <w:jc w:val="both"/>
        <w:rPr/>
      </w:pPr>
      <w:r>
        <w:rPr>
          <w:rFonts w:eastAsia="Times New Roman" w:cs="Times New Roman"/>
          <w:color w:val="000000"/>
          <w:sz w:val="26"/>
        </w:rPr>
        <w:t>- Chương 7. Điều khoản cuối cùng tư vấn quy định về các trường hợp và điều kiện giải thể doanh nghiệp, trình tự thủ tục giải thể, thanh lý tài sản, phá sản doanh nghiệp, giải quyết tranh chấp và các điều khoản về hiệu lực, sửa đổi, bổ sung Điều lệ.</w:t>
      </w:r>
    </w:p>
    <w:p>
      <w:pPr>
        <w:pStyle w:val="Normal"/>
        <w:spacing w:lineRule="auto" w:line="312" w:before="0" w:after="120"/>
        <w:ind w:firstLine="567"/>
        <w:jc w:val="both"/>
        <w:rPr/>
      </w:pPr>
      <w:r>
        <w:rPr>
          <w:rFonts w:eastAsia="Times New Roman" w:cs="Times New Roman"/>
          <w:color w:val="000000"/>
          <w:sz w:val="26"/>
        </w:rPr>
        <w:t>Về các dịch vụ cung cấp trong quá trình:</w:t>
      </w:r>
    </w:p>
    <w:p>
      <w:pPr>
        <w:pStyle w:val="Normal"/>
        <w:spacing w:lineRule="auto" w:line="312" w:before="0" w:after="120"/>
        <w:ind w:hanging="0" w:start="425"/>
        <w:jc w:val="both"/>
        <w:rPr/>
      </w:pPr>
      <w:r>
        <w:rPr>
          <w:rFonts w:eastAsia="Times New Roman" w:cs="Times New Roman"/>
          <w:color w:val="000000"/>
          <w:sz w:val="26"/>
        </w:rPr>
        <w:t>- Tư vấn xây dựng các quy định chung về tên, trụ sở, ngành nghề, vốn điều lệ, cổ đông sáng lập và các loại cổ phần.</w:t>
      </w:r>
    </w:p>
    <w:p>
      <w:pPr>
        <w:pStyle w:val="Normal"/>
        <w:spacing w:lineRule="auto" w:line="312" w:before="0" w:after="120"/>
        <w:ind w:hanging="0" w:start="425"/>
        <w:jc w:val="both"/>
        <w:rPr/>
      </w:pPr>
      <w:r>
        <w:rPr>
          <w:rFonts w:eastAsia="Times New Roman" w:cs="Times New Roman"/>
          <w:color w:val="000000"/>
          <w:sz w:val="26"/>
        </w:rPr>
        <w:t>- Tư vấn xây dựng cơ cấu tổ chức, quản trị và thẩm quyền của Đại hội đồng cổ đông, Hội đồng quản trị, Tổng Giám đốc/Giám đốc và Ban kiểm soát/Ủy ban kiểm toán.</w:t>
      </w:r>
    </w:p>
    <w:p>
      <w:pPr>
        <w:pStyle w:val="Normal"/>
        <w:spacing w:lineRule="auto" w:line="312" w:before="0" w:after="120"/>
        <w:ind w:hanging="0" w:start="425"/>
        <w:jc w:val="both"/>
        <w:rPr/>
      </w:pPr>
      <w:r>
        <w:rPr>
          <w:rFonts w:eastAsia="Times New Roman" w:cs="Times New Roman"/>
          <w:color w:val="000000"/>
          <w:sz w:val="26"/>
        </w:rPr>
        <w:t>- Tư vấn quy định về chủ sở hữu hưởng lợi, thù lao, tiền lương, lợi ích của người quản lý và cơ chế kiểm soát xung đột lợi ích.</w:t>
      </w:r>
    </w:p>
    <w:p>
      <w:pPr>
        <w:pStyle w:val="Normal"/>
        <w:spacing w:lineRule="auto" w:line="312" w:before="0" w:after="120"/>
        <w:ind w:hanging="0" w:start="425"/>
        <w:jc w:val="both"/>
        <w:rPr/>
      </w:pPr>
      <w:r>
        <w:rPr>
          <w:rFonts w:eastAsia="Times New Roman" w:cs="Times New Roman"/>
          <w:color w:val="000000"/>
          <w:sz w:val="26"/>
        </w:rPr>
        <w:t>- Tư vấn các quy định về tài chính, phân phối lợi nhuận, trả cổ tức, quản lý tài sản và nguồn vốn của Công ty.</w:t>
      </w:r>
    </w:p>
    <w:p>
      <w:pPr>
        <w:pStyle w:val="Normal"/>
        <w:spacing w:lineRule="auto" w:line="312" w:before="0" w:after="120"/>
        <w:ind w:hanging="0" w:start="425"/>
        <w:jc w:val="both"/>
        <w:rPr/>
      </w:pPr>
      <w:r>
        <w:rPr>
          <w:rFonts w:eastAsia="Times New Roman" w:cs="Times New Roman"/>
          <w:color w:val="000000"/>
          <w:sz w:val="26"/>
        </w:rPr>
        <w:t>- Tư vấn xây dựng các quy định đặc thù về cung ứng dịch vụ ví điện tử, quản trị rủi ro, an toàn hệ thống, bảo mật thông tin, bảo vệ khách hàng và phòng, chống gian lận, rửa tiền.</w:t>
      </w:r>
    </w:p>
    <w:p>
      <w:pPr>
        <w:pStyle w:val="Normal"/>
        <w:spacing w:lineRule="auto" w:line="312" w:before="0" w:after="120"/>
        <w:ind w:hanging="0" w:start="425"/>
        <w:jc w:val="both"/>
        <w:rPr/>
      </w:pPr>
      <w:r>
        <w:rPr>
          <w:rFonts w:eastAsia="Times New Roman" w:cs="Times New Roman"/>
          <w:color w:val="000000"/>
          <w:sz w:val="26"/>
        </w:rPr>
        <w:t>- Tư vấn các quy định về giải thể, phá sản, thanh lý tài sản, giải quyết tranh chấp, sửa đổi và bổ sung Điều lệ.</w:t>
      </w:r>
    </w:p>
    <w:p>
      <w:pPr>
        <w:pStyle w:val="Normal"/>
        <w:spacing w:lineRule="auto" w:line="312" w:before="0" w:after="120"/>
        <w:ind w:hanging="0" w:start="425"/>
        <w:jc w:val="both"/>
        <w:rPr/>
      </w:pPr>
      <w:r>
        <w:rPr>
          <w:rFonts w:eastAsia="Times New Roman" w:cs="Times New Roman"/>
          <w:color w:val="000000"/>
          <w:sz w:val="26"/>
        </w:rPr>
        <w:t>- Soạn thảo, rà soát và hoàn thiện Điều lệ bảo đảm thống nhất với hồ sơ đăng ký doanh nghiệp, cơ cấu 05 cổ đông sáng lập và định hướng hoạt động của Công ty.</w:t>
      </w:r>
    </w:p>
    <w:p>
      <w:pPr>
        <w:pStyle w:val="Heading3"/>
        <w:keepNext w:val="true"/>
        <w:spacing w:before="120" w:after="100"/>
        <w:rPr/>
      </w:pPr>
      <w:r>
        <w:rPr>
          <w:rFonts w:eastAsia="Times New Roman" w:cs="Times New Roman" w:ascii="Times New Roman" w:hAnsi="Times New Roman"/>
          <w:b/>
          <w:color w:val="000000"/>
          <w:sz w:val="26"/>
        </w:rPr>
        <w:t>2.2.3. Phạm vi dịch vụ.</w:t>
      </w:r>
    </w:p>
    <w:p>
      <w:pPr>
        <w:pStyle w:val="Normal"/>
        <w:spacing w:lineRule="auto" w:line="312" w:before="0" w:after="120"/>
        <w:ind w:firstLine="567"/>
        <w:jc w:val="both"/>
        <w:rPr/>
      </w:pPr>
      <w:r>
        <w:rPr>
          <w:rFonts w:eastAsia="Times New Roman" w:cs="Times New Roman"/>
          <w:color w:val="000000"/>
          <w:sz w:val="26"/>
        </w:rPr>
        <w:t>Phạm vi tư vấn bao gồm việc xây dựng, rà soát và hoàn thiện Điều lệ công ty cổ phần phù hợp với cơ cấu năm cổ đông sáng lập, định hướng huy động vốn và hoạt động cung ứng dịch vụ ví điện tử; không bao gồm thủ tục xin giấy phép trung gian thanh toán hoặc thẩm định kỹ thuật chuyên sâu nếu không có thỏa thuận riêng.</w:t>
      </w:r>
    </w:p>
    <w:p>
      <w:pPr>
        <w:pStyle w:val="Heading3"/>
        <w:keepNext w:val="true"/>
        <w:spacing w:before="120" w:after="100"/>
        <w:rPr/>
      </w:pPr>
      <w:r>
        <w:rPr>
          <w:rFonts w:eastAsia="Times New Roman" w:cs="Times New Roman" w:ascii="Times New Roman" w:hAnsi="Times New Roman"/>
          <w:b/>
          <w:color w:val="000000"/>
          <w:sz w:val="26"/>
        </w:rPr>
        <w:t>2.2.4. Mục đích dịch vụ.</w:t>
      </w:r>
    </w:p>
    <w:p>
      <w:pPr>
        <w:pStyle w:val="Normal"/>
        <w:spacing w:lineRule="auto" w:line="312" w:before="0" w:after="120"/>
        <w:ind w:firstLine="567"/>
        <w:jc w:val="both"/>
        <w:rPr/>
      </w:pPr>
      <w:r>
        <w:rPr>
          <w:rFonts w:eastAsia="Times New Roman" w:cs="Times New Roman"/>
          <w:color w:val="000000"/>
          <w:sz w:val="26"/>
        </w:rPr>
        <w:t>Việc tư vấn nhằm xây dựng Điều lệ phù hợp với mô hình Công ty cổ phần cung ứng dịch vụ ví điện tử, bảo đảm tuân thủ Luật Doanh nghiệp và pháp luật chuyên ngành; đồng thời phân định rõ quyền, nghĩa vụ và thẩm quyền của cổ đông, cơ quan quản lý, người điều hành, thiết lập cơ chế quản trị, tài chính và kiểm soát rủi ro, qua đó hạn chế tranh chấp và rủi ro pháp lý trong quá trình hoạt động của Công ty.</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3. TƯ VẤN XÂY DỰNG CƠ SỞ PHÁP LÝ CHO HOẠT ĐỘNG NỘI BỘ.</w:t>
      </w:r>
    </w:p>
    <w:p>
      <w:pPr>
        <w:pStyle w:val="Heading2"/>
        <w:keepNext w:val="true"/>
        <w:spacing w:before="120" w:after="100"/>
        <w:rPr/>
      </w:pPr>
      <w:r>
        <w:rPr>
          <w:rFonts w:eastAsia="Times New Roman" w:cs="Times New Roman" w:ascii="Times New Roman" w:hAnsi="Times New Roman"/>
          <w:b/>
          <w:color w:val="000000"/>
          <w:sz w:val="26"/>
        </w:rPr>
        <w:t>3.1. Tư vấn tổ chức và tiến hành Đại hội đồng cổ đông.</w:t>
      </w:r>
    </w:p>
    <w:p>
      <w:pPr>
        <w:pStyle w:val="Normal"/>
        <w:spacing w:lineRule="auto" w:line="312" w:before="0" w:after="120"/>
        <w:ind w:firstLine="567"/>
        <w:jc w:val="both"/>
        <w:rPr/>
      </w:pPr>
      <w:r>
        <w:rPr>
          <w:rFonts w:eastAsia="Times New Roman" w:cs="Times New Roman"/>
          <w:color w:val="000000"/>
          <w:sz w:val="26"/>
        </w:rPr>
        <w:t>Trước hết căn cứ vào Luật Doanh nghiệp số 59/2020/QH14, được sửa đổi, bổ sung bởi Luật số 76/2025/QH15 được Quốc hội nước Cộng hòa xã hội chủ nghĩa Việt Nam thông qua ngày 17 tháng 6 năm 2020. Luật sửa đổi, bổ sung một số điều của Luật Doanh nghiệp ngày 17 tháng 6 năm 2025 . Căn cứ 137, Điều 138 và các Điều từ 139 đến 152 Luật Doanh nghiệp năm 2020.</w:t>
      </w:r>
    </w:p>
    <w:p>
      <w:pPr>
        <w:pStyle w:val="Normal"/>
        <w:spacing w:lineRule="auto" w:line="312" w:before="0" w:after="120"/>
        <w:ind w:firstLine="567"/>
        <w:jc w:val="both"/>
        <w:rPr/>
      </w:pPr>
      <w:r>
        <w:rPr>
          <w:rFonts w:eastAsia="Times New Roman" w:cs="Times New Roman"/>
          <w:color w:val="000000"/>
          <w:sz w:val="26"/>
        </w:rPr>
        <w:t>Để bảo đảm việc tổ chức và tiến hành Đại hội đồng cổ đông của Công ty được thực hiện đúng thẩm quyền, trình tự, thủ tục theo quy định của pháp luật, đồng thời đáp ứng đặc thù về cơ cấu cổ đông và định hướng hoạt động Fintech, chúng tôi tư vấn như sau:</w:t>
      </w:r>
    </w:p>
    <w:p>
      <w:pPr>
        <w:pStyle w:val="Heading3"/>
        <w:keepNext w:val="true"/>
        <w:spacing w:before="120" w:after="100"/>
        <w:rPr/>
      </w:pPr>
      <w:r>
        <w:rPr>
          <w:rFonts w:eastAsia="Times New Roman" w:cs="Times New Roman" w:ascii="Times New Roman" w:hAnsi="Times New Roman"/>
          <w:b/>
          <w:color w:val="000000"/>
          <w:sz w:val="26"/>
        </w:rPr>
        <w:t>3.1.1. Giới thiệu dịch vụ.</w:t>
      </w:r>
    </w:p>
    <w:p>
      <w:pPr>
        <w:pStyle w:val="Normal"/>
        <w:spacing w:lineRule="auto" w:line="312" w:before="0" w:after="120"/>
        <w:ind w:firstLine="567"/>
        <w:jc w:val="both"/>
        <w:rPr/>
      </w:pPr>
      <w:r>
        <w:rPr>
          <w:rFonts w:eastAsia="Times New Roman" w:cs="Times New Roman"/>
          <w:color w:val="000000"/>
          <w:sz w:val="26"/>
        </w:rPr>
        <w:t>Đại hội đồng cổ đông là cơ quan có thẩm quyền quyết định các vấn đề quan trọng của công ty cổ phần. Đối với doanh nghiệp cung ứng dịch vụ ví điện tử, việc tổ chức Đại hội đồng cổ đông cần bảo đảm đúng quy định của Luật Doanh nghiệp và phù hợp với các quy định pháp luật chuyên ngành. Do đó, việc tư vấn tổ chức Đại hội nhằm bảo đảm đúng thẩm quyền, trình tự, điều kiện tiến hành và hiệu lực của các nghị quyết được thông qua.</w:t>
      </w:r>
    </w:p>
    <w:p>
      <w:pPr>
        <w:pStyle w:val="Heading3"/>
        <w:keepNext w:val="true"/>
        <w:spacing w:before="120" w:after="100"/>
        <w:rPr/>
      </w:pPr>
      <w:r>
        <w:rPr>
          <w:rFonts w:eastAsia="Times New Roman" w:cs="Times New Roman" w:ascii="Times New Roman" w:hAnsi="Times New Roman"/>
          <w:b/>
          <w:color w:val="000000"/>
          <w:sz w:val="26"/>
        </w:rPr>
        <w:t>3.1.2. Nội dung dịch vụ.</w:t>
      </w:r>
    </w:p>
    <w:p>
      <w:pPr>
        <w:pStyle w:val="Normal"/>
        <w:spacing w:lineRule="auto" w:line="312" w:before="0" w:after="120"/>
        <w:ind w:hanging="0" w:start="0"/>
        <w:jc w:val="both"/>
        <w:rPr/>
      </w:pPr>
      <w:r>
        <w:rPr>
          <w:rFonts w:eastAsia="Times New Roman" w:cs="Times New Roman"/>
          <w:color w:val="000000"/>
          <w:sz w:val="26"/>
        </w:rPr>
        <w:t>- Xác định chủ thể có thẩm quyền triệu tập Đại hội đồng cổ đông và rà soát điều kiện triệu tập theo quy định của Luật Doanh nghiệp.</w:t>
      </w:r>
    </w:p>
    <w:p>
      <w:pPr>
        <w:pStyle w:val="Normal"/>
        <w:spacing w:lineRule="auto" w:line="312" w:before="0" w:after="120"/>
        <w:ind w:hanging="0" w:start="0"/>
        <w:jc w:val="both"/>
        <w:rPr/>
      </w:pPr>
      <w:r>
        <w:rPr>
          <w:rFonts w:eastAsia="Times New Roman" w:cs="Times New Roman"/>
          <w:color w:val="000000"/>
          <w:sz w:val="26"/>
        </w:rPr>
        <w:t>- Rà soát cơ cấu 05 cổ đông sáng lập, xác định quyền tham dự, biểu quyết và tỷ lệ sở hữu của từng cổ đông.</w:t>
      </w:r>
    </w:p>
    <w:p>
      <w:pPr>
        <w:pStyle w:val="Normal"/>
        <w:spacing w:lineRule="auto" w:line="312" w:before="0" w:after="120"/>
        <w:ind w:hanging="0" w:start="0"/>
        <w:jc w:val="both"/>
        <w:rPr/>
      </w:pPr>
      <w:r>
        <w:rPr>
          <w:rFonts w:eastAsia="Times New Roman" w:cs="Times New Roman"/>
          <w:color w:val="000000"/>
          <w:sz w:val="26"/>
        </w:rPr>
        <w:t>- Xây dựng chương trình họp, xác định các nội dung thuộc thẩm quyền quyết định của Đại hội đồng cổ đông, đặc biệt đối với vốn điều lệ, cơ cấu cổ phần, Điều lệ, nhân sự quản lý và định hướng hoạt động Fintech.</w:t>
      </w:r>
    </w:p>
    <w:p>
      <w:pPr>
        <w:pStyle w:val="Normal"/>
        <w:spacing w:lineRule="auto" w:line="312" w:before="0" w:after="120"/>
        <w:ind w:hanging="0" w:start="0"/>
        <w:jc w:val="both"/>
        <w:rPr/>
      </w:pPr>
      <w:r>
        <w:rPr>
          <w:rFonts w:eastAsia="Times New Roman" w:cs="Times New Roman"/>
          <w:color w:val="000000"/>
          <w:sz w:val="26"/>
        </w:rPr>
        <w:t>- Tư vấn trình tự, thời hạn và hình thức gửi thông báo mời họp; rà soát tài liệu phục vụ Đại hội đồng cổ đông theo quy định pháp luật.</w:t>
      </w:r>
    </w:p>
    <w:p>
      <w:pPr>
        <w:pStyle w:val="Normal"/>
        <w:spacing w:lineRule="auto" w:line="312" w:before="0" w:after="120"/>
        <w:ind w:hanging="0" w:start="0"/>
        <w:jc w:val="both"/>
        <w:rPr/>
      </w:pPr>
      <w:r>
        <w:rPr>
          <w:rFonts w:eastAsia="Times New Roman" w:cs="Times New Roman"/>
          <w:color w:val="000000"/>
          <w:sz w:val="26"/>
        </w:rPr>
        <w:t>- Tư vấn điều kiện tiến hành Đại hội, cách thức biểu quyết, tỷ lệ thông qua nghị quyết và xử lý các trường hợp cổ đông vắng mặt, ủy quyền hoặc không đồng ý với nội dung được đưa ra biểu quyết.</w:t>
      </w:r>
    </w:p>
    <w:p>
      <w:pPr>
        <w:pStyle w:val="Normal"/>
        <w:spacing w:lineRule="auto" w:line="312" w:before="0" w:after="120"/>
        <w:ind w:hanging="0" w:start="0"/>
        <w:jc w:val="both"/>
        <w:rPr/>
      </w:pPr>
      <w:r>
        <w:rPr>
          <w:rFonts w:eastAsia="Times New Roman" w:cs="Times New Roman"/>
          <w:color w:val="000000"/>
          <w:sz w:val="26"/>
        </w:rPr>
        <w:t>- Rà soát các nội dung liên quan đến hoạt động cung ứng dịch vụ ví điện tử, bảo đảm nghị quyết của Đại hội đồng cổ đông phù hợp với quy định pháp luật chuyên ngành và không vượt quá thẩm quyền của Đại hội.</w:t>
      </w:r>
    </w:p>
    <w:p>
      <w:pPr>
        <w:pStyle w:val="Normal"/>
        <w:spacing w:lineRule="auto" w:line="312" w:before="0" w:after="120"/>
        <w:ind w:hanging="0" w:start="0"/>
        <w:jc w:val="both"/>
        <w:rPr/>
      </w:pPr>
      <w:r>
        <w:rPr>
          <w:rFonts w:eastAsia="Times New Roman" w:cs="Times New Roman"/>
          <w:color w:val="000000"/>
          <w:sz w:val="26"/>
        </w:rPr>
        <w:t>- Soạn thảo Biên bản họp, Nghị quyết Đại hội đồng cổ đông và các tài liệu liên quan; rà soát tính thống nhất giữa diễn biến cuộc họp, kết quả biểu quyết và nội dung nghị quyết.</w:t>
      </w:r>
    </w:p>
    <w:p>
      <w:pPr>
        <w:pStyle w:val="Heading3"/>
        <w:keepNext w:val="true"/>
        <w:numPr>
          <w:ilvl w:val="0"/>
          <w:numId w:val="0"/>
        </w:numPr>
        <w:spacing w:before="120" w:after="100"/>
        <w:ind w:hanging="0" w:start="567"/>
        <w:rPr/>
      </w:pPr>
      <w:r>
        <w:rPr>
          <w:rFonts w:eastAsia="Times New Roman" w:cs="Times New Roman" w:ascii="Times New Roman" w:hAnsi="Times New Roman"/>
          <w:b/>
          <w:color w:val="000000"/>
          <w:sz w:val="26"/>
        </w:rPr>
        <w:t>3.1.3.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Dịch vụ áp dụng đối với công ty cổ phần, cổ đông, người đại diện theo ủy quyền, thành viên Hội đồng quản trị, Ban kiểm soát/Ủy ban kiểm toán và các cá nhân có liên quan đến việc triệu tập, tổ chức, tiến hành Đại hội đồng cổ đông, đặc biệt đối với doanh nghiệp hoạt động trong lĩnh vực Fintech, cung ứng dịch vụ ví điện tử.</w:t>
      </w:r>
    </w:p>
    <w:p>
      <w:pPr>
        <w:pStyle w:val="Normal"/>
        <w:spacing w:lineRule="auto" w:line="312" w:before="0" w:after="120"/>
        <w:ind w:firstLine="567"/>
        <w:jc w:val="both"/>
        <w:rPr/>
      </w:pPr>
      <w:r>
        <w:rPr>
          <w:rFonts w:eastAsia="Times New Roman" w:cs="Times New Roman"/>
          <w:color w:val="000000"/>
          <w:sz w:val="26"/>
        </w:rPr>
        <w:t>Thứ hai, về thời điểm và thời hạn áp dụng. Dịch vụ được thực hiện trước, trong và sau Đại hội đồng cổ đông. Trước Đại hội, tư vấn, chuẩn bị hồ sơ, tài liệu và thực hiện thủ tục triệu tập theo đúng thời hạn luật định; trong Đại hội, hỗ trợ kiểm tra tư cách cổ đông, điều kiện tiến hành, biểu quyết và thông qua nghị quyết; sau Đại hội, hoàn thiện Biên bản họp, Nghị quyết và các hồ sơ liên quan theo quy định pháp luật.</w:t>
      </w:r>
    </w:p>
    <w:p>
      <w:pPr>
        <w:pStyle w:val="Normal"/>
        <w:spacing w:lineRule="auto" w:line="312" w:before="0" w:after="120"/>
        <w:ind w:firstLine="567"/>
        <w:jc w:val="both"/>
        <w:rPr/>
      </w:pPr>
      <w:r>
        <w:rPr>
          <w:rFonts w:eastAsia="Times New Roman" w:cs="Times New Roman"/>
          <w:color w:val="000000"/>
          <w:sz w:val="26"/>
        </w:rPr>
        <w:t>Thứ ba, về thời hạn thực hiện. Thời hạn cung cấp dịch vụ được xác định theo kế hoạch tổ chức Đại hội và phải bảo đảm tuân thủ các thời hạn luật định về triệu tập, lập danh sách cổ đông, gửi thông báo mời họp và tiến hành Đại hội theo Điều 139, Điều 140, Điều 141, Điều 143 và Điều 145 Luật Doanh nghiệp 2020.</w:t>
      </w:r>
    </w:p>
    <w:p>
      <w:pPr>
        <w:pStyle w:val="Normal"/>
        <w:spacing w:lineRule="auto" w:line="312" w:before="0" w:after="120"/>
        <w:ind w:firstLine="567"/>
        <w:jc w:val="both"/>
        <w:rPr/>
      </w:pPr>
      <w:r>
        <w:rPr>
          <w:rFonts w:eastAsia="Times New Roman" w:cs="Times New Roman"/>
          <w:color w:val="000000"/>
          <w:sz w:val="26"/>
        </w:rPr>
        <w:t>Thứ tư, về phạm vi không bao gồm. Dịch vụ không bao gồm giải quyết tranh chấp, khiếu kiện giữa các cổ đông; thủ tục thay đổi đăng ký doanh nghiệp sau Đại hội; thủ tục xin giấy phép, chấp thuận chuyên ngành về ví điện tử; các chi phí nhà nước, công chứng, chứng thực và các chi phí phát sinh khác</w:t>
      </w:r>
    </w:p>
    <w:p>
      <w:pPr>
        <w:pStyle w:val="Heading3"/>
        <w:keepNext w:val="true"/>
        <w:spacing w:before="120" w:after="100"/>
        <w:rPr/>
      </w:pPr>
      <w:r>
        <w:rPr>
          <w:rFonts w:eastAsia="Times New Roman" w:cs="Times New Roman" w:ascii="Times New Roman" w:hAnsi="Times New Roman"/>
          <w:b/>
          <w:color w:val="000000"/>
          <w:sz w:val="26"/>
        </w:rPr>
        <w:t>3.1.4. Mục đích dịch vụ.</w:t>
      </w:r>
    </w:p>
    <w:p>
      <w:pPr>
        <w:pStyle w:val="Normal"/>
        <w:spacing w:lineRule="auto" w:line="312" w:before="0" w:after="120"/>
        <w:ind w:firstLine="567"/>
        <w:jc w:val="both"/>
        <w:rPr/>
      </w:pPr>
      <w:r>
        <w:rPr>
          <w:rFonts w:eastAsia="Times New Roman" w:cs="Times New Roman"/>
          <w:color w:val="000000"/>
          <w:sz w:val="26"/>
        </w:rPr>
        <w:t>Việc tư vấn nhằm bảo đảm Đại hội đồng cổ đông được triệu tập và tiến hành đúng thẩm quyền, trình tự, thủ tục; các nghị quyết được thông qua đúng tỷ lệ và không vượt quá thẩm quyền của Đại hội, qua đó hạn chế nguy cơ nghị quyết bị yêu cầu hủy bỏ, tranh chấp giữa các cổ đông và rủi ro pháp lý trong quá trình doanh nghiệp triển khai hoạt động cung ứng dịch vụ ví điện tử.</w:t>
      </w:r>
    </w:p>
    <w:p>
      <w:pPr>
        <w:pStyle w:val="Heading2"/>
        <w:keepNext w:val="true"/>
        <w:spacing w:before="120" w:after="100"/>
        <w:rPr/>
      </w:pPr>
      <w:r>
        <w:rPr>
          <w:rFonts w:eastAsia="Times New Roman" w:cs="Times New Roman" w:ascii="Times New Roman" w:hAnsi="Times New Roman"/>
          <w:b/>
          <w:color w:val="000000"/>
          <w:sz w:val="26"/>
        </w:rPr>
        <w:t>3.2. Hợp đồng lao động (*).</w:t>
      </w:r>
    </w:p>
    <w:p>
      <w:pPr>
        <w:pStyle w:val="Heading3"/>
        <w:keepNext w:val="true"/>
        <w:spacing w:before="120" w:after="100"/>
        <w:rPr/>
      </w:pPr>
      <w:r>
        <w:rPr>
          <w:rFonts w:eastAsia="Times New Roman" w:cs="Times New Roman" w:ascii="Times New Roman" w:hAnsi="Times New Roman"/>
          <w:b/>
          <w:color w:val="000000"/>
          <w:sz w:val="26"/>
        </w:rPr>
        <w:t>3.2.1. Giới thiệu dịch vụ.</w:t>
      </w:r>
    </w:p>
    <w:p>
      <w:pPr>
        <w:pStyle w:val="Normal"/>
        <w:spacing w:lineRule="auto" w:line="312" w:before="0" w:after="120"/>
        <w:ind w:firstLine="567"/>
        <w:jc w:val="both"/>
        <w:rPr/>
      </w:pPr>
      <w:r>
        <w:rPr>
          <w:rFonts w:eastAsia="Times New Roman" w:cs="Times New Roman"/>
          <w:color w:val="000000"/>
          <w:sz w:val="26"/>
        </w:rPr>
        <w:t>Cũng giống như các doanh nghiệp kinh doanh trong các lĩnh vực khác, hợp đồng lao động là nền tảng để các bên có thể hợp tác và thực hiện các giao dịch một cách rõ ràng và là cơ sở để hình thành quan hệ lao động cá nhân. Hợp đồng lao động trong doanh nghiệp hoạt động trong lĩnh vực Fintech cung cấp dịch vụ ví điện tử có vị trí đặc biệt hơn hợp đồng lao động trong nhiều doanh nghiệp thông thường, không phải vì nó trở thành một loại hợp đồng hoàn toàn khác về bản chất, mà vì đối tượng công việc, mức độ rủi ro, yêu cầu về nhân sự và trách nhiệm tuân thủ của người lao động cao hơn đáng kể. Theo đó, tại khoản 2 Điều 13 Bộ luật Lao động 2019 quy định như sau: “Trước khi nhận người lao động vào làm việc thì người sử dụng lao động phải giao kết hợp đồng lao động với người lao động.” có thể thấy rằng việc giao kết hợp đồng lao động giữa người sử dụng lao động và người lao động là hoạt động pháp lý bắt buộc đối với tất cả doanh nghiệp và không có ngoại lệ. Điều này đặc biệt quan trọng với doanh nghiệp, do đặc thù hoạt động dựa nhiều vào nhân sự công nghệ, dữ liệu, tài chính, pháp chế, vận hành hệ thống,… doanh nghiệp thường có nhiều nhóm nhân sự và cộng tác viên. Việc phân định rõ hợp đồng lao động - hợp đồng dịch vụ - hợp đồng hợp tác ngay từ đầu giúp hạn chế rủi ro doanh nghiệp sử dụng một hợp đồng có tên gọi khác nhưng thực chất lại là quan hệ lao động gây hiểu lầm và phát sinh tranh chấp với người lao động.</w:t>
      </w:r>
    </w:p>
    <w:p>
      <w:pPr>
        <w:pStyle w:val="Heading3"/>
        <w:keepNext w:val="true"/>
        <w:spacing w:before="120" w:after="100"/>
        <w:rPr/>
      </w:pPr>
      <w:r>
        <w:rPr>
          <w:rFonts w:eastAsia="Times New Roman" w:cs="Times New Roman" w:ascii="Times New Roman" w:hAnsi="Times New Roman"/>
          <w:b/>
          <w:color w:val="000000"/>
          <w:sz w:val="26"/>
        </w:rPr>
        <w:t>3.2.2. Nội dung dịch vụ.</w:t>
      </w:r>
    </w:p>
    <w:p>
      <w:pPr>
        <w:pStyle w:val="Normal"/>
        <w:spacing w:lineRule="auto" w:line="312" w:before="0" w:after="120"/>
        <w:ind w:firstLine="567"/>
        <w:jc w:val="both"/>
        <w:rPr/>
      </w:pPr>
      <w:r>
        <w:rPr>
          <w:rFonts w:eastAsia="Times New Roman" w:cs="Times New Roman"/>
          <w:color w:val="000000"/>
          <w:sz w:val="26"/>
        </w:rPr>
        <w:t>Về trình tự, thủ tục cần tuân thủ khi soạn thảo hợp đồng lao động mà nhóm các nhà đầu tư cần chuẩn bị như sau:</w:t>
      </w:r>
    </w:p>
    <w:p>
      <w:pPr>
        <w:pStyle w:val="Normal"/>
        <w:spacing w:lineRule="auto" w:line="312" w:before="0" w:after="120"/>
        <w:ind w:hanging="0" w:start="0"/>
        <w:jc w:val="both"/>
        <w:rPr/>
      </w:pPr>
      <w:r>
        <w:rPr>
          <w:rFonts w:eastAsia="Times New Roman" w:cs="Times New Roman"/>
          <w:color w:val="000000"/>
          <w:sz w:val="26"/>
        </w:rPr>
        <w:t>Bước 1: Chuẩn bị thông tin cần thiết của doanh nghiệp</w:t>
      </w:r>
    </w:p>
    <w:p>
      <w:pPr>
        <w:pStyle w:val="Normal"/>
        <w:spacing w:lineRule="auto" w:line="312" w:before="0" w:after="120"/>
        <w:ind w:hanging="0" w:start="0"/>
        <w:jc w:val="both"/>
        <w:rPr/>
      </w:pPr>
      <w:r>
        <w:rPr>
          <w:rFonts w:eastAsia="Times New Roman" w:cs="Times New Roman"/>
          <w:color w:val="000000"/>
          <w:sz w:val="26"/>
        </w:rPr>
        <w:t>Bước 2: Soạn thảo hợp đồng lao động</w:t>
      </w:r>
    </w:p>
    <w:p>
      <w:pPr>
        <w:pStyle w:val="Normal"/>
        <w:spacing w:lineRule="auto" w:line="312" w:before="0" w:after="120"/>
        <w:ind w:hanging="0" w:start="0"/>
        <w:jc w:val="both"/>
        <w:rPr/>
      </w:pPr>
      <w:r>
        <w:rPr>
          <w:rFonts w:eastAsia="Times New Roman" w:cs="Times New Roman"/>
          <w:color w:val="000000"/>
          <w:sz w:val="26"/>
        </w:rPr>
        <w:t>Bước 3: Kiểm tra, rà soát nội dung hợp đồng</w:t>
      </w:r>
    </w:p>
    <w:p>
      <w:pPr>
        <w:pStyle w:val="Normal"/>
        <w:spacing w:lineRule="auto" w:line="312" w:before="0" w:after="120"/>
        <w:ind w:hanging="0" w:start="0"/>
        <w:jc w:val="both"/>
        <w:rPr/>
      </w:pPr>
      <w:r>
        <w:rPr>
          <w:rFonts w:eastAsia="Times New Roman" w:cs="Times New Roman"/>
          <w:color w:val="000000"/>
          <w:sz w:val="26"/>
        </w:rPr>
        <w:t>Bước 4: Ký kết hợp đồng</w:t>
      </w:r>
    </w:p>
    <w:p>
      <w:pPr>
        <w:pStyle w:val="Normal"/>
        <w:spacing w:lineRule="auto" w:line="312" w:before="0" w:after="120"/>
        <w:ind w:firstLine="567"/>
        <w:jc w:val="both"/>
        <w:rPr/>
      </w:pPr>
      <w:r>
        <w:rPr>
          <w:rFonts w:eastAsia="Times New Roman" w:cs="Times New Roman"/>
          <w:color w:val="000000"/>
          <w:sz w:val="26"/>
        </w:rPr>
        <w:t>Xây dựng mẫu hợp đồng lao động xác định thời hạn hoặc hợp đồng lao động không xác định thời hạn tùy thuộc vào thỏa thuận của nhóm nhà đầu tư đối với người lao động. Đồng thời thiết kế về điều khoản hợp đồng lao động phù hợp đối với từng vị trí đảm nhận của nhân sự (giao dịch viên, chuyên viên lập trình, chuyên viên vận hành hệ thống,…) cũng như từng bộ phận trong doanh nghiệp (bộ phận chăm sóc khách hàng, bộ phận công nghệ và phát triển sản phẩm, bộ phận phân tích dữ liệu,…). Đặc biệt là những điều khoản về bí mật kinh doanh, bí mật công nghệ, thông tin khách hàng, thông tin đối tác ngân hàng, thông tin về hệ thống bảo mật nội bộ.</w:t>
      </w:r>
    </w:p>
    <w:p>
      <w:pPr>
        <w:pStyle w:val="Normal"/>
        <w:spacing w:lineRule="auto" w:line="312" w:before="0" w:after="120"/>
        <w:ind w:firstLine="567"/>
        <w:jc w:val="both"/>
        <w:rPr/>
      </w:pPr>
      <w:r>
        <w:rPr>
          <w:rFonts w:eastAsia="Times New Roman" w:cs="Times New Roman"/>
          <w:color w:val="000000"/>
          <w:sz w:val="26"/>
        </w:rPr>
        <w:t>Ngoài ra, hỗ trợ doanh nghiệp trong việc xác định căn cứ chấm dứt hợp đồng lao động đối với nhân sự: về thời hạn báo trước để tránh doanh nghiệp rơi vào trạng thái bị động gây gián đoạn hệ thống nếu chẳng hạn như vị trí đó đòi hỏi nhân sự phải có trình độ chuyên môn cao không phải dễ dàng có thể tuyển được, về nghĩa vụ thanh toán (tiền lương, trợ cấp,…) chưa được thanh toán để tránh phát sinh tranh chấp sau khi chấm dứt hợp đồng lao động, về nghĩa vụ bàn giao tài sản và thu hồi quyền truy cập hệ thống để tránh nguy cơ sử dụng và truy cập trái phép khi đã chấm dứt hợp đồng lao động.</w:t>
      </w:r>
    </w:p>
    <w:p>
      <w:pPr>
        <w:pStyle w:val="Normal"/>
        <w:spacing w:lineRule="auto" w:line="312" w:before="0" w:after="120"/>
        <w:ind w:firstLine="567"/>
        <w:jc w:val="both"/>
        <w:rPr/>
      </w:pPr>
      <w:r>
        <w:rPr>
          <w:rFonts w:eastAsia="Times New Roman" w:cs="Times New Roman"/>
          <w:color w:val="000000"/>
          <w:sz w:val="26"/>
        </w:rPr>
        <w:t>Căn cứ vào khoản 3 Điều 18 Bộ luật Lao động 2019 để xác định thẩm quyền ký hợp đồng lao động của doanh nghiệp.</w:t>
      </w:r>
    </w:p>
    <w:p>
      <w:pPr>
        <w:pStyle w:val="Heading3"/>
        <w:keepNext w:val="true"/>
        <w:spacing w:before="120" w:after="100"/>
        <w:rPr/>
      </w:pPr>
      <w:r>
        <w:rPr>
          <w:rFonts w:eastAsia="Times New Roman" w:cs="Times New Roman" w:ascii="Times New Roman" w:hAnsi="Times New Roman"/>
          <w:b/>
          <w:color w:val="000000"/>
          <w:sz w:val="26"/>
        </w:rPr>
        <w:t>3.2.3. Phạm vi dịch vụ.</w:t>
      </w:r>
    </w:p>
    <w:p>
      <w:pPr>
        <w:pStyle w:val="Normal"/>
        <w:spacing w:lineRule="auto" w:line="312" w:before="0" w:after="120"/>
        <w:ind w:firstLine="567"/>
        <w:jc w:val="both"/>
        <w:rPr/>
      </w:pPr>
      <w:r>
        <w:rPr>
          <w:rFonts w:eastAsia="Times New Roman" w:cs="Times New Roman"/>
          <w:color w:val="000000"/>
          <w:sz w:val="26"/>
        </w:rPr>
        <w:t>Nội dung của hợp đồng ngoài những điều khoản cụ thể về quyền và nghĩa vụ của mỗi bên thì phải có những thông tin tối thiểu được quy định tại khoản 1 Điều 21 Bộ luật Lao động 2019.</w:t>
      </w:r>
    </w:p>
    <w:p>
      <w:pPr>
        <w:pStyle w:val="Normal"/>
        <w:spacing w:lineRule="auto" w:line="312" w:before="0" w:after="120"/>
        <w:ind w:firstLine="567"/>
        <w:jc w:val="both"/>
        <w:rPr/>
      </w:pPr>
      <w:r>
        <w:rPr>
          <w:rFonts w:eastAsia="Times New Roman" w:cs="Times New Roman"/>
          <w:color w:val="000000"/>
          <w:sz w:val="26"/>
        </w:rPr>
        <w:t>Hơn nữa, do doanh nghiệp hoạt động trong lĩnh vực Fintech cung ứng dịch vụ ví điện tử có liên quan trực tiếp đến bí mật công nghệ như mã nguồn, API, cơ chế xác thực, kiến trúc hệ thống ví,…nên cần phải có thêm thỏa thuận bằng văn bản với người lao động về nội dung, thời hạn bảo vệ bí mật kinh doanh, bảo vệ bí mật công nghệ, quyền lợi và việc bồi thường trong trường hợp vi phạm theo quy định tại khoản 2 Điều 21 Bộ luật Lao động 2019 để kiểm soát rủi ro xuất phát từ việc người lao động tiếp cận mã nguồn, dữ liệu khách hàng, thông tin giao dịch, thuật toán, kiến trúc hệ thống, cơ chế bảo mật, chiến lược kinh doanh và các thông tin mật khác của doanh nghiệp tiết lộ hoặc sử dụng trái phép thông tin sau khi chấm dứt quan hệ lao động. Thỏa thuận về bảo vệ bí mật kinh doanh, bí mật công nghệ có thể gồm những nội dung chủ yếu được quy định cụ thể tại Điều 4 Thông tư 10/2020/TT/BLĐTBXH.</w:t>
      </w:r>
    </w:p>
    <w:p>
      <w:pPr>
        <w:pStyle w:val="Heading3"/>
        <w:keepNext w:val="true"/>
        <w:spacing w:before="120" w:after="100"/>
        <w:rPr/>
      </w:pPr>
      <w:r>
        <w:rPr>
          <w:rFonts w:eastAsia="Times New Roman" w:cs="Times New Roman" w:ascii="Times New Roman" w:hAnsi="Times New Roman"/>
          <w:b/>
          <w:color w:val="000000"/>
          <w:sz w:val="26"/>
        </w:rPr>
        <w:t>3.2.4. Mục đích dịch vụ.</w:t>
      </w:r>
    </w:p>
    <w:p>
      <w:pPr>
        <w:pStyle w:val="Normal"/>
        <w:spacing w:lineRule="auto" w:line="312" w:before="0" w:after="120"/>
        <w:ind w:firstLine="567"/>
        <w:jc w:val="both"/>
        <w:rPr/>
      </w:pPr>
      <w:r>
        <w:rPr>
          <w:rFonts w:eastAsia="Times New Roman" w:cs="Times New Roman"/>
          <w:color w:val="000000"/>
          <w:sz w:val="26"/>
        </w:rPr>
        <w:t>Đối với mô hình ví điện tử, có thể thấy rằng hợp đồng lao động không chỉ là công cụ xác lập quan hệ lao động mà còn là một hành lang pháp lý bảo vệ hệ thống thanh toán, thông tin giao dịch, dữ liệu khách hàng và tài sản của doanh nghiệp, giải quyết rủi ro phát sinh, tranh chấp lao động xuất phát từ bên trong doanh nghiệp. Cụ thể:</w:t>
      </w:r>
    </w:p>
    <w:p>
      <w:pPr>
        <w:pStyle w:val="Normal"/>
        <w:spacing w:lineRule="auto" w:line="312" w:before="0" w:after="120"/>
        <w:ind w:firstLine="567"/>
        <w:jc w:val="both"/>
        <w:rPr/>
      </w:pPr>
      <w:r>
        <w:rPr>
          <w:rFonts w:eastAsia="Times New Roman" w:cs="Times New Roman"/>
          <w:color w:val="000000"/>
          <w:sz w:val="26"/>
        </w:rPr>
        <w:t>Thứ nhất, hợp đồng lao động là cơ sở phân định quyền và nghĩa vụ cũng như trách nhiệm của nhân sự trong từng bộ phận đối với những vị trí có khả năng tác động trực tiếp đến hệ thống ví điện tử, chẳng hạn như một nhân viên kỹ thuật có quyền truy cập hệ thống có thể không trực tiếp giữ tiền của khách hàng nhưng lại có khả năng tác động đến hệ thống xử lý giao dịch. Do đó, hợp đồng lao động cần xác định rõ những hệ thống người lao động được phép truy cập cũng như những dữ liệu được phép sử dụng và khi vi phạm quy trình bảo mật thì phải chịu trách nhiệm như thế nào. Ví dụ: Nhân viên phát triển phần mềm có trách nhiệm gì đối với mã nguồn? Nhân viên vận hành hệ thống có được truy cập dữ liệu khách hàng không? Nhân viên có được sao chép dữ liệu ra thiết bị cá nhân không?</w:t>
      </w:r>
    </w:p>
    <w:p>
      <w:pPr>
        <w:pStyle w:val="Normal"/>
        <w:spacing w:lineRule="auto" w:line="312" w:before="0" w:after="120"/>
        <w:ind w:firstLine="567"/>
        <w:jc w:val="both"/>
        <w:rPr/>
      </w:pPr>
      <w:r>
        <w:rPr>
          <w:rFonts w:eastAsia="Times New Roman" w:cs="Times New Roman"/>
          <w:color w:val="000000"/>
          <w:sz w:val="26"/>
        </w:rPr>
        <w:t>Thứ hai, hợp đồng lao động là công cụ bảo vệ dữ liệu khách hàng. Bởi ví điện tử gắn với một lượng lớn dữ liệu liên quan đến thông tin cá nhân của khách hàng như: họ tên, ngày tháng năm sinh, số điện thoại, thông tin tài khoản, lịch sử giao dịch, căn cước công dân,…nhân sự có thể lợi dụng quyền truy cập lấy thông tin khách hàng để sử dụng ngoài mục đích công việc. Do đó, điều khoản về bảo mật thông tin dữ liệu khách hàng trong hợp đồng lao động có giá trị quản trị rủi ro rất lớn.</w:t>
      </w:r>
    </w:p>
    <w:p>
      <w:pPr>
        <w:pStyle w:val="Normal"/>
        <w:spacing w:lineRule="auto" w:line="312" w:before="0" w:after="120"/>
        <w:ind w:firstLine="567"/>
        <w:jc w:val="both"/>
        <w:rPr/>
      </w:pPr>
      <w:r>
        <w:rPr>
          <w:rFonts w:eastAsia="Times New Roman" w:cs="Times New Roman"/>
          <w:color w:val="000000"/>
          <w:sz w:val="26"/>
        </w:rPr>
        <w:t>Thứ ba, hợp đồng lao động giúp doanh nghiệp bảo vệ tài sản trí tuệ và bí mật kinh doanh cũng như tài sản doanh nghiệp. Người lao động trong doanh nghiệp như đội ngũ lập trình, công nghệ và an ninh thông tin, có thể trực tiếp tham gia xây dựng, vận hành và kiểm soát hệ thống xử lý giao dịch tài chính, đồng thời tiếp cận mã nguồn, dữ liệu khách hàng, hệ thống bảo mật và các bí mật công nghệ của doanh nghiệp. Hơn nữa, công nghệ của Fintech có tính liên kết và phức tạp cao doanh nghiệp mất rất nhiều tiền và chất xám để xây dựng hệ thống ví điện tử, nếu như không có điều khoản về điều này mà nhân viên lập trình nội bộ sao chép, tiết lộ hoặc sử dụng cho doanh nghiệp khác, doanh nghiệp có thể phải đối mặt với nguy cơ mất lợi thế cạnh tranh và phát sinh tranh chấp về quyền sở hữu trí tuệ, bí mật kinh doanh có thể gây nên thiệt hại rất lớn cho nhóm các nhà đầu tư.</w:t>
      </w:r>
    </w:p>
    <w:p>
      <w:pPr>
        <w:pStyle w:val="Heading2"/>
        <w:keepNext w:val="true"/>
        <w:spacing w:before="120" w:after="100"/>
        <w:rPr/>
      </w:pPr>
      <w:r>
        <w:rPr>
          <w:rFonts w:eastAsia="Times New Roman" w:cs="Times New Roman" w:ascii="Times New Roman" w:hAnsi="Times New Roman"/>
          <w:b/>
          <w:color w:val="000000"/>
          <w:sz w:val="26"/>
        </w:rPr>
        <w:t>3.3. Hợp đồng bảo mật thông tin (*).</w:t>
      </w:r>
    </w:p>
    <w:p>
      <w:pPr>
        <w:pStyle w:val="Heading3"/>
        <w:keepNext w:val="true"/>
        <w:spacing w:before="120" w:after="100"/>
        <w:rPr/>
      </w:pPr>
      <w:r>
        <w:rPr>
          <w:rFonts w:eastAsia="Times New Roman" w:cs="Times New Roman" w:ascii="Times New Roman" w:hAnsi="Times New Roman"/>
          <w:b/>
          <w:color w:val="000000"/>
          <w:sz w:val="26"/>
        </w:rPr>
        <w:t>3.3.1. Giới thiệu dịch vụ.</w:t>
      </w:r>
    </w:p>
    <w:p>
      <w:pPr>
        <w:pStyle w:val="Normal"/>
        <w:spacing w:lineRule="auto" w:line="312" w:before="0" w:after="120"/>
        <w:ind w:firstLine="567"/>
        <w:jc w:val="both"/>
        <w:rPr/>
      </w:pPr>
      <w:r>
        <w:rPr>
          <w:rFonts w:eastAsia="Times New Roman" w:cs="Times New Roman"/>
          <w:color w:val="000000"/>
          <w:sz w:val="26"/>
        </w:rPr>
        <w:t>Dịch vụ tư vấn nhằm hỗ trợ Công ty xây dựng hệ thống hồ sơ bảo mật phù hợp với hoạt động fintech. Nội dung tập trung vào việc xác định, phân loại và bảo vệ các thông tin quan trọng như dữ liệu khách hàng, thông tin giao dịch, bí mật kinh doanh, mã nguồn và tài liệu công nghệ; xây dựng quy chế bảo mật, NDA, cơ chế phân quyền và quy trình xử lý sự cố. Qua đó, Công ty có cơ sở pháp lý để kiểm soát việc tiếp cận và sử dụng thông tin, bảo vệ tài sản và dữ liệu, hạn chế rủi ro rò rỉ thông tin và các tranh chấp pháp lý trong quá trình hoạt động.</w:t>
      </w:r>
    </w:p>
    <w:p>
      <w:pPr>
        <w:pStyle w:val="Heading3"/>
        <w:keepNext w:val="true"/>
        <w:spacing w:before="120" w:after="100"/>
        <w:rPr/>
      </w:pPr>
      <w:r>
        <w:rPr>
          <w:rFonts w:eastAsia="Times New Roman" w:cs="Times New Roman" w:ascii="Times New Roman" w:hAnsi="Times New Roman"/>
          <w:b/>
          <w:color w:val="000000"/>
          <w:sz w:val="26"/>
        </w:rPr>
        <w:t>3.3.2. Nội dung dịch vụ.</w:t>
      </w:r>
    </w:p>
    <w:p>
      <w:pPr>
        <w:pStyle w:val="Normal"/>
        <w:spacing w:lineRule="auto" w:line="312" w:before="0" w:after="120"/>
        <w:ind w:firstLine="567"/>
        <w:jc w:val="both"/>
        <w:rPr/>
      </w:pPr>
      <w:r>
        <w:rPr>
          <w:rFonts w:eastAsia="Times New Roman" w:cs="Times New Roman"/>
          <w:color w:val="000000"/>
          <w:sz w:val="26"/>
        </w:rPr>
        <w:t>Thứ nhất, xác định đối tượng cần bảo mật: (1) Thông tin khách hàng, (2) Dữ liệu giao dịch, (3) Thông tin tài chính, (4) Bí mật kinh doanh, (5) Cơ sở dữ liệu, (6) Thông tin về sản phẩm dịch vụ, (7) Chiến lược kinh doanh, (8) Hợp đồng và thông tin của đối tác, (9) Tài liệu, (10) Quy trình nội bộ.</w:t>
      </w:r>
    </w:p>
    <w:p>
      <w:pPr>
        <w:pStyle w:val="Normal"/>
        <w:spacing w:lineRule="auto" w:line="312" w:before="0" w:after="120"/>
        <w:ind w:firstLine="567"/>
        <w:jc w:val="both"/>
        <w:rPr/>
      </w:pPr>
      <w:r>
        <w:rPr>
          <w:rFonts w:eastAsia="Times New Roman" w:cs="Times New Roman"/>
          <w:color w:val="000000"/>
          <w:sz w:val="26"/>
        </w:rPr>
        <w:t>Thứ hai, xác định chủ thể có quyền tiếp cận thông tin. Doanh nghiệp cần xây dựng cơ chế phân quyền theo chức năng, vị trí và nhu cầu công việc.</w:t>
      </w:r>
    </w:p>
    <w:p>
      <w:pPr>
        <w:pStyle w:val="Normal"/>
        <w:spacing w:lineRule="auto" w:line="312" w:before="0" w:after="120"/>
        <w:ind w:firstLine="567"/>
        <w:jc w:val="both"/>
        <w:rPr/>
      </w:pPr>
      <w:r>
        <w:rPr>
          <w:rFonts w:eastAsia="Times New Roman" w:cs="Times New Roman"/>
          <w:color w:val="000000"/>
          <w:sz w:val="26"/>
        </w:rPr>
        <w:t>Thứ ba, xác định nghĩa vụ bảo mật. Doanh nghiệp cần quy định rõ nghĩa vụ của người lao động và các bên có liên quan trong công việc: không được tiết lộ thông tin, không sử dụng thông tin ngoài mục đích được phép, không sao chép hoặc chuyển giao trái quyền và bảo quản thông tin trong thời gian làm việc.</w:t>
      </w:r>
    </w:p>
    <w:p>
      <w:pPr>
        <w:pStyle w:val="Normal"/>
        <w:spacing w:lineRule="auto" w:line="312" w:before="0" w:after="120"/>
        <w:ind w:firstLine="567"/>
        <w:jc w:val="both"/>
        <w:rPr/>
      </w:pPr>
      <w:r>
        <w:rPr>
          <w:rFonts w:eastAsia="Times New Roman" w:cs="Times New Roman"/>
          <w:color w:val="000000"/>
          <w:sz w:val="26"/>
        </w:rPr>
        <w:t>Thứ tư, xác định trách nhiệm khi vi phạm. Hồ sơ cần quy định biện pháp xử lý khi có hành vi làm mất, tiết lộ hoặc sử dụng trái phép thông tin, bao gồm trách nhiệm theo hợp đồng, trách nhiệm bồi thường và các trách nhiệm pháp lý khác nếu có.</w:t>
      </w:r>
    </w:p>
    <w:p>
      <w:pPr>
        <w:pStyle w:val="Normal"/>
        <w:spacing w:lineRule="auto" w:line="312" w:before="0" w:after="120"/>
        <w:ind w:firstLine="567"/>
        <w:jc w:val="both"/>
        <w:rPr/>
      </w:pPr>
      <w:r>
        <w:rPr>
          <w:rFonts w:eastAsia="Times New Roman" w:cs="Times New Roman"/>
          <w:color w:val="000000"/>
          <w:sz w:val="26"/>
        </w:rPr>
        <w:t>Thứ năm, bảo đảm tuân thủ pháp luật về dữ liệu cá nhân. Đây là vấn đề đặc biệt quan trọng vì doanh nghiệp có thể xử lý dữ liệu của khách hàng, người lao động và đối tác. Hồ sơ bảo mật cần phải được thiết kế đồng bộ với các quy định của pháp luật hiện hành về bảo vệ dữ liệu cá nhân.</w:t>
      </w:r>
    </w:p>
    <w:p>
      <w:pPr>
        <w:pStyle w:val="Heading3"/>
        <w:keepNext w:val="true"/>
        <w:spacing w:before="120" w:after="100"/>
        <w:rPr/>
      </w:pPr>
      <w:r>
        <w:rPr>
          <w:rFonts w:eastAsia="Times New Roman" w:cs="Times New Roman" w:ascii="Times New Roman" w:hAnsi="Times New Roman"/>
          <w:b/>
          <w:color w:val="000000"/>
          <w:sz w:val="26"/>
        </w:rPr>
        <w:t>3.3.3. Phạm vi dịch vụ.</w:t>
      </w:r>
    </w:p>
    <w:p>
      <w:pPr>
        <w:pStyle w:val="Normal"/>
        <w:spacing w:lineRule="auto" w:line="312" w:before="0" w:after="120"/>
        <w:ind w:firstLine="567"/>
        <w:jc w:val="both"/>
        <w:rPr/>
      </w:pPr>
      <w:r>
        <w:rPr>
          <w:rFonts w:eastAsia="Times New Roman" w:cs="Times New Roman"/>
          <w:color w:val="000000"/>
          <w:sz w:val="26"/>
        </w:rPr>
        <w:t>Hồ sơ bảo mật được sử dụng đối với Công ty ví điện tử và cá nhân, tổ chức có liên quan đến việc tiếp cận, quản lý, sử dụng và xử lý các thông tin của công ty,trong đó bao gồm người lao động, nhân viên, cộng tác viên, đối tác, nhà cung cấp dịch vụ và bên thứ ba được quyền tiếp cận đến thông tin. Đối tượng bảo mật gồm dữ liệu của khách hàng, các thông tin giao dịch, thông tin tài khoản, bí mật kinh doanh, mã nguồn, thuật toán, tài liệu kỹ thuật, thông tin nội bộ và các thông tin liên quan khác được công ty xác định là thông tin mật.</w:t>
      </w:r>
    </w:p>
    <w:p>
      <w:pPr>
        <w:pStyle w:val="Normal"/>
        <w:spacing w:lineRule="auto" w:line="312" w:before="0" w:after="120"/>
        <w:ind w:firstLine="567"/>
        <w:jc w:val="both"/>
        <w:rPr/>
      </w:pPr>
      <w:r>
        <w:rPr>
          <w:rFonts w:eastAsia="Times New Roman" w:cs="Times New Roman"/>
          <w:color w:val="000000"/>
          <w:sz w:val="26"/>
        </w:rPr>
        <w:t>Các quy định liên quan đến bảo mật được áp dụng bắt đầu từ thời điểm cá nhân, tổ chức được tiếp cận hoặc xử lý thông tin mật của công ty và trong khoảng thời gian có quan hệ lao động, hợp tác hoặc cung cấp dịch vụ. Còn đối với các thông tin có tính chất bí mật, nghĩa vụ bảo mật vẫn có thể tiếp tục được duy trì sau khi quan hệ lao động chấm dứt hoặc hợp tác trong thời hạn do các bên thỏa thuận hoặc cho đến khi thông tin đã không còn đáp ứng điều kiện để được bảo vệ theo quy định pháp luật.</w:t>
      </w:r>
    </w:p>
    <w:p>
      <w:pPr>
        <w:pStyle w:val="Normal"/>
        <w:spacing w:lineRule="auto" w:line="312" w:before="0" w:after="120"/>
        <w:ind w:firstLine="567"/>
        <w:jc w:val="both"/>
        <w:rPr/>
      </w:pPr>
      <w:r>
        <w:rPr>
          <w:rFonts w:eastAsia="Times New Roman" w:cs="Times New Roman"/>
          <w:color w:val="000000"/>
          <w:sz w:val="26"/>
        </w:rPr>
        <w:t>Việc mà thu thập, sử dụng, lưu trữ, cung cấp và xử lý thông tin thì phải tuân thủ theo quy định pháp luật về bảo vệ dữ liệu cá nhân, an toàn thông tin và bí mật kinh doanh. Còn đối với dữ liệu cá nhân của khách hàng, việc xử lý này phải phù hợp với Luật Bảo vệ dữ liệu cá nhân 2025 và Nghị định 356/2025/NĐ-CP. Với bí mật kinh doanh, thông tin phải đáp ứng đủ điều kiện bảo hộ theo Điều 84 Luật Sở hữu trí tuệ. Công ty không được phép thỏa thuận hoặc áp dụng những biện pháp bảo mật nhằm hạn chế những quyền mà pháp luật có quy định bắt buộc phải bảo đảm cho khách hàng, người lao động hoặc cơ quan nhà nước có thẩm quyền.</w:t>
      </w:r>
    </w:p>
    <w:p>
      <w:pPr>
        <w:pStyle w:val="Normal"/>
        <w:spacing w:lineRule="auto" w:line="312" w:before="0" w:after="120"/>
        <w:ind w:firstLine="567"/>
        <w:jc w:val="both"/>
        <w:rPr/>
      </w:pPr>
      <w:r>
        <w:rPr>
          <w:rFonts w:eastAsia="Times New Roman" w:cs="Times New Roman"/>
          <w:color w:val="000000"/>
          <w:sz w:val="26"/>
        </w:rPr>
        <w:t>Dịch vụ tư vấn hồ sơ bảo mật sẽ không bao gồm những việc trực tiếp triển khai các giải pháp kỹ thuật về an ninh mạng như xây dựng hệ thống bảo mật, kiểm thử xâm nhập, giám sát an ninh mạng và khắc phục sự cố kỹ thuật hoặc điều tra số, trừ khi trường hợp có thỏa thuận riêng. Dịch vụ cũng không bao gồm những việc đại diện Công ty giải quyết tranh chấp hay khiếu nại hoặc tố tụng liên quan đến các hành vi vi phạm bảo mật nếu các nội dung này không có quy định riêng trong hợp đồng dịch vụ.</w:t>
      </w:r>
    </w:p>
    <w:p>
      <w:pPr>
        <w:pStyle w:val="Heading3"/>
        <w:keepNext w:val="true"/>
        <w:spacing w:before="120" w:after="100"/>
        <w:rPr/>
      </w:pPr>
      <w:r>
        <w:rPr>
          <w:rFonts w:eastAsia="Times New Roman" w:cs="Times New Roman" w:ascii="Times New Roman" w:hAnsi="Times New Roman"/>
          <w:b/>
          <w:color w:val="000000"/>
          <w:sz w:val="26"/>
        </w:rPr>
        <w:t>3.3.4. Mục đích dịch vụ.</w:t>
      </w:r>
    </w:p>
    <w:p>
      <w:pPr>
        <w:pStyle w:val="Normal"/>
        <w:spacing w:lineRule="auto" w:line="312" w:before="0" w:after="120"/>
        <w:ind w:firstLine="567"/>
        <w:jc w:val="both"/>
        <w:rPr/>
      </w:pPr>
      <w:r>
        <w:rPr>
          <w:rFonts w:eastAsia="Times New Roman" w:cs="Times New Roman"/>
          <w:color w:val="000000"/>
          <w:sz w:val="26"/>
        </w:rPr>
        <w:t>Thứ nhất,bảo vệ tài sản và lợi ích của doanh nghiệp. Hồ sơ bảo mật giúp doanh nghiệp bảo vệ các thông tin có giá trị như là dữ liệu của khách hàng, bí mật trong kinh doanh, công nghệ, chiến lược kinh doanh và thông tin tài chính.</w:t>
      </w:r>
    </w:p>
    <w:p>
      <w:pPr>
        <w:pStyle w:val="Normal"/>
        <w:spacing w:lineRule="auto" w:line="312" w:before="0" w:after="120"/>
        <w:ind w:firstLine="567"/>
        <w:jc w:val="both"/>
        <w:rPr/>
      </w:pPr>
      <w:r>
        <w:rPr>
          <w:rFonts w:eastAsia="Times New Roman" w:cs="Times New Roman"/>
          <w:color w:val="000000"/>
          <w:sz w:val="26"/>
        </w:rPr>
        <w:t>Thứ hai, bảo vệ khách hàng và dữ liệu cá nhân. Việc bảo mật không chỉ bảo vệ lợi ích của doanh nghiệp mà còn bảo vệ quyền và lợi ích hợp pháp của khách hàng. Có cơ chế bảo mật tốt sẽ làm giảm nguy cơ mất dữ liệu , lộ thông tin khách hàng, truy cập một cách trái phép và nguy cơ sử dụng dữ liệu sai mục đích.</w:t>
      </w:r>
    </w:p>
    <w:p>
      <w:pPr>
        <w:pStyle w:val="Normal"/>
        <w:spacing w:lineRule="auto" w:line="312" w:before="0" w:after="120"/>
        <w:ind w:firstLine="567"/>
        <w:jc w:val="both"/>
        <w:rPr/>
      </w:pPr>
      <w:r>
        <w:rPr>
          <w:rFonts w:eastAsia="Times New Roman" w:cs="Times New Roman"/>
          <w:color w:val="000000"/>
          <w:sz w:val="26"/>
        </w:rPr>
        <w:t>Thứ ba, tạo cơ sở pháp lý để xử vi phạm. Doanh nghiệp có cơ sở rõ ràng hơn để xác định hành vi vi phạm và áp dụng các biện pháp xử lý phù hợp.</w:t>
      </w:r>
    </w:p>
    <w:p>
      <w:pPr>
        <w:pStyle w:val="Normal"/>
        <w:spacing w:lineRule="auto" w:line="312" w:before="0" w:after="120"/>
        <w:ind w:firstLine="567"/>
        <w:jc w:val="both"/>
        <w:rPr/>
      </w:pPr>
      <w:r>
        <w:rPr>
          <w:rFonts w:eastAsia="Times New Roman" w:cs="Times New Roman"/>
          <w:color w:val="000000"/>
          <w:sz w:val="26"/>
        </w:rPr>
        <w:t>Thứ tư, nâng cao khả năng chứng minh quyền đối với bí mật kinh doanh. Biện pháp này giúp củng cố vị thế pháp lý của doanh nghiệp khi có tranh chấp.</w:t>
      </w:r>
    </w:p>
    <w:p>
      <w:pPr>
        <w:pStyle w:val="Normal"/>
        <w:spacing w:lineRule="auto" w:line="312" w:before="0" w:after="120"/>
        <w:ind w:firstLine="567"/>
        <w:jc w:val="both"/>
        <w:rPr/>
      </w:pPr>
      <w:r>
        <w:rPr>
          <w:rFonts w:eastAsia="Times New Roman" w:cs="Times New Roman"/>
          <w:color w:val="000000"/>
          <w:sz w:val="26"/>
        </w:rPr>
        <w:t>Thứ năm, giúp doanh nghiệp chuẩn hóa hoạt động quản trị nội bộ. Hồ sơ bảo mật tạo thành một quy trình thống nhất cho toàn doanh nghiệp thay vì mỗi phòng ban tự xử lý thông tin theo cách riêng.</w:t>
      </w:r>
    </w:p>
    <w:p>
      <w:pPr>
        <w:pStyle w:val="Heading2"/>
        <w:keepNext w:val="true"/>
        <w:spacing w:before="120" w:after="100"/>
        <w:rPr/>
      </w:pPr>
      <w:r>
        <w:rPr>
          <w:rFonts w:eastAsia="Times New Roman" w:cs="Times New Roman" w:ascii="Times New Roman" w:hAnsi="Times New Roman"/>
          <w:b/>
          <w:color w:val="000000"/>
          <w:sz w:val="26"/>
        </w:rPr>
        <w:t>3.4. Thỏa thuận sở hữu trí tuệ.</w:t>
      </w:r>
    </w:p>
    <w:p>
      <w:pPr>
        <w:pStyle w:val="Heading3"/>
        <w:keepNext w:val="true"/>
        <w:spacing w:before="120" w:after="100"/>
        <w:rPr/>
      </w:pPr>
      <w:r>
        <w:rPr>
          <w:rFonts w:eastAsia="Times New Roman" w:cs="Times New Roman" w:ascii="Times New Roman" w:hAnsi="Times New Roman"/>
          <w:b/>
          <w:color w:val="000000"/>
          <w:sz w:val="26"/>
        </w:rPr>
        <w:t>3.4.1. Giới thiệu dịch vụ.</w:t>
      </w:r>
    </w:p>
    <w:p>
      <w:pPr>
        <w:pStyle w:val="Normal"/>
        <w:spacing w:lineRule="auto" w:line="312" w:before="0" w:after="120"/>
        <w:ind w:firstLine="567"/>
        <w:jc w:val="both"/>
        <w:rPr/>
      </w:pPr>
      <w:r>
        <w:rPr>
          <w:rFonts w:eastAsia="Times New Roman" w:cs="Times New Roman"/>
          <w:color w:val="000000"/>
          <w:sz w:val="26"/>
        </w:rPr>
        <w:t>Dịch vụ tư vấn nhằm hỗ trợ cho công ty ví điện tử xây dựng văn bản thỏa thuận sở hữu trí tuệ nhằm để xác lập rõ quyền sở hữu, quyền sử dụng cùng với trách nhiệm của các bên đối với các tài sản trí tuệ được phát sinh trong quá trình hoạt động. Nội dung tư vấn tập trung vào việc xác định và bảo vệ các tài sản như phần mềm, mã nguồn, ứng dụng ví điện tử, giao diện, thuật toán, cơ sở dữ liệu, thương hiệu, logo, tài liệu công nghệ và bí mật kinh doanh. Qua đó, giúp công ty có cơ sở pháp lý vững chắc để quản lý và khai thác hiệu quả tài sản trí tuệ, hạn chế được các nguy cơ tranh chấp xảy ra về quyền sở hữu, quyền sử dụng và hành vi xâm phạm quyền sở hữu trí tuệ trong quá trình hoạt động kinh doanh.</w:t>
      </w:r>
    </w:p>
    <w:p>
      <w:pPr>
        <w:pStyle w:val="Heading3"/>
        <w:keepNext w:val="true"/>
        <w:spacing w:before="120" w:after="100"/>
        <w:rPr/>
      </w:pPr>
      <w:r>
        <w:rPr>
          <w:rFonts w:eastAsia="Times New Roman" w:cs="Times New Roman" w:ascii="Times New Roman" w:hAnsi="Times New Roman"/>
          <w:b/>
          <w:color w:val="000000"/>
          <w:sz w:val="26"/>
        </w:rPr>
        <w:t>3.4.2. Nội dung dịch vụ.</w:t>
      </w:r>
    </w:p>
    <w:p>
      <w:pPr>
        <w:pStyle w:val="Normal"/>
        <w:spacing w:lineRule="auto" w:line="312" w:before="0" w:after="120"/>
        <w:ind w:firstLine="567"/>
        <w:jc w:val="both"/>
        <w:rPr/>
      </w:pPr>
      <w:r>
        <w:rPr>
          <w:rFonts w:eastAsia="Times New Roman" w:cs="Times New Roman"/>
          <w:color w:val="000000"/>
          <w:sz w:val="26"/>
        </w:rPr>
        <w:t>Thứ nhất, xác định các tài sản sở hữu trí tuệ thuộc phạm vi trong thỏa thuận. Việc tư vấn để xác định các tài sản sở hữu trí tuệ của Công ty về ví điện tử, trong đó bao gồm chương trình máy tính, mã nguồn, giao diện ứng dụng, cơ sở dữ liệu, thương hiệu, logo, tài liệu kỹ thuật, sáng chế hoặc giải pháp kỹ thuật và bí mật kinh doanh. Còn đối với phần mềm, chương trình máy tính sẽ được bảo hộ theo các quy định về quyền tác giả tại Điều 22 Luật Sở hữu trí tuệ và bí mật kinh doanh được bảo hộ theo quy định tại Điều 84 Luật Sở hữu trí tuệ.</w:t>
      </w:r>
    </w:p>
    <w:p>
      <w:pPr>
        <w:pStyle w:val="Normal"/>
        <w:spacing w:lineRule="auto" w:line="312" w:before="0" w:after="120"/>
        <w:ind w:firstLine="567"/>
        <w:jc w:val="both"/>
        <w:rPr/>
      </w:pPr>
      <w:r>
        <w:rPr>
          <w:rFonts w:eastAsia="Times New Roman" w:cs="Times New Roman"/>
          <w:color w:val="000000"/>
          <w:sz w:val="26"/>
        </w:rPr>
        <w:t>Thứ hai, xác định được chủ sở hữu và các chủ thể có quyền đối với tài sản sở hữu trí tuệ. Việc tư vấn để xác định tác giả, chủ sở hữu quyền tác giả và quyền của công ty với các tài sản được tạo ra do nhân viên, do cộng tác viên hoặc do đối tác. Trong trường hợp công ty giao nhiệm vụ hoặc giao ký hợp đồng với tác giả để tạo ra sản phẩm, quyền sở hữu sẽ được xác định theo quy định tại Điều 39 Luật Sở hữu trí tuệ, trừ những trường hợp mà các bên có thỏa thuận khác. Trường hợp quyền tác giả được chuyển giao thì áp dụng theo Điều 41 Luật Sở hữu trí tuệ.</w:t>
      </w:r>
    </w:p>
    <w:p>
      <w:pPr>
        <w:pStyle w:val="Normal"/>
        <w:spacing w:lineRule="auto" w:line="312" w:before="0" w:after="120"/>
        <w:ind w:firstLine="567"/>
        <w:jc w:val="both"/>
        <w:rPr/>
      </w:pPr>
      <w:r>
        <w:rPr>
          <w:rFonts w:eastAsia="Times New Roman" w:cs="Times New Roman"/>
          <w:color w:val="000000"/>
          <w:sz w:val="26"/>
        </w:rPr>
        <w:t>Thứ ba, tư vấn phân biệt các tài sản sở hữu trí tuệ có trước và tài sản được tạo ra trong quá trình hợp tác. Tư vấn giúp rà soát và đưa ra phân định rõ tài sản trí tuệ mà mỗi bên đã sở hữu trước thời điểm ký kết với tài sản được đã được tạo ra trong quá trình thực hiện hợp đồng. Còn đối với tài sản mà phát sinh trong quá trình hợp tác, thì thỏa thuận phải cần xác định được rõ chủ sở hữu, phạm vi quyền sử dụng, khai thác và chuyển giao nhằm hạn chế tranh chấp. Nội dung này đã được xây dựng trên cơ sở tại Điều 385 và Điều 398 Bộ luật Dân sự 2015 liên quan đến hợp đồng và những nội dung thỏa thuận của các bên.</w:t>
      </w:r>
    </w:p>
    <w:p>
      <w:pPr>
        <w:pStyle w:val="Normal"/>
        <w:spacing w:lineRule="auto" w:line="312" w:before="0" w:after="120"/>
        <w:ind w:firstLine="567"/>
        <w:jc w:val="both"/>
        <w:rPr/>
      </w:pPr>
      <w:r>
        <w:rPr>
          <w:rFonts w:eastAsia="Times New Roman" w:cs="Times New Roman"/>
          <w:color w:val="000000"/>
          <w:sz w:val="26"/>
        </w:rPr>
        <w:t>Thứ tư, đưa ra tư vấn về những vấn đề quyền sở hữu và khai thác chương trình máy tính, mã nguồn và công nghệ. Tư vấn nhằm xác định được quyền đối với phần mềm, mã nguồn và các sản phẩm công nghệ được công ty hoặc nhân sự, đối tác tạo ra và cũng đồng thời quy định các quyền sửa chữa, nâng cấp, sao chép, sử dụng và khai thác phần mềm. Căn cứ theo Điều 22 của Luật Sở hữu trí tuệ và những quy định được hướng dẫn tại Nghị định 17/2023/NĐ-CP về quyền tác giả, quyền liên quan.</w:t>
      </w:r>
    </w:p>
    <w:p>
      <w:pPr>
        <w:pStyle w:val="Normal"/>
        <w:spacing w:lineRule="auto" w:line="312" w:before="0" w:after="120"/>
        <w:ind w:firstLine="567"/>
        <w:jc w:val="both"/>
        <w:rPr/>
      </w:pPr>
      <w:r>
        <w:rPr>
          <w:rFonts w:eastAsia="Times New Roman" w:cs="Times New Roman"/>
          <w:color w:val="000000"/>
          <w:sz w:val="26"/>
        </w:rPr>
        <w:t>Thứ năm, tư vấn về cách thức chuyển giao và sử dụng quyền sở hữu trí tuệ.Tư vấn nhằm xây dựng các điều khoản về chuyển nhượng, chuyển giao quyền sử dụng và khai thác tài sản sở hữu trí tuệ. Còn đối với quyền sở hữu công nghiệp thì việc chuyển nhượng sẽ phải được thực hiện thông qua hợp đồng bằng văn bản quy định tại Điều 138 Luật Sở hữu trí tuệ và nội dung hợp đồng về chuyển nhượng được quy định trong Điều 140 Luật Sở hữu trí tuệ.</w:t>
      </w:r>
    </w:p>
    <w:p>
      <w:pPr>
        <w:pStyle w:val="Normal"/>
        <w:spacing w:lineRule="auto" w:line="312" w:before="0" w:after="120"/>
        <w:ind w:firstLine="567"/>
        <w:jc w:val="both"/>
        <w:rPr/>
      </w:pPr>
      <w:r>
        <w:rPr>
          <w:rFonts w:eastAsia="Times New Roman" w:cs="Times New Roman"/>
          <w:color w:val="000000"/>
          <w:sz w:val="26"/>
        </w:rPr>
        <w:t>Thứ sáu, đưa ra tư vấn về quyền và nghĩa vụ đối với bí mật kinh doanh, bí mật công nghệ. Đối với nhân viên trực tiếp trong việc tiếp cận đến mã nguồn, thuật toán, dữ liệu kỹ thuật hoặc các bí mật kinh doanh của Công ty, tư vấn đưa ra đề xuất xây dựng việc thỏa thuận về phạm vi, thời hạn, phương thức bảo vệ và trách nhiệm khi vi phạm. Căn cứ theo quy định tại khoản 2 Điều 21 Bộ luật Lao động 2019 và Điều 4 của Nghị định 145/2020/NĐ-CP.</w:t>
      </w:r>
    </w:p>
    <w:p>
      <w:pPr>
        <w:pStyle w:val="Normal"/>
        <w:spacing w:lineRule="auto" w:line="312" w:before="0" w:after="120"/>
        <w:ind w:firstLine="567"/>
        <w:jc w:val="both"/>
        <w:rPr/>
      </w:pPr>
      <w:r>
        <w:rPr>
          <w:rFonts w:eastAsia="Times New Roman" w:cs="Times New Roman"/>
          <w:color w:val="000000"/>
          <w:sz w:val="26"/>
        </w:rPr>
        <w:t>Thứ bảy, xem xét rà soát việc sử dụng tài sản sở hữu trí tuệ của bên thứ ba. Đưa ra tư vấn kiểm tra về việc sử dụng phần mềm, thư viện mã nguồn mở, hình ảnh, nội dung, công nghệ hoặc các tài sản trí tuệ khác thuộc bên thứ ba, nhằm mục đích hạn chế nguy cơ xâm phạm đến quyền sở hữu trí tuệ và trách nhiệm pháp lý phát sinh.</w:t>
      </w:r>
    </w:p>
    <w:p>
      <w:pPr>
        <w:pStyle w:val="Heading3"/>
        <w:keepNext w:val="true"/>
        <w:spacing w:before="120" w:after="100"/>
        <w:rPr/>
      </w:pPr>
      <w:r>
        <w:rPr>
          <w:rFonts w:eastAsia="Times New Roman" w:cs="Times New Roman" w:ascii="Times New Roman" w:hAnsi="Times New Roman"/>
          <w:b/>
          <w:color w:val="000000"/>
          <w:sz w:val="26"/>
        </w:rPr>
        <w:t>3.4.3. Phạm vi dịch vụ.</w:t>
      </w:r>
    </w:p>
    <w:p>
      <w:pPr>
        <w:pStyle w:val="Normal"/>
        <w:spacing w:lineRule="auto" w:line="312" w:before="0" w:after="120"/>
        <w:ind w:firstLine="567"/>
        <w:jc w:val="both"/>
        <w:rPr/>
      </w:pPr>
      <w:r>
        <w:rPr>
          <w:rFonts w:eastAsia="Times New Roman" w:cs="Times New Roman"/>
          <w:color w:val="000000"/>
          <w:sz w:val="26"/>
        </w:rPr>
        <w:t>Thỏa thuận sở hữu trí tuệ được áp dụng với Công ty ví điện tử và các cá nhân, tổ chức có sự liên quan đến trong quá trình tạo lập, sử dụng, hoạt động quản lý hoặc hoạt động khai thác tài sản sở hữu trí tuệ của Công ty, trong đó sẽ bao gồm người lao động, nhân viên về công nghệ, cộng tác viên, đối tác và bên cung cấp các dịch vụ. Đối tượng của thỏa thuận này bao gồm phần mềm, mã nguồn, ứng dụng ví điện tử, giao diện, thuật toán, nhãn hiệu, logo, tài liệu kỹ thuật, bí mật trong kinh doanh và các tài sản trí tuệ khác liên quan đến quyền của Công ty.</w:t>
      </w:r>
    </w:p>
    <w:p>
      <w:pPr>
        <w:pStyle w:val="Normal"/>
        <w:spacing w:lineRule="auto" w:line="312" w:before="0" w:after="120"/>
        <w:ind w:firstLine="567"/>
        <w:jc w:val="both"/>
        <w:rPr/>
      </w:pPr>
      <w:r>
        <w:rPr>
          <w:rFonts w:eastAsia="Times New Roman" w:cs="Times New Roman"/>
          <w:color w:val="000000"/>
          <w:sz w:val="26"/>
        </w:rPr>
        <w:t>Thỏa thuận sở hữu trí tuệ được áp dụng bắt đầu kể từ thời điểm các bên thực hiện việc ký kết hoặc kể từ thời điểm được quy định cụ thể trong hợp đồng. Đối với các tài sản trí tuệ được tạo ra trong quá trình làm việc hoặc hợp tác, các điều khoản đến quyền sở hữu và khai thác được sẽ được áp dụng trong suốt thời gian phát sinh quyền đối với các tài sản đó. Trong trường hợp chấm dứt quan hệ lao động hoặc hợp tác, các nghĩa vụ liên quan về chuyển giao quyền, không được sử dụng trái phép và bảo vệ bí mật kinh doanh tiếp tục được thực hiện theo như thời hạn được thỏa thuận và theo quy định pháp luật.</w:t>
      </w:r>
    </w:p>
    <w:p>
      <w:pPr>
        <w:pStyle w:val="Normal"/>
        <w:spacing w:lineRule="auto" w:line="312" w:before="0" w:after="120"/>
        <w:ind w:firstLine="567"/>
        <w:jc w:val="both"/>
        <w:rPr/>
      </w:pPr>
      <w:r>
        <w:rPr>
          <w:rFonts w:eastAsia="Times New Roman" w:cs="Times New Roman"/>
          <w:color w:val="000000"/>
          <w:sz w:val="26"/>
        </w:rPr>
        <w:t>Việc xác lập quyền sở hữu hoặc chuyển giao quyền sở hữu trí tuệ quy định nằm trong phạm vi quyền mà pháp luật cho phép. Theo đó các bên không được thỏa thuận gây ảnh hưởng đến các quyền về nhân thân không thể chuyển giao của tác giả hoặc quyền của chủ thể khác. Còn đối với chương trình về máy tính, mã nguồn và các sản phẩm công nghệ, quyền của các bên sẽ được xác định theo quy định về quyền tác giả, theo đó chương trình máy tính thuộc đối tượng được bảo hộ quyền tác giả quy định tại Điều 22 Luật Sở hữu trí tuệ. Việc bí mật kinh doanh, việc bảo hộ phải đáp ứng điều kiện theo Điều 84 Luật Sở hữu trí tuệ. Ngoài ra, đối với người lao động tiếp cận đến bí mật kinh doanh, bí mật công nghệ, thỏa thuận đưa ra phải phù hợp với khoản 2 Điều 21 Bộ luật Lao động 2019.</w:t>
      </w:r>
    </w:p>
    <w:p>
      <w:pPr>
        <w:pStyle w:val="Heading3"/>
        <w:keepNext w:val="true"/>
        <w:spacing w:before="120" w:after="100"/>
        <w:rPr/>
      </w:pPr>
      <w:r>
        <w:rPr>
          <w:rFonts w:eastAsia="Times New Roman" w:cs="Times New Roman" w:ascii="Times New Roman" w:hAnsi="Times New Roman"/>
          <w:b/>
          <w:color w:val="000000"/>
          <w:sz w:val="26"/>
        </w:rPr>
        <w:t>3.4.4. Mục đích dịch vụ.</w:t>
      </w:r>
    </w:p>
    <w:p>
      <w:pPr>
        <w:pStyle w:val="Normal"/>
        <w:spacing w:lineRule="auto" w:line="312" w:before="0" w:after="120"/>
        <w:ind w:firstLine="567"/>
        <w:jc w:val="both"/>
        <w:rPr/>
      </w:pPr>
      <w:r>
        <w:rPr>
          <w:rFonts w:eastAsia="Times New Roman" w:cs="Times New Roman"/>
          <w:color w:val="000000"/>
          <w:sz w:val="26"/>
        </w:rPr>
        <w:t>Thứ nhất, xác lập rõ quyền sở hữu. Làm doanh nghiệp biết được chính xác các tài sản trí tuệ nào thuộc quyền sở hữu của mình, tránh xảy ra tranh chấp với nhân viên hoặc đối tác.</w:t>
      </w:r>
    </w:p>
    <w:p>
      <w:pPr>
        <w:pStyle w:val="Normal"/>
        <w:spacing w:lineRule="auto" w:line="312" w:before="0" w:after="120"/>
        <w:ind w:firstLine="567"/>
        <w:jc w:val="both"/>
        <w:rPr/>
      </w:pPr>
      <w:r>
        <w:rPr>
          <w:rFonts w:eastAsia="Times New Roman" w:cs="Times New Roman"/>
          <w:color w:val="000000"/>
          <w:sz w:val="26"/>
        </w:rPr>
        <w:t>Thứ hai, bảo vệ tài sản công nghệ. Đối với công ty hoạt động dịch vụ ví điện tử thì công nghệ sẽ thường là tài sản cốt lõi. Thỏa thuận được đưa vào nhằm kiểm soát việc sao chép mã nguồn, sử dụng thuật toán, chuyển giao công nghệ, khai thác phần mềm và việc sử dụng dữ liệu và tài liệu kỹ thuật.</w:t>
      </w:r>
    </w:p>
    <w:p>
      <w:pPr>
        <w:pStyle w:val="Normal"/>
        <w:spacing w:lineRule="auto" w:line="312" w:before="0" w:after="120"/>
        <w:ind w:firstLine="567"/>
        <w:jc w:val="both"/>
        <w:rPr/>
      </w:pPr>
      <w:r>
        <w:rPr>
          <w:rFonts w:eastAsia="Times New Roman" w:cs="Times New Roman"/>
          <w:color w:val="000000"/>
          <w:sz w:val="26"/>
        </w:rPr>
        <w:t>Thứ ba, hạn chế các tranh chấp có thể xảy ra khi nhân viên nghỉ việc. Vì vậy khi mà doanh nghiệp đã xây dựng được một cơ chế thỏa thuận sở hữu trí tuệ rõ ràng, minh bạch ngay từ đầu thì sẽ là một cơ sở pháp lý vững chắc, chính xác đề xác định quyền các bên trước và sau khi xảy ra tranh chấp.</w:t>
      </w:r>
    </w:p>
    <w:p>
      <w:pPr>
        <w:pStyle w:val="Normal"/>
        <w:spacing w:lineRule="auto" w:line="312" w:before="0" w:after="120"/>
        <w:ind w:firstLine="567"/>
        <w:jc w:val="both"/>
        <w:rPr/>
      </w:pPr>
      <w:r>
        <w:rPr>
          <w:rFonts w:eastAsia="Times New Roman" w:cs="Times New Roman"/>
          <w:color w:val="000000"/>
          <w:sz w:val="26"/>
        </w:rPr>
        <w:t>Thứ tư, tạo ra cơ sở để thực hiện thương mại hóa tài sản trí tuệ. Khi mà các quyền sở hữu tài sản đã được quy định rõ ràng, thì công ty có thể thực hiện vào các hoạt động thương mại hóa liên quan đến tài sản trí tuệ được quyền sở hữu như là được cấp phép, chuyển nhượng, định giá, góp vốn, thương mại hóa và khai thác sản phẩm công nghệ</w:t>
      </w:r>
    </w:p>
    <w:p>
      <w:pPr>
        <w:pStyle w:val="Heading2"/>
        <w:keepNext w:val="true"/>
        <w:spacing w:before="120" w:after="100"/>
        <w:rPr/>
      </w:pPr>
      <w:r>
        <w:rPr>
          <w:rFonts w:eastAsia="Times New Roman" w:cs="Times New Roman" w:ascii="Times New Roman" w:hAnsi="Times New Roman"/>
          <w:b/>
          <w:color w:val="000000"/>
          <w:sz w:val="26"/>
        </w:rPr>
        <w:t>3.5. Hợp đồng với Giám đốc hoặc Tổng giám đốc.</w:t>
      </w:r>
    </w:p>
    <w:p>
      <w:pPr>
        <w:pStyle w:val="Heading3"/>
        <w:keepNext w:val="true"/>
        <w:spacing w:before="120" w:after="100"/>
        <w:rPr/>
      </w:pPr>
      <w:r>
        <w:rPr>
          <w:rFonts w:eastAsia="Times New Roman" w:cs="Times New Roman" w:ascii="Times New Roman" w:hAnsi="Times New Roman"/>
          <w:b/>
          <w:color w:val="000000"/>
          <w:sz w:val="26"/>
        </w:rPr>
        <w:t>3.5.1. Giới thiệu dịch vụ.</w:t>
      </w:r>
    </w:p>
    <w:p>
      <w:pPr>
        <w:pStyle w:val="Normal"/>
        <w:spacing w:lineRule="auto" w:line="312" w:before="0" w:after="120"/>
        <w:ind w:firstLine="567"/>
        <w:jc w:val="both"/>
        <w:rPr/>
      </w:pPr>
      <w:r>
        <w:rPr>
          <w:rFonts w:eastAsia="Times New Roman" w:cs="Times New Roman"/>
          <w:color w:val="000000"/>
          <w:sz w:val="26"/>
        </w:rPr>
        <w:t>Hợp đồng với giám đốc, phó giám đốc là thỏa thuận giữa công ty và các nhân được tuyển dụng hoặc được bổ nhiệm và vị trí quản lý, theo đó cá nhân cam kết thực hiện công việc quản lý, điều hành trong phạm vi chức vụ được giao, còn công ty có nghĩa vụ trả lương, thưởng và các chế độ khác theo thỏa thuận.</w:t>
      </w:r>
    </w:p>
    <w:p>
      <w:pPr>
        <w:pStyle w:val="Heading3"/>
        <w:keepNext w:val="true"/>
        <w:spacing w:before="120" w:after="100"/>
        <w:rPr/>
      </w:pPr>
      <w:r>
        <w:rPr>
          <w:rFonts w:eastAsia="Times New Roman" w:cs="Times New Roman" w:ascii="Times New Roman" w:hAnsi="Times New Roman"/>
          <w:b/>
          <w:color w:val="000000"/>
          <w:sz w:val="26"/>
        </w:rPr>
        <w:t>3.5.2. Nội dung dịch vụ.</w:t>
      </w:r>
    </w:p>
    <w:p>
      <w:pPr>
        <w:pStyle w:val="Normal"/>
        <w:spacing w:lineRule="auto" w:line="312" w:before="0" w:after="120"/>
        <w:ind w:firstLine="567"/>
        <w:jc w:val="both"/>
        <w:rPr/>
      </w:pPr>
      <w:r>
        <w:rPr>
          <w:rFonts w:eastAsia="Times New Roman" w:cs="Times New Roman"/>
          <w:color w:val="000000"/>
          <w:sz w:val="26"/>
        </w:rPr>
        <w:t>Về trình tự, thủ tục cần thực hiện khi xây dựng hợp đồng với Giám đốc, Phó Giám đốc mà nhóm các nhà đầu tư cần chuẩn bị như sau:</w:t>
      </w:r>
    </w:p>
    <w:p>
      <w:pPr>
        <w:pStyle w:val="Normal"/>
        <w:spacing w:lineRule="auto" w:line="312" w:before="0" w:after="120"/>
        <w:ind w:firstLine="567"/>
        <w:jc w:val="both"/>
        <w:rPr/>
      </w:pPr>
      <w:r>
        <w:rPr>
          <w:rFonts w:eastAsia="Times New Roman" w:cs="Times New Roman"/>
          <w:color w:val="000000"/>
          <w:sz w:val="26"/>
        </w:rPr>
        <w:t>Thứ nhất, chuẩn bị thông tin cần thiết của doanh nghiệp và người quản lý. Xác định thông tin pháp lý của doanh nghiệp, cơ cấu tổ chức quản lý, chức danh,thời hạn đảm nhiệm chức vụ, quyền hạn dự kiến được giao, mức thù lao và các điều kiện làm việc của Giám đốc, Phó Giám đốc.</w:t>
      </w:r>
    </w:p>
    <w:p>
      <w:pPr>
        <w:pStyle w:val="Normal"/>
        <w:spacing w:lineRule="auto" w:line="312" w:before="0" w:after="120"/>
        <w:ind w:firstLine="567"/>
        <w:jc w:val="both"/>
        <w:rPr/>
      </w:pPr>
      <w:r>
        <w:rPr>
          <w:rFonts w:eastAsia="Times New Roman" w:cs="Times New Roman"/>
          <w:color w:val="000000"/>
          <w:sz w:val="26"/>
        </w:rPr>
        <w:t>Thứ hai, xác định cơ chế pháp lý đối với Giám đốc, Phó Giám đốc. Rà soát Điều lệ công ty, loại hình doanh nghiệp, cơ cấu quản trị và quyết định của cơ quan có thẩm quyền để xác định người có thẩm quyền bổ nhiệm và ký hợp đồng với Giám đốc, Phó Giám đốc.</w:t>
      </w:r>
    </w:p>
    <w:p>
      <w:pPr>
        <w:pStyle w:val="Normal"/>
        <w:spacing w:lineRule="auto" w:line="312" w:before="0" w:after="120"/>
        <w:ind w:firstLine="567"/>
        <w:jc w:val="both"/>
        <w:rPr/>
      </w:pPr>
      <w:r>
        <w:rPr>
          <w:rFonts w:eastAsia="Times New Roman" w:cs="Times New Roman"/>
          <w:color w:val="000000"/>
          <w:sz w:val="26"/>
        </w:rPr>
        <w:t>Đồng thời, cần phân biệt giữa chức danh quản lý trong doanh nghiệp và quan hệ lao động. Trường hợp Giám đốc, Phó Giám đốc đồng thời làm việc cho doanh nghiệp theo quan hệ lao động thì hợp đồng phải bảo đảm các nội dung của hợp đồng lao động theo Bộ luật Lao động 2019; trường hợp chỉ xác lập quan hệ thuê người quản lý thì cần thiết kế hợp đồng phù hợp với bản chất pháp lý của quan hệ này.</w:t>
      </w:r>
    </w:p>
    <w:p>
      <w:pPr>
        <w:pStyle w:val="Normal"/>
        <w:spacing w:lineRule="auto" w:line="312" w:before="0" w:after="120"/>
        <w:ind w:firstLine="567"/>
        <w:jc w:val="both"/>
        <w:rPr/>
      </w:pPr>
      <w:r>
        <w:rPr>
          <w:rFonts w:eastAsia="Times New Roman" w:cs="Times New Roman"/>
          <w:color w:val="000000"/>
          <w:sz w:val="26"/>
        </w:rPr>
        <w:t>Thứ ba, soạn thảo hợp đồng. Xây dựng hợp đồng trên cơ sở vị trí của từng người quản lý. Đối với Giám đốc, hợp đồng tập trung vào quyền điều hành tổng thể, chiến lược kinh doanh, quản lý nhân sự, tài chính, công nghệ, hoạt động cung ứng dịch vụ ví điện tử và trách nhiệm trước doanh nghiệp.</w:t>
      </w:r>
    </w:p>
    <w:p>
      <w:pPr>
        <w:pStyle w:val="Normal"/>
        <w:spacing w:lineRule="auto" w:line="312" w:before="0" w:after="120"/>
        <w:ind w:firstLine="567"/>
        <w:jc w:val="both"/>
        <w:rPr/>
      </w:pPr>
      <w:r>
        <w:rPr>
          <w:rFonts w:eastAsia="Times New Roman" w:cs="Times New Roman"/>
          <w:color w:val="000000"/>
          <w:sz w:val="26"/>
        </w:rPr>
        <w:t>Đối với Phó Giám đốc, hợp đồng cần xác định rõ phạm vi công việc được Giám đốc hoặc cơ quan có thẩm quyền giao, quyền đại diện trong phạm vi được ủy quyền, trách nhiệm quản lý bộ phận và giới hạn thẩm quyền để tránh tình trạng chồng chéo quyền hạn với Giám đốc.</w:t>
      </w:r>
    </w:p>
    <w:p>
      <w:pPr>
        <w:pStyle w:val="Normal"/>
        <w:spacing w:lineRule="auto" w:line="312" w:before="0" w:after="120"/>
        <w:ind w:firstLine="567"/>
        <w:jc w:val="both"/>
        <w:rPr/>
      </w:pPr>
      <w:r>
        <w:rPr>
          <w:rFonts w:eastAsia="Times New Roman" w:cs="Times New Roman"/>
          <w:color w:val="000000"/>
          <w:sz w:val="26"/>
        </w:rPr>
        <w:t>Thứ tư, kiểm tra, rà soát và ký kết hợp đồng. Sau khi hoàn thiện dự thảo, rà soát sự thống nhất giữa hợp đồng với Điều lệ công ty, quyết định bổ nhiệm, quy chế quản trị nội bộ và các văn bản ủy quyền của doanh nghiệp trước khi tiến hành ký kết.</w:t>
      </w:r>
    </w:p>
    <w:p>
      <w:pPr>
        <w:pStyle w:val="Normal"/>
        <w:spacing w:lineRule="auto" w:line="312" w:before="0" w:after="120"/>
        <w:ind w:firstLine="567"/>
        <w:jc w:val="both"/>
        <w:rPr/>
      </w:pPr>
      <w:r>
        <w:rPr>
          <w:rFonts w:eastAsia="Times New Roman" w:cs="Times New Roman"/>
          <w:color w:val="000000"/>
          <w:sz w:val="26"/>
        </w:rPr>
        <w:t>Đặc biệt, đối với doanh nghiệp kinh doanh trong lĩnh vực ví điện tử, hợp đồng cần được soạn thảo để tránh trường hợp Giám đốc hoặc Phó Giám đốc được trao quyền quá rộng nhưng không có cơ chế kiểm soát tương ứng, chẳng hạn như quyền truy cập hệ thống, quyền phê duyệt giao dịch, quyền sử dụng dữ liệu khách hàng, quyền ký kết hợp đồng với đối tác ngân hàng hoặc quyền quyết định các vấn đề liên quan đến hệ thống công nghệ.</w:t>
      </w:r>
    </w:p>
    <w:p>
      <w:pPr>
        <w:pStyle w:val="Heading3"/>
        <w:keepNext w:val="true"/>
        <w:spacing w:before="120" w:after="100"/>
        <w:rPr/>
      </w:pPr>
      <w:r>
        <w:rPr>
          <w:rFonts w:eastAsia="Times New Roman" w:cs="Times New Roman" w:ascii="Times New Roman" w:hAnsi="Times New Roman"/>
          <w:b/>
          <w:color w:val="000000"/>
          <w:sz w:val="26"/>
        </w:rPr>
        <w:t>3.5.3. Phạm vi dịch vụ.</w:t>
      </w:r>
    </w:p>
    <w:p>
      <w:pPr>
        <w:pStyle w:val="Normal"/>
        <w:spacing w:lineRule="auto" w:line="312" w:before="0" w:after="120"/>
        <w:ind w:firstLine="567"/>
        <w:jc w:val="both"/>
        <w:rPr/>
      </w:pPr>
      <w:r>
        <w:rPr>
          <w:rFonts w:eastAsia="Times New Roman" w:cs="Times New Roman"/>
          <w:color w:val="000000"/>
          <w:sz w:val="26"/>
        </w:rPr>
        <w:t>Thứ nhất, đối tượng áp dụng: Hợp đồng được áp dụng đối với Giám đốc và Phó Giám đốc của công ty, là những người giữ chức vụ quản lý, điều hành và thực hiện các quyền, nghĩa vụ theo quy định của pháp luật, Điều lệ công ty và quyết định của cơ quan có thẩm quyền. Đối tượng áp dụng của hợp đồng bao gồm cá nhân được bổ nhiệm, thuê hoặc ký kết hợp đồng để thực hiện chức danh Giám đốc, Phó Giám đốc và các bên có liên quan đến việc thực hiện quyền, nghĩa vụ của các chức danh đảm nhiệm. hợp đồng cần xác định rõ quyền hạn trong việc tổ chức hoạt động hằng ngày, xây dựng và thực hiện kế hoạch kinh doanh, quản lý nhân sự, quản lý rủi ro, kiểm soát việc tuân thủ các điều kiện cung ứng dịch vụ ví điện tử và đại diện cho công ty trong phạm vi thẩm quyền</w:t>
      </w:r>
    </w:p>
    <w:p>
      <w:pPr>
        <w:pStyle w:val="Normal"/>
        <w:spacing w:lineRule="auto" w:line="312" w:before="0" w:after="120"/>
        <w:ind w:firstLine="567"/>
        <w:jc w:val="both"/>
        <w:rPr/>
      </w:pPr>
      <w:r>
        <w:rPr>
          <w:rFonts w:eastAsia="Times New Roman" w:cs="Times New Roman"/>
          <w:color w:val="000000"/>
          <w:sz w:val="26"/>
        </w:rPr>
        <w:t>Thứ hai, thời điểm áp dụng hợp đồng: Hợp đồng nên quy định rõ thời điểm phát sinh quyền và nghĩa vụ của Giám đốc, Phó Giám đốc, có thể kể từ ngày hợp đồng có hiệu lực, ngày được bổ nhiệm hoặc một ngày cụ thể do các bên thỏa thuận.</w:t>
      </w:r>
    </w:p>
    <w:p>
      <w:pPr>
        <w:pStyle w:val="Normal"/>
        <w:spacing w:lineRule="auto" w:line="312" w:before="0" w:after="120"/>
        <w:ind w:firstLine="567"/>
        <w:jc w:val="both"/>
        <w:rPr/>
      </w:pPr>
      <w:r>
        <w:rPr>
          <w:rFonts w:eastAsia="Times New Roman" w:cs="Times New Roman"/>
          <w:color w:val="000000"/>
          <w:sz w:val="26"/>
        </w:rPr>
        <w:t>Thời hạn hợp đồng có thể được xác định theo nhiệm kỳ giữ chức vụ, theo thời hạn thỏa thuận giữa công ty và người quản lý hoặc theo thời hạn khác được quy định trong Điều lệ công ty. Hợp đồng cần quy định cụ thể trường hợp bổ nhiệm lại, miễn nhiệm, từ chức, chấm dứt hợp đồng hoặc thay đổi chức danh.</w:t>
      </w:r>
    </w:p>
    <w:p>
      <w:pPr>
        <w:pStyle w:val="Normal"/>
        <w:spacing w:lineRule="auto" w:line="312" w:before="0" w:after="120"/>
        <w:ind w:firstLine="567"/>
        <w:jc w:val="both"/>
        <w:rPr/>
      </w:pPr>
      <w:r>
        <w:rPr>
          <w:rFonts w:eastAsia="Times New Roman" w:cs="Times New Roman"/>
          <w:color w:val="000000"/>
          <w:sz w:val="26"/>
        </w:rPr>
        <w:t>Thứ ba, phạm vi không được áp dụng: Hợp đồng cần quy định rằng Giám đốc, Phó Giám đốc không được tự mình quyết định hoặc tổ chức cung ứng các dịch vụ nằm ngoài phạm vi hoạt động được pháp luật cho phép hoặc ngoài phạm vi Giấy phép cung ứng dịch vụ trung gian thanh toán của công ty. Đặc biệt, không được sử dụng hợp đồng để trao cho người quản lý quyền tự ý mở rộng sản phẩm ví điện tử, triển khai phương thức thanh toán mới hoặc cung ứng dịch vụ trung gian thanh toán khác khi chưa đáp ứng điều kiện pháp luật và chưa được cơ quan có thẩm quyền chấp thuận, nếu pháp luật yêu cầu.</w:t>
      </w:r>
    </w:p>
    <w:p>
      <w:pPr>
        <w:pStyle w:val="Heading3"/>
        <w:keepNext w:val="true"/>
        <w:spacing w:before="120" w:after="100"/>
        <w:rPr/>
      </w:pPr>
      <w:r>
        <w:rPr>
          <w:rFonts w:eastAsia="Times New Roman" w:cs="Times New Roman" w:ascii="Times New Roman" w:hAnsi="Times New Roman"/>
          <w:b/>
          <w:color w:val="000000"/>
          <w:sz w:val="26"/>
        </w:rPr>
        <w:t>3.5.4. Mục đích dịch vụ.</w:t>
      </w:r>
    </w:p>
    <w:p>
      <w:pPr>
        <w:pStyle w:val="Normal"/>
        <w:spacing w:lineRule="auto" w:line="312" w:before="0" w:after="120"/>
        <w:ind w:firstLine="567"/>
        <w:jc w:val="both"/>
        <w:rPr/>
      </w:pPr>
      <w:r>
        <w:rPr>
          <w:rFonts w:eastAsia="Times New Roman" w:cs="Times New Roman"/>
          <w:color w:val="000000"/>
          <w:sz w:val="26"/>
        </w:rPr>
        <w:t>Thứ nhất, hợp đồng bảo vệ hệ thống công nghệ và dữ liệu khách hàng. Đặc thù của doanh nghiệp ví điện tử là người quản lý có thể tiếp cận các thông tin đặc biệt quan trọng như dữ liệu khách hàng, thông tin giao dịch, hệ thống xác thực, API, kiến trúc hệ thống, cơ chế bảo mật, thông tin về đối tác ngân hàng và chiến lược phát triển sản phẩm. Vì vậy, hợp đồng cần gắn nghĩa vụ bảo mật với cơ chế thu hồi quyền truy cập, bàn giao dữ liệu và tài sản, đồng thời xác định trách nhiệm khi có hành vi sử dụng hoặc tiết lộ trái phép.</w:t>
      </w:r>
    </w:p>
    <w:p>
      <w:pPr>
        <w:pStyle w:val="Normal"/>
        <w:spacing w:lineRule="auto" w:line="312" w:before="0" w:after="120"/>
        <w:ind w:firstLine="567"/>
        <w:jc w:val="both"/>
        <w:rPr/>
      </w:pPr>
      <w:r>
        <w:rPr>
          <w:rFonts w:eastAsia="Times New Roman" w:cs="Times New Roman"/>
          <w:color w:val="000000"/>
          <w:sz w:val="26"/>
        </w:rPr>
        <w:t>Thứ hai, hợp đồng giúp bảo vệ lợi ích của doanh nghiệp và nhóm nhà đầu tư. Trong doanh nghiệp, một quyết định của Giám đốc hoặc Phó Giám đốc có thể ảnh hưởng đồng thời đến tài chính, công nghệ, khách hàng và khả năng duy trì hoạt động của hệ thống. Do đó, việc quy định rõ những quyết định nào người quản lý được tự mình thực hiện và những quyết định nào phải được cơ quan quản trị hoặc nhóm nhà đầu tư thông qua sẽ giúp hạn chế nguy cơ lạm quyền.</w:t>
      </w:r>
    </w:p>
    <w:p>
      <w:pPr>
        <w:pStyle w:val="Normal"/>
        <w:spacing w:lineRule="auto" w:line="312" w:before="0" w:after="120"/>
        <w:ind w:firstLine="567"/>
        <w:jc w:val="both"/>
        <w:rPr/>
      </w:pPr>
      <w:r>
        <w:rPr>
          <w:rFonts w:eastAsia="Times New Roman" w:cs="Times New Roman"/>
          <w:color w:val="000000"/>
          <w:sz w:val="26"/>
        </w:rPr>
        <w:t>Thứ ba, hợp đồng tạo cơ sở xử lý khi Giám đốc, Phó Giám đốc chấm dứt nhiệm vụ. Việc thay đổi người quản lý trong doanh nghiệp cần được kiểm soát chặt chẽ hơn doanh nghiệp thông thường do người quản lý có thể đang nắm giữ nhiều quyền truy cập và thông tin quan trọng. Hợp đồng cần quy định rõ thời điểm chấm dứt, nghĩa vụ bàn giao, thu hồi tài sản, khóa tài khoản, thu hồi quyền truy cập hệ thống, bảo mật thông tin và giải quyết các nghĩa vụ tài chính còn tồn đọng.</w:t>
      </w:r>
    </w:p>
    <w:p>
      <w:pPr>
        <w:pStyle w:val="Normal"/>
        <w:spacing w:lineRule="auto" w:line="312" w:before="0" w:after="120"/>
        <w:ind w:firstLine="567"/>
        <w:jc w:val="both"/>
        <w:rPr/>
      </w:pPr>
      <w:r>
        <w:rPr>
          <w:rFonts w:eastAsia="Times New Roman" w:cs="Times New Roman"/>
          <w:color w:val="000000"/>
          <w:sz w:val="26"/>
        </w:rPr>
        <w:t>Qua đó, hợp đồng với Giám đốc, Phó Giám đốc vừa là cơ sở xác lập quyền và nghĩa vụ của người quản lý, vừa là một công cụ để nhóm nhà đầu tư kiểm soát quyền lực quản lý, bảo vệ tài sản, dữ liệu khách hàng, công nghệ và hạn chế các tranh chấp có thể phát sinh trong quá trình vận hành doanh nghiệp ví điện tử.</w:t>
      </w:r>
    </w:p>
    <w:p>
      <w:pPr>
        <w:pStyle w:val="Heading2"/>
        <w:keepNext w:val="true"/>
        <w:spacing w:before="120" w:after="100"/>
        <w:rPr/>
      </w:pPr>
      <w:r>
        <w:rPr>
          <w:rFonts w:eastAsia="Times New Roman" w:cs="Times New Roman" w:ascii="Times New Roman" w:hAnsi="Times New Roman"/>
          <w:b/>
          <w:color w:val="000000"/>
          <w:sz w:val="26"/>
        </w:rPr>
        <w:t>3.6. Thỏa thuận giữa các cổ đông.</w:t>
      </w:r>
    </w:p>
    <w:p>
      <w:pPr>
        <w:pStyle w:val="Heading3"/>
        <w:keepNext w:val="true"/>
        <w:spacing w:before="120" w:after="100"/>
        <w:rPr/>
      </w:pPr>
      <w:r>
        <w:rPr>
          <w:rFonts w:eastAsia="Times New Roman" w:cs="Times New Roman" w:ascii="Times New Roman" w:hAnsi="Times New Roman"/>
          <w:b/>
          <w:color w:val="000000"/>
          <w:sz w:val="26"/>
        </w:rPr>
        <w:t>3.6.1. Giới thiệu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Thỏa thuận cổ đông là dịch vụ pháp lý nhằm thiết lập một khuôn khổ thỏa thuận thống nhất giữa các cổ đông của công ty về việc sở hữu, quản trị, điều hành, đầu tư, chuyển nhượng cổ phần và giải quyết các vấn đề phát sinh trong quá trình hoạt động của doanh nghiệp. Khác với Điều lệ công ty và các quy định bắt buộc của pháp luật doanh nghiệp, Thỏa thuận cổ đông tập trung điều chỉnh mối quan hệ giữa các cổ đông trên cơ sở thỏa thuận, qua đó xác định rõ quyền, nghĩa vụ, trách nhiệm và cơ chế phối hợp của từng cổ đông.</w:t>
      </w:r>
    </w:p>
    <w:p>
      <w:pPr>
        <w:pStyle w:val="Normal"/>
        <w:spacing w:lineRule="auto" w:line="312" w:before="0" w:after="120"/>
        <w:ind w:firstLine="567"/>
        <w:jc w:val="both"/>
        <w:rPr/>
      </w:pPr>
      <w:r>
        <w:rPr>
          <w:rFonts w:eastAsia="Times New Roman" w:cs="Times New Roman"/>
          <w:color w:val="000000"/>
          <w:sz w:val="26"/>
        </w:rPr>
        <w:t>Đối với công ty hoạt động trong lĩnh vực ví điện tử, Thỏa thuận cổ đông có ý nghĩa đặc biệt quan trọng bởi đây là lĩnh vực kinh doanh có tính đặc thù, chịu sự điều chỉnh không chỉ của pháp luật doanh nghiệp mà còn của pháp luật về thanh toán không dùng tiền mặt và hoạt động cung ứng dịch vụ trung gian thanh toán. Hiện nay, khung pháp lý về lĩnh vực này bao gồm Nghị định 52/2024/NĐ-CP về thanh toán không dùng tiền mặt và các quy định của Ngân hàng Nhà nước về hoạt động cung ứng dịch vụ trung gian thanh toán; đến tháng 5/2026, Ngân hàng Nhà nước đã ban hành Văn bản hợp nhất 76/VBHN-NHNN về hoạt động cung ứng dịch vụ trung gian thanh toán.</w:t>
      </w:r>
    </w:p>
    <w:p>
      <w:pPr>
        <w:pStyle w:val="Normal"/>
        <w:spacing w:lineRule="auto" w:line="312" w:before="0" w:after="120"/>
        <w:ind w:firstLine="567"/>
        <w:jc w:val="both"/>
        <w:rPr/>
      </w:pPr>
      <w:r>
        <w:rPr>
          <w:rFonts w:eastAsia="Times New Roman" w:cs="Times New Roman"/>
          <w:color w:val="000000"/>
          <w:sz w:val="26"/>
        </w:rPr>
        <w:t>Vì vậy, dịch vụ pháp lý của chúng tôi không chỉ đơn thuần là soạn một văn bản ghi nhận tỷ lệ sở hữu của các cổ đông mà còn phải thiết kế cơ chế quản trị và kiểm soát phù hợp với đặc điểm của doanh nghiệp, bảo đảm thỏa thuận giữa các cổ đông không xung đột với Điều lệ công ty, Luật Doanh nghiệp và các quy định pháp luật chuyên ngành có liên quan.</w:t>
      </w:r>
    </w:p>
    <w:p>
      <w:pPr>
        <w:pStyle w:val="Heading3"/>
        <w:keepNext w:val="true"/>
        <w:spacing w:before="120" w:after="100"/>
        <w:rPr/>
      </w:pPr>
      <w:r>
        <w:rPr>
          <w:rFonts w:eastAsia="Times New Roman" w:cs="Times New Roman" w:ascii="Times New Roman" w:hAnsi="Times New Roman"/>
          <w:b/>
          <w:color w:val="000000"/>
          <w:sz w:val="26"/>
        </w:rPr>
        <w:t>3.6.2. Nội dung dịch vụ.</w:t>
      </w:r>
    </w:p>
    <w:p>
      <w:pPr>
        <w:pStyle w:val="Normal"/>
        <w:spacing w:lineRule="auto" w:line="312" w:before="0" w:after="120"/>
        <w:ind w:firstLine="567"/>
        <w:jc w:val="both"/>
        <w:rPr/>
      </w:pPr>
      <w:r>
        <w:rPr>
          <w:rFonts w:eastAsia="Times New Roman" w:cs="Times New Roman"/>
          <w:color w:val="000000"/>
          <w:sz w:val="26"/>
        </w:rPr>
        <w:t>Thứ nhất, tư vấn và xác định cấu trúc quyền sở hữu của các cổ đông. Rà soát cơ cấu cổ đông hiện tại hoặc dự kiến của doanh nghiệp, tỷ lệ sở hữu của từng cổ đông, quyền biểu quyết, quyền nhận cổ tức, quyền tham gia quản trị và các quyền kinh tế khác. Trên cơ sở đó, luật sư tư vấn cách thức ghi nhận quyền và lợi ích của từng nhóm cổ đông trong Thỏa thuận cổ đông. Đối với doanh nghiệp có khả năng tiếp nhận vốn từ nhà đầu tư mới trong các vòng gọi vốn, nội dung này còn có thể bao gồm cơ chế bảo vệ tỷ lệ sở hữu của cổ đông hiện hữu, quyền ưu tiên tham gia các vòng gọi vốn tiếp theo và cơ chế xử lý trường hợp cổ đông bị pha loãng tỷ lệ sở hữu.</w:t>
      </w:r>
    </w:p>
    <w:p>
      <w:pPr>
        <w:pStyle w:val="Normal"/>
        <w:spacing w:lineRule="auto" w:line="312" w:before="0" w:after="120"/>
        <w:ind w:firstLine="567"/>
        <w:jc w:val="both"/>
        <w:rPr/>
      </w:pPr>
      <w:r>
        <w:rPr>
          <w:rFonts w:eastAsia="Times New Roman" w:cs="Times New Roman"/>
          <w:color w:val="000000"/>
          <w:sz w:val="26"/>
        </w:rPr>
        <w:t>Thứ hai, tư vấn cơ chế quản trị và quyền kiểm soát công ty. Đây là một trong những nội dung quan trọng nhất của Thỏa thuận cổ đông. Xây dựng các quy định về cơ cấu Hội đồng quản trị, quyền đề cử và bổ nhiệm thành viên Hội đồng quản trị, quyền đề cử người quản lý, tỷ lệ biểu quyết đối với từng nhóm quyết định và các vấn đề phải được sự chấp thuận của một tỷ lệ cổ đông nhất định. Đặc biệt, đối với công ty, có thể xác định một nhóm vấn đề trọng yếu mà Hội đồng quản trị hoặc Đại hội đồng cổ đông không được quyết định nếu chưa có sự đồng ý của cổ đông hoặc nhóm cổ đông đáp ứng một tỷ lệ biểu quyết nhất định.</w:t>
      </w:r>
    </w:p>
    <w:p>
      <w:pPr>
        <w:pStyle w:val="Normal"/>
        <w:spacing w:lineRule="auto" w:line="312" w:before="0" w:after="120"/>
        <w:ind w:firstLine="567"/>
        <w:jc w:val="both"/>
        <w:rPr/>
      </w:pPr>
      <w:r>
        <w:rPr>
          <w:rFonts w:eastAsia="Times New Roman" w:cs="Times New Roman"/>
          <w:color w:val="000000"/>
          <w:sz w:val="26"/>
        </w:rPr>
        <w:t>Ví dụ, các vấn đề trọng yếu có thể bao gồm: thay đổi ngành nghề kinh doanh cốt lõi; thay đổi mô hình kinh doanh ví điện tử; đầu tư hoặc bán tài sản có giá trị lớn; vay hoặc huy động vốn vượt một ngưỡng nhất định; phát hành thêm cổ phần; sáp nhập, hợp nhất, chia, tách hoặc giải thể công ty; thay đổi Điều lệ; giao dịch với bên có liên quan; hoặc thực hiện các giao dịch có khả năng làm thay đổi đáng kể quyền kiểm soát công ty.</w:t>
      </w:r>
    </w:p>
    <w:p>
      <w:pPr>
        <w:pStyle w:val="Normal"/>
        <w:spacing w:lineRule="auto" w:line="312" w:before="0" w:after="120"/>
        <w:ind w:firstLine="567"/>
        <w:jc w:val="both"/>
        <w:rPr/>
      </w:pPr>
      <w:r>
        <w:rPr>
          <w:rFonts w:eastAsia="Times New Roman" w:cs="Times New Roman"/>
          <w:color w:val="000000"/>
          <w:sz w:val="26"/>
        </w:rPr>
        <w:t>Thứ ba, tư vấn cơ chế chuyển nhượng cổ phần và kiểm soát sự gia nhập của cổ đông mới. Thỏa thuận có thể quy định quyền ưu tiên mua cổ phần, quyền chào bán trước, quyền cùng bán, quyền yêu cầu bán cùng, điều kiện đối với người nhận chuyển nhượng và thủ tục thực hiện việc chuyển nhượng. Mục đích là tránh trường hợp một cổ đông tự ý chuyển nhượng cổ phần cho một bên thứ ba không phù hợp với định hướng của công ty hoặc làm thay đổi cơ cấu kiểm soát mà các cổ đông còn lại không lường trước được. Những nội dung này phải được thiết kế tương thích với các quy định của Luật Doanh nghiệp về cổ phần và chuyển nhượng cổ phần. Luật Doanh nghiệp 2020 hiện là văn bản pháp luật nền tảng điều chỉnh tổ chức và hoạt động của công ty cổ phần.</w:t>
      </w:r>
    </w:p>
    <w:p>
      <w:pPr>
        <w:pStyle w:val="Normal"/>
        <w:spacing w:lineRule="auto" w:line="312" w:before="0" w:after="120"/>
        <w:ind w:firstLine="567"/>
        <w:jc w:val="both"/>
        <w:rPr/>
      </w:pPr>
      <w:r>
        <w:rPr>
          <w:rFonts w:eastAsia="Times New Roman" w:cs="Times New Roman"/>
          <w:color w:val="000000"/>
          <w:sz w:val="26"/>
        </w:rPr>
        <w:t>Thứ tư, tư vấn cơ chế bảo vệ quyền lợi của cổ đông và xử lý xung đột lợi ích. Xây dựng các điều khoản về bảo mật thông tin, không cạnh tranh, không lôi kéo nhân sự, bảo vệ tài sản trí tuệ, xử lý giao dịch với bên có liên quan và nghĩa vụ cung cấp thông tin giữa các cổ đông. Đối với công ty, nội dung này đặc biệt quan trọng bởi giá trị của doanh nghiệp không chỉ nằm ở vốn mà còn nằm ở công nghệ, phần mềm, dữ liệu, hệ thống vận hành, quan hệ với ngân hàng và đối tác thanh toán, giấy phép/điều kiện hoạt động và đội ngũ nhân sự chủ chốt.</w:t>
      </w:r>
    </w:p>
    <w:p>
      <w:pPr>
        <w:pStyle w:val="Normal"/>
        <w:spacing w:lineRule="auto" w:line="312" w:before="0" w:after="120"/>
        <w:ind w:firstLine="567"/>
        <w:jc w:val="both"/>
        <w:rPr/>
      </w:pPr>
      <w:r>
        <w:rPr>
          <w:rFonts w:eastAsia="Times New Roman" w:cs="Times New Roman"/>
          <w:color w:val="000000"/>
          <w:sz w:val="26"/>
        </w:rPr>
        <w:t>Thứ năm, xây dựng cơ chế xử lý tình trạng bế tắc trong quản trị. Trong trường hợp các cổ đông có tỷ lệ sở hữu tương đối cân bằng và không thể đạt được sự thống nhất về một vấn đề quan trọng, doanh nghiệp có thể rơi vào tình trạng không thể ra quyết định. Vì vậy, Thỏa thuận cổ đông có thể thiết lập một quy trình xử lý theo từng bước, chẳng hạn như đàm phán giữa các cổ đông → hòa giải → đưa vấn đề cho bên thứ ba độc lập → cơ chế mua bán cổ phần hoặc cơ chế thoái vốn nếu bế tắc kéo dài.</w:t>
      </w:r>
    </w:p>
    <w:p>
      <w:pPr>
        <w:pStyle w:val="Normal"/>
        <w:spacing w:lineRule="auto" w:line="312" w:before="0" w:after="120"/>
        <w:ind w:firstLine="567"/>
        <w:jc w:val="both"/>
        <w:rPr/>
      </w:pPr>
      <w:r>
        <w:rPr>
          <w:rFonts w:eastAsia="Times New Roman" w:cs="Times New Roman"/>
          <w:color w:val="000000"/>
          <w:sz w:val="26"/>
        </w:rPr>
        <w:t>Thứ sáu, tư vấn cơ chế thoái vốn và các sự kiện làm thay đổi quyền sở hữu. Đối với startup, khả năng gọi vốn, có nhà đầu tư chiến lược, sáp nhập hoặc bán doanh nghiệp là những tình huống có thể xảy ra. Do đó, thiết kế trước các cơ chế như quyền bán cổ phần, quyền yêu cầu mua lại trong một số trường hợp, quyền cùng bán, quyền yêu cầu bán cùng hoặc cơ chế Exit. Việc chuẩn bị trước những cơ chế này giúp hạn chế tranh chấp khi doanh nghiệp bước vào giai đoạn gọi vốn hoặc thay đổi cơ cấu sở hữu.</w:t>
      </w:r>
    </w:p>
    <w:p>
      <w:pPr>
        <w:pStyle w:val="Heading3"/>
        <w:keepNext w:val="true"/>
        <w:spacing w:before="120" w:after="100"/>
        <w:rPr/>
      </w:pPr>
      <w:r>
        <w:rPr>
          <w:rFonts w:eastAsia="Times New Roman" w:cs="Times New Roman" w:ascii="Times New Roman" w:hAnsi="Times New Roman"/>
          <w:b/>
          <w:color w:val="000000"/>
          <w:sz w:val="26"/>
        </w:rPr>
        <w:t>3.6.3. Phạm vi dịch vụ.</w:t>
      </w:r>
    </w:p>
    <w:p>
      <w:pPr>
        <w:pStyle w:val="Normal"/>
        <w:spacing w:lineRule="auto" w:line="312" w:before="0" w:after="120"/>
        <w:ind w:firstLine="567"/>
        <w:jc w:val="both"/>
        <w:rPr/>
      </w:pPr>
      <w:r>
        <w:rPr>
          <w:rFonts w:eastAsia="Times New Roman" w:cs="Times New Roman"/>
          <w:color w:val="000000"/>
          <w:sz w:val="26"/>
        </w:rPr>
        <w:t>Phạm vi dịch vụ tư vấn và soạn thảo Hợp đồng Thỏa thuận cổ đông được xác định cụ thể nhằm làm rõ ranh giới trách nhiệm của chúng tôi cũng như quyền lợi của khách hàng trong suốt quá trình cung cấp dịch vụ pháp lý. Việc thiết lập phạm vi chi tiết ngay từ đầu giúp các bên nắm rõ lộ trình triển khai, tối ưu hóa cơ chế phối hợp và ngăn ngừa những hiểu lầm không đáng có liên quan đến nghĩa vụ của tư vấn pháp lý. Phạm vi dịch vụ cụ thể được xác định thông qua các khía cạnh sau:</w:t>
      </w:r>
    </w:p>
    <w:p>
      <w:pPr>
        <w:pStyle w:val="Normal"/>
        <w:spacing w:lineRule="auto" w:line="312" w:before="0" w:after="120"/>
        <w:ind w:firstLine="567"/>
        <w:jc w:val="both"/>
        <w:rPr/>
      </w:pPr>
      <w:r>
        <w:rPr>
          <w:rFonts w:eastAsia="Times New Roman" w:cs="Times New Roman"/>
          <w:color w:val="000000"/>
          <w:sz w:val="26"/>
        </w:rPr>
        <w:t>Về đối tượng áp dụng, dịch vụ được thiết kế trực tiếp cho các cổ đông của công ty hoạt động trong lĩnh vực ví điện tử và trung gian thanh toán, bao gồm cổ đông sáng lập, cổ đông hiện hữu, các nhà đầu tư chiến lược, nhà đầu tư tài chính cũng như các bên dự kiến tham gia vào các vòng gọi vốn tương lai. Đồng thời, đối tượng áp dụng còn bao gồm chính bản thân công ty với tư cách là chủ thể chịu sự tác động trực tiếp từ các cơ chế quản trị, điều hành, kiểm soát và chuyển nhượng vốn được xác lập trong Thỏa thuận cổ đông.</w:t>
      </w:r>
    </w:p>
    <w:p>
      <w:pPr>
        <w:pStyle w:val="Normal"/>
        <w:spacing w:lineRule="auto" w:line="312" w:before="0" w:after="120"/>
        <w:ind w:firstLine="567"/>
        <w:jc w:val="both"/>
        <w:rPr/>
      </w:pPr>
      <w:r>
        <w:rPr>
          <w:rFonts w:eastAsia="Times New Roman" w:cs="Times New Roman"/>
          <w:color w:val="000000"/>
          <w:sz w:val="26"/>
        </w:rPr>
        <w:t>Về thời điểm và thời hạn áp dụng, dịch vụ được thực hiện xuyên suốt toàn bộ thời gian thiết lập thỏa thuận, bắt đầu từ giai đoạn tiếp nhận nhu cầu ban đầu cho đến khi hoàn thiện, ký kết và hỗ trợ triển khai thực tế. Cụ thể, giai đoạn đầu tiên là rà soát và đánh giá pháp lý, nơi chúng tôi nghiên cứu cơ cấu cổ đông, Điều lệ công ty, Giấy chứng nhận đăng ký doanh nghiệp, các thỏa thuận đầu tư hiện hữu và hồ sơ gọi vốn để xác định rủi ro. Giai đoạn thứ hai tập trung vào tư vấn và xây dựng cấu trúc, thông qua việc đàm phán với từng nhóm cổ đông nhằm làm rõ mục tiêu riêng biệt—như bảo vệ quyền kiểm soát cho cổ đông sáng lập hay cơ chế thoái vốn cho nhà đầu tư—để thiết kế cấu trúc phù hợp. Giai đoạn thứ ba là soạn thảo và hoàn thiện hợp đồng, trong đó chúng tôi sẽ xây dựng dự thảo, bảo đảm tính đồng bộ với Điều lệ, đồng thời tham gia các cuộc họp đàm phán để giải thích và bảo vệ các điều khoản. Giai đoạn cuối cùng là hỗ trợ ký kết và triển khai, bao gồm việc tư vấn thủ tục, chuẩn bị hồ sơ đồng bộ hóa vào Điều lệ hoặc Nghị quyết công ty, và có thể mở rộng thành dịch vụ tư vấn pháp lý định kỳ trong quá trình thực thi thỏa thuận nếu các bên có nhu cầu.</w:t>
      </w:r>
    </w:p>
    <w:p>
      <w:pPr>
        <w:pStyle w:val="Normal"/>
        <w:spacing w:lineRule="auto" w:line="312" w:before="0" w:after="120"/>
        <w:ind w:firstLine="567"/>
        <w:jc w:val="both"/>
        <w:rPr/>
      </w:pPr>
      <w:r>
        <w:rPr>
          <w:rFonts w:eastAsia="Times New Roman" w:cs="Times New Roman"/>
          <w:color w:val="000000"/>
          <w:sz w:val="26"/>
        </w:rPr>
        <w:t>Về giới hạn và hạn chế bởi quy định pháp luật, việc tư vấn và thiết kế Thỏa thuận cổ đông bị hạn chế bởi khung pháp lý cấm hoặc bắt buộc của Luật Doanh nghiệp 2020 cùng các quy định pháp luật chuyên ngành về thanh toán không dùng tiền mặt và trung gian thanh toán, cụ thể như Nghị định 52/2024/NĐ-CP và Văn bản hợp nhất 76/VBHN-NHNN năm 2026 của Ngân hàng Nhà nước. Các điều khoản thỏa thuận giữa các cổ đông dù dựa trên sự tự nguyện tuyệt đối nhưng cũng không được trái với các quy định mang tính cấm đoán của pháp luật, không được vi phạm các điều kiện về tỷ lệ sở hữu nước ngoài, điều kiện nhân sự hay các chuẩn mực quản trị bắt buộc do Ngân hàng Nhà nước quy định đối với tổ chức cung ứng dịch vụ trung gian thanh toán.</w:t>
      </w:r>
    </w:p>
    <w:p>
      <w:pPr>
        <w:pStyle w:val="Normal"/>
        <w:spacing w:lineRule="auto" w:line="312" w:before="0" w:after="120"/>
        <w:ind w:firstLine="567"/>
        <w:jc w:val="both"/>
        <w:rPr/>
      </w:pPr>
      <w:r>
        <w:rPr>
          <w:rFonts w:eastAsia="Times New Roman" w:cs="Times New Roman"/>
          <w:color w:val="000000"/>
          <w:sz w:val="26"/>
        </w:rPr>
        <w:t>Về phạm vi dịch vụ này thì hoàn toàn không bao gồm việc bảo đảm hay cam kết rằng doanh nghiệp sẽ được Ngân hàng Nhà nước cấp Giấy phép hoạt động cung ứng dịch vụ trung gian thanh toán (ví điện tử), cũng như không bao gồm việc đại diện thay thế cơ quan nhà nước trong việc chấp thuận hay thẩm định các điều kiện hoạt động của doanh nghiệp. Việc cấp phép, phê duyệt hoặc giám sát hoạt động cung ứng dịch vụ thanh toán vẫn thuộc thẩm quyền định đoạt riêng biệt và tuyệt đối của Ngân hàng Nhà nước và các cơ quan nhà nước có thẩm quyền theo quy định.</w:t>
      </w:r>
    </w:p>
    <w:p>
      <w:pPr>
        <w:pStyle w:val="Heading3"/>
        <w:keepNext w:val="true"/>
        <w:spacing w:before="120" w:after="100"/>
        <w:rPr/>
      </w:pPr>
      <w:r>
        <w:rPr>
          <w:rFonts w:eastAsia="Times New Roman" w:cs="Times New Roman" w:ascii="Times New Roman" w:hAnsi="Times New Roman"/>
          <w:b/>
          <w:color w:val="000000"/>
          <w:sz w:val="26"/>
        </w:rPr>
        <w:t>3.6.4. Mục đích dịch vụ.</w:t>
      </w:r>
    </w:p>
    <w:p>
      <w:pPr>
        <w:pStyle w:val="Normal"/>
        <w:spacing w:lineRule="auto" w:line="312" w:before="0" w:after="120"/>
        <w:ind w:firstLine="567"/>
        <w:jc w:val="both"/>
        <w:rPr/>
      </w:pPr>
      <w:r>
        <w:rPr>
          <w:rFonts w:eastAsia="Times New Roman" w:cs="Times New Roman"/>
          <w:color w:val="000000"/>
          <w:sz w:val="26"/>
        </w:rPr>
        <w:t>Thứ nhất, hạn chế tranh chấp giữa các cổ đông. Trong thực tế, Điều lệ công ty thường chỉ quy định những vấn đề mang tính tổ chức và quản trị theo yêu cầu của pháp luật. Trong khi đó, các cổ đông có thể có những thỏa thuận cụ thể hơn về quyền kiểm soát, chuyển nhượng cổ phần, gọi vốn, thoái vốn hoặc xử lý khi có bất đồng. Thỏa thuận cổ đông giúp chuyển những thống nhất này thành các điều khoản có tính ràng buộc giữa các bên, qua đó giảm nguy cơ tranh chấp khi quyền lợi của các cổ đông phát sinh xung đột.</w:t>
      </w:r>
    </w:p>
    <w:p>
      <w:pPr>
        <w:pStyle w:val="Normal"/>
        <w:spacing w:lineRule="auto" w:line="312" w:before="0" w:after="120"/>
        <w:ind w:firstLine="567"/>
        <w:jc w:val="both"/>
        <w:rPr/>
      </w:pPr>
      <w:r>
        <w:rPr>
          <w:rFonts w:eastAsia="Times New Roman" w:cs="Times New Roman"/>
          <w:color w:val="000000"/>
          <w:sz w:val="26"/>
        </w:rPr>
        <w:t>Thứ hai, xác định rõ ai có quyền quyết định vấn đề gì. Đây là vấn đề đặc biệt quan trọng đối với công ty. Khi doanh nghiệp phát triển, quyết định của một nhóm cổ đông có thể ảnh hưởng trực tiếp đến chiến lược kinh doanh, công nghệ, vốn đầu tư và khả năng duy trì hoạt động. Thỏa thuận cổ đông giúp phân định trước quyền quyết định, quyền phủ quyết và những vấn đề phải đạt được sự đồng thuận, từ đó hạn chế tình trạng một cổ đông hoặc một nhóm cổ đông đơn phương kiểm soát các quyết định quan trọng.</w:t>
      </w:r>
    </w:p>
    <w:p>
      <w:pPr>
        <w:pStyle w:val="Normal"/>
        <w:spacing w:lineRule="auto" w:line="312" w:before="0" w:after="120"/>
        <w:ind w:firstLine="567"/>
        <w:jc w:val="both"/>
        <w:rPr/>
      </w:pPr>
      <w:r>
        <w:rPr>
          <w:rFonts w:eastAsia="Times New Roman" w:cs="Times New Roman"/>
          <w:color w:val="000000"/>
          <w:sz w:val="26"/>
        </w:rPr>
        <w:t>Thứ ba, bảo vệ nhà đầu tư và cổ đông sáng lập trong quá trình gọi vốn. Khi công ty huy động vốn, tỷ lệ sở hữu của cổ đông có thể thay đổi. Nếu không có cơ chế bảo vệ phù hợp, cổ đông sáng lập có thể mất quyền kiểm soát hoặc nhà đầu tư có thể không có đủ quyền bảo vệ khoản đầu tư của mình. Thỏa thuận cổ đông có thể giải quyết vấn đề này thông qua các cơ chế như quyền ưu tiên đầu tư, quyền tham gia vòng gọi vốn mới, quyền phủ quyết đối với vấn đề trọng yếu và cơ chế bảo vệ khi có giao dịch làm thay đổi quyền kiểm soát.</w:t>
      </w:r>
    </w:p>
    <w:p>
      <w:pPr>
        <w:pStyle w:val="Normal"/>
        <w:spacing w:lineRule="auto" w:line="312" w:before="0" w:after="120"/>
        <w:ind w:firstLine="567"/>
        <w:jc w:val="both"/>
        <w:rPr/>
      </w:pPr>
      <w:r>
        <w:rPr>
          <w:rFonts w:eastAsia="Times New Roman" w:cs="Times New Roman"/>
          <w:color w:val="000000"/>
          <w:sz w:val="26"/>
        </w:rPr>
        <w:t>Thứ tư, kiểm soát việc chuyển nhượng cổ phần. Đối với một doanh nghiệp, việc một cổ đông chuyển nhượng cổ phần cho một bên thứ ba không phù hợp có thể ảnh hưởng đến chiến lược kinh doanh, quyền kiểm soát và thậm chí tạo ra những vấn đề về quản trị, tuân thủ. Thỏa thuận cổ đông cho phép các bên dự liệu trước trường hợp này và xây dựng cơ chế kiểm soát việc chuyển nhượng.</w:t>
      </w:r>
    </w:p>
    <w:p>
      <w:pPr>
        <w:pStyle w:val="Normal"/>
        <w:spacing w:lineRule="auto" w:line="312" w:before="0" w:after="120"/>
        <w:ind w:firstLine="567"/>
        <w:jc w:val="both"/>
        <w:rPr/>
      </w:pPr>
      <w:r>
        <w:rPr>
          <w:rFonts w:eastAsia="Times New Roman" w:cs="Times New Roman"/>
          <w:color w:val="000000"/>
          <w:sz w:val="26"/>
        </w:rPr>
        <w:t>Thứ năm, xử lý tình trạng bế tắc giữa các cổ đông. Thay vì đến khi tranh chấp xảy ra mới tìm phương án giải quyết, Thỏa thuận cổ đông có thể thiết lập sẵn cơ chế xử lý deadlock. Đây là giá trị quan trọng của dịch vụ: không chỉ giải quyết tranh chấp đã xảy ra mà còn dữ liệu rủi ro và thiết kế cơ chế pháp lý để ngăn tranh chấp phát sinh.</w:t>
      </w:r>
    </w:p>
    <w:p>
      <w:pPr>
        <w:pStyle w:val="Normal"/>
        <w:spacing w:lineRule="auto" w:line="312" w:before="0" w:after="120"/>
        <w:ind w:firstLine="567"/>
        <w:jc w:val="both"/>
        <w:rPr/>
      </w:pPr>
      <w:r>
        <w:rPr>
          <w:rFonts w:eastAsia="Times New Roman" w:cs="Times New Roman"/>
          <w:color w:val="000000"/>
          <w:sz w:val="26"/>
        </w:rPr>
        <w:t>Thứ sáu, bảo đảm sự thống nhất giữa quyền lợi của cổ đông và yêu cầu pháp luật chuyên ngành. Công ty ví điện tử không phải là một doanh nghiệp thông thường chỉ chịu sự điều chỉnh của Luật Doanh nghiệp. Hoạt động thanh toán không dùng tiền mặt và trung gian thanh toán có khung pháp lý chuyên ngành của Ngân hàng Nhà nước; hiện đã có Nghị định 52/2024/NĐ-CP và Văn bản hợp nhất 76/VBHN-NHNN năm 2026 về hoạt động cung ứng dịch vụ trung gian thanh toán. Do đó, việc tư vấn Thỏa thuận cổ đông cần đặt trong tổng thể pháp lý của doanh nghiệp, tránh thiết kế các quyền của cổ đông theo cách có thể ảnh hưởng đến khả năng tuân thủ pháp luật hoặc hoạt động được cấp phép của công ty.</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4. TƯ VẤN PHÁP LÝ PHỤC VỤ HOẠT ĐỘNG KINH DOANH.</w:t>
      </w:r>
    </w:p>
    <w:p>
      <w:pPr>
        <w:pStyle w:val="Heading2"/>
        <w:keepNext w:val="true"/>
        <w:spacing w:before="120" w:after="100"/>
        <w:rPr/>
      </w:pPr>
      <w:r>
        <w:rPr>
          <w:rFonts w:eastAsia="Times New Roman" w:cs="Times New Roman" w:ascii="Times New Roman" w:hAnsi="Times New Roman"/>
          <w:b/>
          <w:color w:val="000000"/>
          <w:sz w:val="26"/>
        </w:rPr>
        <w:t>4.1. Hợp đồng mở và sử dụng ví điện tử (*).</w:t>
      </w:r>
    </w:p>
    <w:p>
      <w:pPr>
        <w:pStyle w:val="Heading3"/>
        <w:keepNext w:val="true"/>
        <w:spacing w:before="120" w:after="100"/>
        <w:rPr/>
      </w:pPr>
      <w:r>
        <w:rPr>
          <w:rFonts w:eastAsia="Times New Roman" w:cs="Times New Roman" w:ascii="Times New Roman" w:hAnsi="Times New Roman"/>
          <w:b/>
          <w:color w:val="000000"/>
          <w:sz w:val="26"/>
        </w:rPr>
        <w:t>4.1.1. Giới thiệu dịch vụ.</w:t>
      </w:r>
    </w:p>
    <w:p>
      <w:pPr>
        <w:pStyle w:val="Normal"/>
        <w:spacing w:lineRule="auto" w:line="312" w:before="0" w:after="120"/>
        <w:ind w:firstLine="567"/>
        <w:jc w:val="both"/>
        <w:rPr/>
      </w:pPr>
      <w:r>
        <w:rPr>
          <w:rFonts w:eastAsia="Times New Roman" w:cs="Times New Roman"/>
          <w:color w:val="000000"/>
          <w:sz w:val="26"/>
        </w:rPr>
        <w:t>Dịch vụ ví điện tử là dịch vụ trung gian thanh toán được cung ứng thông quan phương tiện điện tư, cho phép khách hàng đăng ký, mở và sử dụng tài khoản ví điện tử theo quy định của pháp luật và quy định của tổ chức cung ứng dịch vụ. Hợp đồng cung ứng dịch vụ mở và cung ứng dịch vụ ví điện tử là văn bản pháp lý thiết lập mối quan hệ giữa tổ chức cung ứng dịch vụ ví điện từ và khách hàng, làm cơ sở điều chỉnh việc đăng ký, mở, quản lý và sử dụng ví điện tử cũng như thực hiện các giao dịch thông qua ví theo phạm vi dịch vụ được cung ứng. Hợp đồng có vai trò xác lập rõ quyền, nghĩa vụ và trách nhiệm của các bên trong toàn bộ quá trình sử dụng dịch vụ, từ khi khách hàng đăng ký mở ví, xác thực thông tin, sử dụng các tính năng của ví, thực hiện giao dịch thanh toán, đến việc kiểm tra, ra soat, kiến nại và chấm dứt việc sử dụng dịch vụ.</w:t>
      </w:r>
    </w:p>
    <w:p>
      <w:pPr>
        <w:pStyle w:val="Heading3"/>
        <w:keepNext w:val="true"/>
        <w:spacing w:before="120" w:after="100"/>
        <w:rPr/>
      </w:pPr>
      <w:r>
        <w:rPr>
          <w:rFonts w:eastAsia="Times New Roman" w:cs="Times New Roman" w:ascii="Times New Roman" w:hAnsi="Times New Roman"/>
          <w:b/>
          <w:color w:val="000000"/>
          <w:sz w:val="26"/>
        </w:rPr>
        <w:t>4.1.2. Nội dung dịch vụ.</w:t>
      </w:r>
    </w:p>
    <w:p>
      <w:pPr>
        <w:pStyle w:val="Normal"/>
        <w:spacing w:lineRule="auto" w:line="312" w:before="0" w:after="120"/>
        <w:ind w:firstLine="567"/>
        <w:jc w:val="both"/>
        <w:rPr/>
      </w:pPr>
      <w:r>
        <w:rPr>
          <w:rFonts w:eastAsia="Times New Roman" w:cs="Times New Roman"/>
          <w:color w:val="000000"/>
          <w:sz w:val="26"/>
        </w:rPr>
        <w:t>Bước 1: Chuẩn bị và xác định các thông tin cần thiết. Doanh nghiệp cần chuẩn bị các thông tin liên quan đến chủ thể cung ứng dịch vụ, loại ví điện tử, điều kiện mở và sử dụng ví, hạn mức giao dịch, biểu phí, phương thức xác thực, quy trình xử lý giao dịch và cơ chế hỗ trợ khách hàng. Đối với khách hàng, cần xác định các thông tin cần thu thập để phục vụ việc xác minh, nhận biết khách hàng và quản lý tài khoản theo quy định pháp luật. Theo điều 18, điều 22 thông tư 40/2024/ TT-NHNN đặt ra yêu cầu về hồ sơ mở ví điện tử và việc mở ví bằng phương tiện điện tử. Theo đó ngân hàng nhà nước cũng nhấn mạnh yêu cầu đối chiếu thông tin sinh trắc học trong quá trình mở ví điện tử bằng phương tiện điện tử.</w:t>
      </w:r>
    </w:p>
    <w:p>
      <w:pPr>
        <w:pStyle w:val="Normal"/>
        <w:spacing w:lineRule="auto" w:line="312" w:before="0" w:after="120"/>
        <w:ind w:firstLine="567"/>
        <w:jc w:val="both"/>
        <w:rPr/>
      </w:pPr>
      <w:r>
        <w:rPr>
          <w:rFonts w:eastAsia="Times New Roman" w:cs="Times New Roman"/>
          <w:color w:val="000000"/>
          <w:sz w:val="26"/>
        </w:rPr>
        <w:t>Bước 2: Soạn thảo Hợp đồng mở và cung ứng dịch vụ ví điện tử. Xây dựng hợp đồng bao gồm các nội dung cơ bản ( quy định tại khoản 1 điều 19 thông tư 40/ 2024/ TT- NHNN)</w:t>
      </w:r>
    </w:p>
    <w:p>
      <w:pPr>
        <w:pStyle w:val="Normal"/>
        <w:spacing w:lineRule="auto" w:line="312" w:before="0" w:after="120"/>
        <w:ind w:hanging="0" w:start="425"/>
        <w:jc w:val="both"/>
        <w:rPr>
          <w:b w:val="false"/>
          <w:bCs w:val="false"/>
        </w:rPr>
      </w:pPr>
      <w:r>
        <w:rPr>
          <w:rFonts w:eastAsia="Times New Roman" w:cs="Times New Roman"/>
          <w:color w:val="000000"/>
          <w:sz w:val="26"/>
        </w:rPr>
        <w:t>- Điều kiện và thủ tục mở ví điện tử;</w:t>
      </w:r>
    </w:p>
    <w:p>
      <w:pPr>
        <w:pStyle w:val="Normal"/>
        <w:spacing w:lineRule="auto" w:line="312" w:before="0" w:after="120"/>
        <w:ind w:hanging="0" w:start="425"/>
        <w:jc w:val="both"/>
        <w:rPr>
          <w:b w:val="false"/>
          <w:bCs w:val="false"/>
        </w:rPr>
      </w:pPr>
      <w:r>
        <w:rPr>
          <w:rFonts w:eastAsia="Times New Roman" w:cs="Times New Roman"/>
          <w:color w:val="000000"/>
          <w:sz w:val="26"/>
        </w:rPr>
        <w:t>- Quyền và nghĩa vụ của doanh nghiệp và khách hàng;</w:t>
      </w:r>
    </w:p>
    <w:p>
      <w:pPr>
        <w:pStyle w:val="Normal"/>
        <w:spacing w:lineRule="auto" w:line="312" w:before="0" w:after="120"/>
        <w:ind w:hanging="0" w:start="425"/>
        <w:jc w:val="both"/>
        <w:rPr>
          <w:b w:val="false"/>
          <w:bCs w:val="false"/>
        </w:rPr>
      </w:pPr>
      <w:r>
        <w:rPr>
          <w:rFonts w:eastAsia="Times New Roman" w:cs="Times New Roman"/>
          <w:color w:val="000000"/>
          <w:sz w:val="26"/>
        </w:rPr>
        <w:t>- Cách thức sử dụng ví điện tử;</w:t>
      </w:r>
    </w:p>
    <w:p>
      <w:pPr>
        <w:pStyle w:val="Normal"/>
        <w:spacing w:lineRule="auto" w:line="312" w:before="0" w:after="120"/>
        <w:ind w:hanging="0" w:start="425"/>
        <w:jc w:val="both"/>
        <w:rPr>
          <w:b w:val="false"/>
          <w:bCs w:val="false"/>
        </w:rPr>
      </w:pPr>
      <w:r>
        <w:rPr>
          <w:rFonts w:eastAsia="Times New Roman" w:cs="Times New Roman"/>
          <w:color w:val="000000"/>
          <w:sz w:val="26"/>
        </w:rPr>
        <w:t>- Hạn mức giao dịch;</w:t>
      </w:r>
    </w:p>
    <w:p>
      <w:pPr>
        <w:pStyle w:val="Normal"/>
        <w:spacing w:lineRule="auto" w:line="312" w:before="0" w:after="120"/>
        <w:ind w:hanging="0" w:start="425"/>
        <w:jc w:val="both"/>
        <w:rPr>
          <w:b w:val="false"/>
          <w:bCs w:val="false"/>
        </w:rPr>
      </w:pPr>
      <w:r>
        <w:rPr>
          <w:rFonts w:eastAsia="Times New Roman" w:cs="Times New Roman"/>
          <w:color w:val="000000"/>
          <w:sz w:val="26"/>
        </w:rPr>
        <w:t>- Phí dịch vụ và phương thức thu phí;</w:t>
      </w:r>
    </w:p>
    <w:p>
      <w:pPr>
        <w:pStyle w:val="Normal"/>
        <w:spacing w:lineRule="auto" w:line="312" w:before="0" w:after="120"/>
        <w:ind w:hanging="0" w:start="425"/>
        <w:jc w:val="both"/>
        <w:rPr>
          <w:b w:val="false"/>
          <w:bCs w:val="false"/>
        </w:rPr>
      </w:pPr>
      <w:r>
        <w:rPr>
          <w:rFonts w:eastAsia="Times New Roman" w:cs="Times New Roman"/>
          <w:color w:val="000000"/>
          <w:sz w:val="26"/>
        </w:rPr>
        <w:t>- Quy trình thực hiện, xác nhận và xử lý giao dịch;</w:t>
      </w:r>
    </w:p>
    <w:p>
      <w:pPr>
        <w:pStyle w:val="Normal"/>
        <w:spacing w:lineRule="auto" w:line="312" w:before="0" w:after="120"/>
        <w:ind w:hanging="0" w:start="425"/>
        <w:jc w:val="both"/>
        <w:rPr>
          <w:b w:val="false"/>
          <w:bCs w:val="false"/>
        </w:rPr>
      </w:pPr>
      <w:r>
        <w:rPr>
          <w:rFonts w:eastAsia="Times New Roman" w:cs="Times New Roman"/>
          <w:color w:val="000000"/>
          <w:sz w:val="26"/>
        </w:rPr>
        <w:t>- Quy định về xác thực khách hàng;</w:t>
      </w:r>
    </w:p>
    <w:p>
      <w:pPr>
        <w:pStyle w:val="Normal"/>
        <w:spacing w:lineRule="auto" w:line="312" w:before="0" w:after="120"/>
        <w:ind w:hanging="0" w:start="425"/>
        <w:jc w:val="both"/>
        <w:rPr>
          <w:b w:val="false"/>
          <w:bCs w:val="false"/>
        </w:rPr>
      </w:pPr>
      <w:r>
        <w:rPr>
          <w:rFonts w:eastAsia="Times New Roman" w:cs="Times New Roman"/>
          <w:color w:val="000000"/>
          <w:sz w:val="26"/>
        </w:rPr>
        <w:t>- Quy định về bảo mật tài khoản và thông tin khách hàng;</w:t>
      </w:r>
    </w:p>
    <w:p>
      <w:pPr>
        <w:pStyle w:val="Normal"/>
        <w:spacing w:lineRule="auto" w:line="312" w:before="0" w:after="120"/>
        <w:ind w:hanging="0" w:start="425"/>
        <w:jc w:val="both"/>
        <w:rPr>
          <w:b w:val="false"/>
          <w:bCs w:val="false"/>
        </w:rPr>
      </w:pPr>
      <w:r>
        <w:rPr>
          <w:rFonts w:eastAsia="Times New Roman" w:cs="Times New Roman"/>
          <w:color w:val="000000"/>
          <w:sz w:val="26"/>
        </w:rPr>
        <w:t>- Xử lý giao dịch sai, nhầm lẫn hoặc giao dịch có dấu hiệu bất thường;</w:t>
      </w:r>
    </w:p>
    <w:p>
      <w:pPr>
        <w:pStyle w:val="Normal"/>
        <w:spacing w:lineRule="auto" w:line="312" w:before="0" w:after="120"/>
        <w:ind w:hanging="0" w:start="425"/>
        <w:jc w:val="both"/>
        <w:rPr>
          <w:b w:val="false"/>
          <w:bCs w:val="false"/>
        </w:rPr>
      </w:pPr>
      <w:r>
        <w:rPr>
          <w:rFonts w:eastAsia="Times New Roman" w:cs="Times New Roman"/>
          <w:color w:val="000000"/>
          <w:sz w:val="26"/>
        </w:rPr>
        <w:t>- Tạm khóa, phong tỏa hoặc chấm dứt sử dụng ví trong các trường hợp cần thiết;</w:t>
      </w:r>
    </w:p>
    <w:p>
      <w:pPr>
        <w:pStyle w:val="Normal"/>
        <w:spacing w:lineRule="auto" w:line="312" w:before="0" w:after="120"/>
        <w:ind w:hanging="0" w:start="425"/>
        <w:jc w:val="both"/>
        <w:rPr>
          <w:b w:val="false"/>
          <w:bCs w:val="false"/>
        </w:rPr>
      </w:pPr>
      <w:r>
        <w:rPr>
          <w:rFonts w:eastAsia="Times New Roman" w:cs="Times New Roman"/>
          <w:color w:val="000000"/>
          <w:sz w:val="26"/>
        </w:rPr>
        <w:t>- Cơ chế tiếp nhận và giải quyết khiếu nại;</w:t>
      </w:r>
    </w:p>
    <w:p>
      <w:pPr>
        <w:pStyle w:val="Normal"/>
        <w:spacing w:lineRule="auto" w:line="312" w:before="0" w:after="120"/>
        <w:ind w:hanging="0" w:start="425"/>
        <w:jc w:val="both"/>
        <w:rPr>
          <w:b w:val="false"/>
          <w:bCs w:val="false"/>
        </w:rPr>
      </w:pPr>
      <w:r>
        <w:rPr>
          <w:rFonts w:eastAsia="Times New Roman" w:cs="Times New Roman"/>
          <w:color w:val="000000"/>
          <w:sz w:val="26"/>
        </w:rPr>
        <w:t>- Trách nhiệm của các bên khi xảy ra sự cố;</w:t>
      </w:r>
    </w:p>
    <w:p>
      <w:pPr>
        <w:pStyle w:val="Normal"/>
        <w:spacing w:lineRule="auto" w:line="312" w:before="0" w:after="120"/>
        <w:ind w:hanging="0" w:start="425"/>
        <w:jc w:val="both"/>
        <w:rPr>
          <w:b w:val="false"/>
          <w:bCs w:val="false"/>
        </w:rPr>
      </w:pPr>
      <w:r>
        <w:rPr>
          <w:rFonts w:eastAsia="Times New Roman" w:cs="Times New Roman"/>
          <w:color w:val="000000"/>
          <w:sz w:val="26"/>
        </w:rPr>
        <w:t>- Điều kiện và thủ tục đóng ví điện tử;</w:t>
      </w:r>
    </w:p>
    <w:p>
      <w:pPr>
        <w:pStyle w:val="Normal"/>
        <w:spacing w:lineRule="auto" w:line="312" w:before="0" w:after="120"/>
        <w:ind w:hanging="0" w:start="425"/>
        <w:jc w:val="both"/>
        <w:rPr>
          <w:b w:val="false"/>
          <w:bCs w:val="false"/>
        </w:rPr>
      </w:pPr>
      <w:r>
        <w:rPr>
          <w:rFonts w:eastAsia="Times New Roman" w:cs="Times New Roman"/>
          <w:color w:val="000000"/>
          <w:sz w:val="26"/>
        </w:rPr>
        <w:t>- Phương thức sửa đổi, bổ sung hợp đồng.</w:t>
      </w:r>
    </w:p>
    <w:p>
      <w:pPr>
        <w:pStyle w:val="Normal"/>
        <w:spacing w:lineRule="auto" w:line="312" w:before="0" w:after="120"/>
        <w:ind w:firstLine="567"/>
        <w:jc w:val="both"/>
        <w:rPr/>
      </w:pPr>
      <w:r>
        <w:rPr>
          <w:rFonts w:eastAsia="Times New Roman" w:cs="Times New Roman"/>
          <w:color w:val="000000"/>
          <w:sz w:val="26"/>
        </w:rPr>
        <w:t>Bước 3: Rà soát và hoàn thiện hợp đồng. Sau khi soạn thảo, rà soát tính phù hợp của hợp đồng với quy định pháp luật hiện hành và các quy trình vận hành thực tế của doanh nghiệp.Đặc biệt, kiểm tra các điều khoản liên quan đến tiền của khách hàng, dữ liệu cá nhân, giao dịch điện tử, bảo mật tài khoản và trách nhiệm của doanh nghiệp khi xảy ra sự cố, bởi đây là những nội dung có khả năng phát sinh tranh chấp cao trong quá trình cung ứng dịch vụ.</w:t>
      </w:r>
    </w:p>
    <w:p>
      <w:pPr>
        <w:pStyle w:val="Normal"/>
        <w:spacing w:lineRule="auto" w:line="312" w:before="0" w:after="120"/>
        <w:ind w:firstLine="567"/>
        <w:jc w:val="both"/>
        <w:rPr/>
      </w:pPr>
      <w:r>
        <w:rPr>
          <w:rFonts w:eastAsia="Times New Roman" w:cs="Times New Roman"/>
          <w:color w:val="000000"/>
          <w:sz w:val="26"/>
        </w:rPr>
        <w:t>Nội dung của Hợp đồng mở và cung ứng dịch vụ ví điện tử ngoài việc xác định quyền và nghĩa vụ của doanh nghiệp và khách hàng cần phải thể hiện đầy đủ, minh bạch các điều kiện để khách hàng có thể mở và sử dụng ví điện tử.</w:t>
      </w:r>
    </w:p>
    <w:p>
      <w:pPr>
        <w:pStyle w:val="Normal"/>
        <w:spacing w:lineRule="auto" w:line="312" w:before="0" w:after="120"/>
        <w:ind w:firstLine="567"/>
        <w:jc w:val="both"/>
        <w:rPr/>
      </w:pPr>
      <w:r>
        <w:rPr>
          <w:rFonts w:eastAsia="Times New Roman" w:cs="Times New Roman"/>
          <w:color w:val="000000"/>
          <w:sz w:val="26"/>
        </w:rPr>
        <w:t>Thứ nhất, tư vấn điều khoản về mở và sử dụng ví điện tử. Xây dựng các quy định về điều kiện mở ví, thông tin khách hàng cần cung cấp, phương thức xác thực và các trường hợp doanh nghiệp được quyền từ chối mở hoặc tạm dừng cung ứng dịch vụ theo quy định pháp luật. Đồng thời, hợp đồng cần quy định rõ trách nhiệm của khách hàng trong việc bảo quản thông tin xác thực, mật khẩu, mã PIN, thiết bị và các phương tiện xác thực khác để hạn chế nguy cơ tài khoản bị chiếm đoạt.</w:t>
      </w:r>
    </w:p>
    <w:p>
      <w:pPr>
        <w:pStyle w:val="Normal"/>
        <w:spacing w:lineRule="auto" w:line="312" w:before="0" w:after="120"/>
        <w:ind w:firstLine="567"/>
        <w:jc w:val="both"/>
        <w:rPr/>
      </w:pPr>
      <w:r>
        <w:rPr>
          <w:rFonts w:eastAsia="Times New Roman" w:cs="Times New Roman"/>
          <w:color w:val="000000"/>
          <w:sz w:val="26"/>
        </w:rPr>
        <w:t>Thứ hai, tư vấn điều khoản về giao dịch và thanh toán. Hợp đồng cần quy định cụ thể cách thức khách hàng thực hiện giao dịch thông qua ví điện tử, thời điểm giao dịch được xác lập, phương thức xác nhận giao dịch, hạn mức giao dịch và cách thức xử lý trong trường hợp giao dịch không thành công. Đặc biệt, cần có cơ chế xử lý đối với các trường hợp giao dịch bị lỗi, giao dịch nhầm, giao dịch không do khách hàng thực hiện hoặc giao dịch có dấu hiệu gian lận, qua đó xác định trách nhiệm của doanh nghiệp và khách hàng trong từng trường hợp.</w:t>
      </w:r>
    </w:p>
    <w:p>
      <w:pPr>
        <w:pStyle w:val="Normal"/>
        <w:spacing w:lineRule="auto" w:line="312" w:before="0" w:after="120"/>
        <w:ind w:firstLine="567"/>
        <w:jc w:val="both"/>
        <w:rPr/>
      </w:pPr>
      <w:r>
        <w:rPr>
          <w:rFonts w:eastAsia="Times New Roman" w:cs="Times New Roman"/>
          <w:color w:val="000000"/>
          <w:sz w:val="26"/>
        </w:rPr>
        <w:t>Thứ ba, tư vấn điều khoản về phí dịch vụ. Doanh nghiệp cần công khai rõ các loại phí mà khách hàng phải thanh toán, thời điểm thu phí và phương thức thu phí. Các điều khoản về phí cần được xây dựng minh bạch, tránh trường hợp doanh nghiệp quy định những khoản phí mà khách hàng không được thông báo rõ ràng trước khi sử dụng dịch vụ.</w:t>
      </w:r>
    </w:p>
    <w:p>
      <w:pPr>
        <w:pStyle w:val="Normal"/>
        <w:spacing w:lineRule="auto" w:line="312" w:before="0" w:after="120"/>
        <w:ind w:firstLine="567"/>
        <w:jc w:val="both"/>
        <w:rPr/>
      </w:pPr>
      <w:r>
        <w:rPr>
          <w:rFonts w:eastAsia="Times New Roman" w:cs="Times New Roman"/>
          <w:color w:val="000000"/>
          <w:sz w:val="26"/>
        </w:rPr>
        <w:t>Thứ tư, tư vấn điều khoản về bảo vệ dữ liệu và thông tin khách hàng. Ví điện tử có thể xử lý nhiều loại dữ liệu của khách hàng như thông tin định danh, số điện thoại, thông tin tài khoản, lịch sử giao dịch và các dữ liệu phát sinh trong quá trình sử dụng dịch vụ. Vì vậy, hợp đồng cần quy định rõ việc thu thập, sử dụng, lưu trữ, bảo vệ và chia sẻ dữ liệu khách hàng theo quy định pháp luật. Rà soát sự thống nhất giữa hợp đồng với chính sách bảo vệ dữ liệu cá nhân và các tài liệu liên quan của doanh nghiệp để hạn chế rủi ro pháp lý.</w:t>
      </w:r>
    </w:p>
    <w:p>
      <w:pPr>
        <w:pStyle w:val="Normal"/>
        <w:spacing w:lineRule="auto" w:line="312" w:before="0" w:after="120"/>
        <w:ind w:firstLine="567"/>
        <w:jc w:val="both"/>
        <w:rPr/>
      </w:pPr>
      <w:r>
        <w:rPr>
          <w:rFonts w:eastAsia="Times New Roman" w:cs="Times New Roman"/>
          <w:color w:val="000000"/>
          <w:sz w:val="26"/>
        </w:rPr>
        <w:t>Thứ năm, tư vấn cơ chế giải quyết khiếu nại và tranh chấp. Xây dựng quy trình tiếp nhận và giải quyết khiếu nại liên quan đến giao dịch, số dư ví, phí dịch vụ, giao dịch trái phép, khóa tài khoản và các vấn đề khác phát sinh trong quá trình sử dụng ví điện tử. Đồng thời, hợp đồng cần xác định phương thức giải quyết tranh chấp giữa doanh nghiệp và khách hàng theo quy định pháp luật.</w:t>
      </w:r>
    </w:p>
    <w:p>
      <w:pPr>
        <w:pStyle w:val="Heading3"/>
        <w:keepNext w:val="true"/>
        <w:spacing w:before="120" w:after="100"/>
        <w:rPr/>
      </w:pPr>
      <w:r>
        <w:rPr>
          <w:rFonts w:eastAsia="Times New Roman" w:cs="Times New Roman" w:ascii="Times New Roman" w:hAnsi="Times New Roman"/>
          <w:b/>
          <w:color w:val="000000"/>
          <w:sz w:val="26"/>
        </w:rPr>
        <w:t>4.1.3.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Hợp đồng mở và cung ứng dịch vụ ví điện tử được xác lập giữa tổ chức cung ứng dịch vụ ví điện tử và khách hàng có nhu cầu mở, sử dụng ví điện tử. Về phía tổ chức cung ứng, chủ thể này phải là tổ chức được Ngân hàng Nhà nước cấp phép cung ứng dịch vụ trung gian thanh toán và việc cung ứng ví điện tử phải nằm trong phạm vi được cấp phép. Về phía khách hàng, đối tượng sử dụng ví điện tử có thể là cá nhân hoặc tổ chức đáp ứng đầy đủ các điều kiện theo quy định của pháp luật. Đối với khách hàng là tổ chức, việc sử dụng ví điện tử có thể được thực hiện thông qua cá nhân được tổ chức ủy quyền. Việc xác định đúng đối tượng áp dụng có ý nghĩa quan trọng bởi ví điện tử là dịch vụ trung gian thanh toán có điều kiện, không phải bất kỳ doanh nghiệp nào cũng được quyền cung ứng và không phải bất kỳ chủ thể nào cũng có thể mở, sử dụng ví điện tử nếu không đáp ứng các yêu cầu về nhận biết, xác minh khách hàng và các điều kiện liên quan. (căn cứ vào Điều 17 Thông tư 40/2024 - NHNN quy định về đối tượng khách hàng sử dụng ví điện tử).</w:t>
      </w:r>
    </w:p>
    <w:p>
      <w:pPr>
        <w:pStyle w:val="Normal"/>
        <w:spacing w:lineRule="auto" w:line="312" w:before="0" w:after="120"/>
        <w:ind w:firstLine="567"/>
        <w:jc w:val="both"/>
        <w:rPr/>
      </w:pPr>
      <w:r>
        <w:rPr>
          <w:rFonts w:eastAsia="Times New Roman" w:cs="Times New Roman"/>
          <w:color w:val="000000"/>
          <w:sz w:val="26"/>
        </w:rPr>
        <w:t>Thứ hai, về thời hạn của hợp đồng: hợp đồng có hiệu lực kể từ thời điểm các bên hoàn tất việc xác lập thỏa thuận theo phương thức được tổ chức cung ứng chấp nhận, đồng thời khách hàng phải hoàn thành các điều kiện cần thiết để được mở và sử dụng ví điện tử theo quy định pháp luật.</w:t>
      </w:r>
    </w:p>
    <w:p>
      <w:pPr>
        <w:pStyle w:val="Normal"/>
        <w:spacing w:lineRule="auto" w:line="312" w:before="0" w:after="120"/>
        <w:ind w:firstLine="567"/>
        <w:jc w:val="both"/>
        <w:rPr/>
      </w:pPr>
      <w:r>
        <w:rPr>
          <w:rFonts w:eastAsia="Times New Roman" w:cs="Times New Roman"/>
          <w:color w:val="000000"/>
          <w:sz w:val="26"/>
        </w:rPr>
        <w:t>Thứ ba, về phạm vi dịch vụ cung ứng: Phạm vi của hợp đồng phải được giới hạn trong những dịch vụ mà tổ chức cung ứng được phép thực hiện theo Giấy phép và quy định pháp luật về trung gian thanh toán. Về cơ bản, dịch vụ ví điện tử bao gồm việc mở và quản lý ví, xác minh và quản lý thông tin khách hàng, liên kết ví với tài khoản thanh toán hoặc thẻ ghi nợ theo quy định, nạp tiền vào ví, rút tiền từ ví, chuyển tiền và sử dụng số dư ví để thanh toán hàng hóa, dịch vụ hợp pháp. Ngoài ra, tổ chức cung ứng có thể cung cấp các chức năng kỹ thuật và tiện ích liên quan trực tiếp đến việc quản lý, sử dụng ví điện tử nếu những chức năng đó thuộc phạm vi được pháp luật cho phép và phù hợp với giấy phép của tổ chức cung ứng.</w:t>
      </w:r>
    </w:p>
    <w:p>
      <w:pPr>
        <w:pStyle w:val="Normal"/>
        <w:spacing w:lineRule="auto" w:line="312" w:before="0" w:after="120"/>
        <w:ind w:firstLine="567"/>
        <w:jc w:val="both"/>
        <w:rPr/>
      </w:pPr>
      <w:r>
        <w:rPr>
          <w:rFonts w:eastAsia="Times New Roman" w:cs="Times New Roman"/>
          <w:color w:val="000000"/>
          <w:sz w:val="26"/>
        </w:rPr>
        <w:t>Thứ tư, giới hạn đối với việc sử dụng ví điện tử: Phạm vi cung ứng dịch vụ ví điện tử còn bị giới hạn bởi mục đích sử dụng và hạn mức giao dịch theo pháp luật. Ví điện tử được sử dụng chủ yếu để phục vụ các giao dịch thanh toán hàng hóa, dịch vụ hợp pháp và các giao dịch chuyển tiền thuộc phạm vi pháp luật cho phép. Vì vậy, khách hàng không thể sử dụng ví điện tử để thực hiện các giao dịch nhằm phục vụ hoạt động bị pháp luật cấm hoặc các giao dịch có dấu hiệu gian lận, rửa tiền, tài trợ khủng bố và các hành vi vi phạm pháp luật khác.</w:t>
      </w:r>
    </w:p>
    <w:p>
      <w:pPr>
        <w:pStyle w:val="Heading3"/>
        <w:keepNext w:val="true"/>
        <w:spacing w:before="120" w:after="100"/>
        <w:rPr/>
      </w:pPr>
      <w:r>
        <w:rPr>
          <w:rFonts w:eastAsia="Times New Roman" w:cs="Times New Roman" w:ascii="Times New Roman" w:hAnsi="Times New Roman"/>
          <w:b/>
          <w:color w:val="000000"/>
          <w:sz w:val="26"/>
        </w:rPr>
        <w:t>4.1.4. Mục đích dịch vụ.</w:t>
      </w:r>
    </w:p>
    <w:p>
      <w:pPr>
        <w:pStyle w:val="Normal"/>
        <w:spacing w:lineRule="auto" w:line="312" w:before="0" w:after="120"/>
        <w:ind w:firstLine="567"/>
        <w:jc w:val="both"/>
        <w:rPr/>
      </w:pPr>
      <w:r>
        <w:rPr>
          <w:rFonts w:eastAsia="Times New Roman" w:cs="Times New Roman"/>
          <w:color w:val="000000"/>
          <w:sz w:val="26"/>
        </w:rPr>
        <w:t>Đối với doanh nghiệp cung ứng dịch vụ ví điện tử, Hợp đồng mở và cung ứng dịch vụ ví điện tử không chỉ là văn bản xác lập quan hệ với khách hàng mà còn là công cụ kiểm soát rủi ro pháp lý, tài chính, công nghệ và tranh chấp trong quá trình cung ứng dịch vụ. Cụ thể:</w:t>
      </w:r>
    </w:p>
    <w:p>
      <w:pPr>
        <w:pStyle w:val="Normal"/>
        <w:spacing w:lineRule="auto" w:line="312" w:before="0" w:after="120"/>
        <w:ind w:firstLine="567"/>
        <w:jc w:val="both"/>
        <w:rPr/>
      </w:pPr>
      <w:r>
        <w:rPr>
          <w:rFonts w:eastAsia="Times New Roman" w:cs="Times New Roman"/>
          <w:color w:val="000000"/>
          <w:sz w:val="26"/>
        </w:rPr>
        <w:t>Thứ nhất, hợp đồng xác lập rõ quyền và nghĩa vụ của doanh nghiệp và khách hàng: Trong quá trình sử dụng ví điện tử, khách hàng có thể thực hiện nhiều giao dịch khác nhau. Nếu quyền và nghĩa vụ của các bên không được quy định rõ, khi phát sinh sự cố sẽ rất khó xác định bên nào phải chịu trách nhiệm.</w:t>
      </w:r>
    </w:p>
    <w:p>
      <w:pPr>
        <w:pStyle w:val="Normal"/>
        <w:spacing w:lineRule="auto" w:line="312" w:before="0" w:after="120"/>
        <w:ind w:firstLine="567"/>
        <w:jc w:val="both"/>
        <w:rPr/>
      </w:pPr>
      <w:r>
        <w:rPr>
          <w:rFonts w:eastAsia="Times New Roman" w:cs="Times New Roman"/>
          <w:color w:val="000000"/>
          <w:sz w:val="26"/>
        </w:rPr>
        <w:t>Thứ hai, hợp đồng kiểm soát rủi ro liên quan đến tiền và giao dịch của khách hàng.: Đây là vấn đề đặc biệt quan trọng đối với ví điện tử bởi doanh nghiệp cung ứng dịch vụ có thể xử lý một lượng lớn giao dịch của khách hàng. Hợp đồng cần quy định rõ cách thức ghi nhận giao dịch, xử lý giao dịch lỗi, giao dịch nhầm, hoàn trả và giải quyết các khiếu nại liên quan đến số dư hoặc giao dịch.Qua đó, doanh nghiệp có cơ sở pháp lý để xử lý các tình huống phát sinh và hạn chế tranh chấp với khách hàng.</w:t>
      </w:r>
    </w:p>
    <w:p>
      <w:pPr>
        <w:pStyle w:val="Normal"/>
        <w:spacing w:lineRule="auto" w:line="312" w:before="0" w:after="120"/>
        <w:ind w:firstLine="567"/>
        <w:jc w:val="both"/>
        <w:rPr/>
      </w:pPr>
      <w:r>
        <w:rPr>
          <w:rFonts w:eastAsia="Times New Roman" w:cs="Times New Roman"/>
          <w:color w:val="000000"/>
          <w:sz w:val="26"/>
        </w:rPr>
        <w:t>Thứ ba, hợp đồng bảo vệ doanh nghiệp trước hành vi gian lận và sử dụng ví trái pháp luật: Ví điện tử có thể bị lợi dụng để thực hiện các giao dịch bất hợp pháp, gian lận hoặc chiếm đoạt tài sản. Do đó, hợp đồng cần quy định rõ trách nhiệm của khách hàng trong việc sử dụng ví đúng mục đích, không cung cấp tài khoản cho người khác sử dụng và không thực hiện các giao dịch trái pháp luật. Đồng thời, hợp đồng cần tạo cơ sở để doanh nghiệp thực hiện các biện pháp xử lý cần thiết khi phát hiện dấu hiệu bất thường, trong phạm vi pháp luật cho phép.</w:t>
      </w:r>
    </w:p>
    <w:p>
      <w:pPr>
        <w:pStyle w:val="Normal"/>
        <w:spacing w:lineRule="auto" w:line="312" w:before="0" w:after="120"/>
        <w:ind w:firstLine="567"/>
        <w:jc w:val="both"/>
        <w:rPr/>
      </w:pPr>
      <w:r>
        <w:rPr>
          <w:rFonts w:eastAsia="Times New Roman" w:cs="Times New Roman"/>
          <w:color w:val="000000"/>
          <w:sz w:val="26"/>
        </w:rPr>
        <w:t>Thứ tư, hợp đồng bảo vệ dữ liệu và thông tin khách hàng: Đây là một trong những rủi ro lớn nhất của doanh nghiệp kinh doanh nghiệp kinh doanh dịch vụ ví điện tử. Việc thông tin khách hàng hoặc lịch sử giao dịch bị tiết lộ, sử dụng sai mục đích hoặc bị truy cập trái phép không chỉ ảnh hưởng đến khách hàng mà còn có thể gây thiệt hại lớn về uy tín và trách nhiệm pháp lý cho doanh nghiệp. Do đó, hợp đồng cần xác định rõ nguyên tắc xử lý dữ liệu, trách nhiệm bảo mật của doanh nghiệp và khách hàng cũng như các trường hợp được xử lý, cung cấp hoặc chia sẻ thông tin theo quy định pháp luật.</w:t>
      </w:r>
    </w:p>
    <w:p>
      <w:pPr>
        <w:pStyle w:val="Normal"/>
        <w:spacing w:lineRule="auto" w:line="312" w:before="0" w:after="120"/>
        <w:ind w:firstLine="567"/>
        <w:jc w:val="both"/>
        <w:rPr/>
      </w:pPr>
      <w:r>
        <w:rPr>
          <w:rFonts w:eastAsia="Times New Roman" w:cs="Times New Roman"/>
          <w:color w:val="000000"/>
          <w:sz w:val="26"/>
        </w:rPr>
        <w:t>Thứ năm, hợp đồng hạn chế tranh chấp giữa doanh nghiệp và khách hàng: Một hợp đồng được xây dựng rõ ràng sẽ giúp doanh nghiệp có căn cứ xử lý các vấn đề như giao dịch thất bại, giao dịch trái phép, khóa tài khoản, hoàn tiền, thu phí, chấm dứt dịch vụ và khiếu nại của khách hàng. Đặc biệt, đối với mô hình cung ứng dịch vụ ví điện tử, chú trọng xây dựng hợp đồng theo hướng minh bạch, dễ hiểu đối với khách hàng nhưng vẫn đảm bảo cơ chế bảo vệ lợi ích hợp pháp của doanh nghiệp, tránh việc sử dụng các điều khoản quá rộng để miễn trừ trách nhiệm cho doanh nghiệp</w:t>
      </w:r>
    </w:p>
    <w:p>
      <w:pPr>
        <w:pStyle w:val="Heading2"/>
        <w:keepNext w:val="true"/>
        <w:spacing w:before="120" w:after="100"/>
        <w:rPr/>
      </w:pPr>
      <w:r>
        <w:rPr>
          <w:rFonts w:eastAsia="Times New Roman" w:cs="Times New Roman" w:ascii="Times New Roman" w:hAnsi="Times New Roman"/>
          <w:b/>
          <w:color w:val="000000"/>
          <w:sz w:val="26"/>
        </w:rPr>
        <w:t>4.2. Hợp đồng thuê ngoài dịch vụ công nghệ thông tin.</w:t>
      </w:r>
    </w:p>
    <w:p>
      <w:pPr>
        <w:pStyle w:val="Heading3"/>
        <w:keepNext w:val="true"/>
        <w:spacing w:before="120" w:after="100"/>
        <w:rPr/>
      </w:pPr>
      <w:r>
        <w:rPr>
          <w:rFonts w:eastAsia="Times New Roman" w:cs="Times New Roman" w:ascii="Times New Roman" w:hAnsi="Times New Roman"/>
          <w:b/>
          <w:color w:val="000000"/>
          <w:sz w:val="26"/>
        </w:rPr>
        <w:t>4.2.1. Giới thiệu dịch vụ.</w:t>
      </w:r>
    </w:p>
    <w:p>
      <w:pPr>
        <w:pStyle w:val="Normal"/>
        <w:spacing w:lineRule="auto" w:line="312" w:before="0" w:after="120"/>
        <w:ind w:firstLine="567"/>
        <w:jc w:val="both"/>
        <w:rPr/>
      </w:pPr>
      <w:r>
        <w:rPr>
          <w:rFonts w:eastAsia="Times New Roman" w:cs="Times New Roman"/>
          <w:color w:val="000000"/>
          <w:sz w:val="26"/>
        </w:rPr>
        <w:t>Hợp đồng thuê ngoài dịch vụ công nghệ thông tin là dịch vụ tư vấn và soạn thảo hợp đồng giúp doanh nghiệp cung ứng ví điện tử thiết lập quan hệ pháp lý với các nhà cung cấp công nghệ bên ngoài. Trong quá trình hoạt động, doanh nghiệp có thể thuê đối tác thực hiện một hoặc một số công việc như phát triển phần mềm, cung cấp máy chủ hoặc điện toán đám mây, vận hành và bảo trì hệ thống, an ninh mạng, lưu trữ dữ liệu, định danh khách hàng điện tử hoặc hỗ trợ kỹ thuật.</w:t>
      </w:r>
    </w:p>
    <w:p>
      <w:pPr>
        <w:pStyle w:val="Normal"/>
        <w:spacing w:lineRule="auto" w:line="312" w:before="0" w:after="120"/>
        <w:ind w:firstLine="567"/>
        <w:jc w:val="both"/>
        <w:rPr/>
      </w:pPr>
      <w:r>
        <w:rPr>
          <w:rFonts w:eastAsia="Times New Roman" w:cs="Times New Roman"/>
          <w:color w:val="000000"/>
          <w:sz w:val="26"/>
        </w:rPr>
        <w:t>Đối với doanh nghiệp cung ứng ví điện tử, việc thuê ngoài giúp doanh nghiệp tiết kiệm nguồn lực và tiếp cận các giải pháp công nghệ chuyên môn mà không cần tự xây dựng toàn bộ hệ thống. Tuy nhiên, do dịch vụ công nghệ có thể liên quan trực tiếp đến hệ thống ví điện tử, dữ liệu khách hàng và hoạt động thanh toán, doanh nghiệp cần có hợp đồng chặt chẽ để kiểm soát quyền truy cập, bảo mật thông tin, chất lượng dịch vụ, xử lý sự cố và trách nhiệm của nhà cung cấp. Việc thuê ngoài cũng không làm mất đi trách nhiệm của doanh nghiệp cung ứng dịch vụ trung gian thanh toán đối với hoạt động của mình theo quy định pháp luật.</w:t>
      </w:r>
    </w:p>
    <w:p>
      <w:pPr>
        <w:pStyle w:val="Heading3"/>
        <w:keepNext w:val="true"/>
        <w:spacing w:before="120" w:after="100"/>
        <w:rPr/>
      </w:pPr>
      <w:r>
        <w:rPr>
          <w:rFonts w:eastAsia="Times New Roman" w:cs="Times New Roman" w:ascii="Times New Roman" w:hAnsi="Times New Roman"/>
          <w:b/>
          <w:color w:val="000000"/>
          <w:sz w:val="26"/>
        </w:rPr>
        <w:t>4.2.2. Nội dung dịch vụ.</w:t>
      </w:r>
    </w:p>
    <w:p>
      <w:pPr>
        <w:pStyle w:val="Normal"/>
        <w:spacing w:lineRule="auto" w:line="312" w:before="0" w:after="120"/>
        <w:ind w:firstLine="567"/>
        <w:jc w:val="both"/>
        <w:rPr/>
      </w:pPr>
      <w:r>
        <w:rPr>
          <w:rFonts w:eastAsia="Times New Roman" w:cs="Times New Roman"/>
          <w:color w:val="000000"/>
          <w:sz w:val="26"/>
        </w:rPr>
        <w:t>Bước 1: Đánh giá nhu cầu và xác định mô hình thuê ngoài. Trước khi xây dựng hợp đồng, doanh nghiệp cần xác định rõ loại dịch vụ công nghệ thông tin dự kiến thuê ngoài, phạm vi công việc của nhà cung cấp và mức độ phụ thuộc của doanh nghiệp vào dịch vụ đó. Đồng thời, cần đánh giá việc thuê ngoài có liên quan đến hệ thống cốt lõi của ví điện tử, dữ liệu khách hàng, dữ liệu giao dịch hoặc các thông tin quan trọng khác của doanh nghiệp hay không. Trên cơ sở đó, chúng tôi xác định mô hình hợp đồng phù hợp, chẳng hạn như hợp đồng phát triển phần mềm, cung cấp hạ tầng, điện toán đám mây, vận hành và bảo trì hệ thống hoặc hợp đồng khung, đồng thời đề xuất các cơ chế kiểm soát rủi ro cần thiết.</w:t>
      </w:r>
    </w:p>
    <w:p>
      <w:pPr>
        <w:pStyle w:val="Normal"/>
        <w:spacing w:lineRule="auto" w:line="312" w:before="0" w:after="120"/>
        <w:ind w:firstLine="567"/>
        <w:jc w:val="both"/>
        <w:rPr/>
      </w:pPr>
      <w:r>
        <w:rPr>
          <w:rFonts w:eastAsia="Times New Roman" w:cs="Times New Roman"/>
          <w:color w:val="000000"/>
          <w:sz w:val="26"/>
        </w:rPr>
        <w:t>Bước 2: Soạn thảo và rà soát hợp đồng thuê ngoài dịch vụ công nghệ thông tin. Chúng tôi xây dựng hoặc rà soát hợp đồng và các phụ lục liên quan nhằm xác định rõ quyền, nghĩa vụ và trách nhiệm của doanh nghiệp và nhà cung cấp. Nội dung hợp đồng cần bao quát phạm vi công việc, tiến độ thực hiện, tiêu chí nghiệm thu, chi phí và phương thức thanh toán, tiêu chuẩn chất lượng dịch vụ, mức độ sẵn sàng của hệ thống, bảo mật thông tin, bảo vệ dữ liệu, quyền sở hữu trí tuệ, xử lý sự cố, trách nhiệm bồi thường và điều kiện chấm dứt hợp đồng. Đối với các dịch vụ có yêu cầu duy trì chất lượng và khả năng vận hành ổn định, tư vấn xây dựng các thỏa thuận về mức độ dịch vụ (SLA) và trách nhiệm của nhà cung cấp khi không đạt mức dịch vụ đã cam kết.</w:t>
      </w:r>
    </w:p>
    <w:p>
      <w:pPr>
        <w:pStyle w:val="Normal"/>
        <w:spacing w:lineRule="auto" w:line="312" w:before="0" w:after="120"/>
        <w:ind w:firstLine="567"/>
        <w:jc w:val="both"/>
        <w:rPr/>
      </w:pPr>
      <w:r>
        <w:rPr>
          <w:rFonts w:eastAsia="Times New Roman" w:cs="Times New Roman"/>
          <w:color w:val="000000"/>
          <w:sz w:val="26"/>
        </w:rPr>
        <w:t>Bước 3: Rà soát và hoàn thiện cơ chế kiểm soát rủi ro trong hợp đồng. Sau khi soạn thảo, hợp đồng được rà soát để bảo đảm phù hợp với hoạt động thực tế của doanh nghiệp và hạn chế các rủi ro có thể phát sinh trong quá trình thuê ngoài. Đặc biệt, cần kiểm tra các điều khoản liên quan đến dữ liệu khách hàng, quyền truy cập của nhà cung cấp, quyền sở hữu và khai thác phần mềm, mã nguồn, tài liệu kỹ thuật, trách nhiệm khi hệ thống xảy ra lỗi hoặc gián đoạn và nghĩa vụ bàn giao khi hợp đồng chấm dứt. Trường hợp doanh nghiệp có nhu cầu thay đổi nhà cung cấp, hợp đồng cũng cần có cơ chế chuyển giao dữ liệu, tài liệu và tài sản công nghệ để hạn chế tình trạng phụ thuộc vào nhà cung cấp cũ.</w:t>
      </w:r>
    </w:p>
    <w:p>
      <w:pPr>
        <w:pStyle w:val="Normal"/>
        <w:spacing w:lineRule="auto" w:line="312" w:before="0" w:after="120"/>
        <w:ind w:firstLine="567"/>
        <w:jc w:val="both"/>
        <w:rPr/>
      </w:pPr>
      <w:r>
        <w:rPr>
          <w:rFonts w:eastAsia="Times New Roman" w:cs="Times New Roman"/>
          <w:color w:val="000000"/>
          <w:sz w:val="26"/>
        </w:rPr>
        <w:t>Nội dung tư vấn cụ thể của dịch vụ gồm:</w:t>
      </w:r>
    </w:p>
    <w:p>
      <w:pPr>
        <w:pStyle w:val="Normal"/>
        <w:spacing w:lineRule="auto" w:line="312" w:before="0" w:after="120"/>
        <w:ind w:firstLine="567"/>
        <w:jc w:val="both"/>
        <w:rPr/>
      </w:pPr>
      <w:r>
        <w:rPr>
          <w:rFonts w:eastAsia="Times New Roman" w:cs="Times New Roman"/>
          <w:color w:val="000000"/>
          <w:sz w:val="26"/>
        </w:rPr>
        <w:t>Thứ nhất, tư vấn về mô hình và phạm vi thuê ngoài. Xác định rõ công việc và dịch vụ công nghệ mà doanh nghiệp dự kiến giao cho nhà cung cấp thực hiện, phạm vi trách nhiệm của mỗi bên và mức độ phụ thuộc vào nhà cung cấp. Từ đó, lựa chọn loại hợp đồng phù hợp với từng dịch vụ và xác định các nội dung cần kiểm soát ngay từ khi giao kết hợp đồng.</w:t>
      </w:r>
    </w:p>
    <w:p>
      <w:pPr>
        <w:pStyle w:val="Normal"/>
        <w:spacing w:lineRule="auto" w:line="312" w:before="0" w:after="120"/>
        <w:ind w:firstLine="567"/>
        <w:jc w:val="both"/>
        <w:rPr/>
      </w:pPr>
      <w:r>
        <w:rPr>
          <w:rFonts w:eastAsia="Times New Roman" w:cs="Times New Roman"/>
          <w:color w:val="000000"/>
          <w:sz w:val="26"/>
        </w:rPr>
        <w:t>Thứ hai, tư vấn về các điều khoản chính của hợp đồng. Xây dựng và rà soát các điều khoản về phạm vi công việc, tiến độ, tiêu chí nghiệm thu, chi phí, phương thức thanh toán, thời hạn hợp đồng, quyền và nghĩa vụ của các bên. Đối với dịch vụ công nghệ có yêu cầu về tính ổn định và liên tục, tư vấn điều khoản về SLA, bao gồm tiêu chuẩn dịch vụ, thời gian phản hồi, thời gian khắc phục sự cố và trách nhiệm của nhà cung cấp khi không đáp ứng mức dịch vụ đã cam kết.</w:t>
      </w:r>
    </w:p>
    <w:p>
      <w:pPr>
        <w:pStyle w:val="Normal"/>
        <w:spacing w:lineRule="auto" w:line="312" w:before="0" w:after="120"/>
        <w:ind w:firstLine="567"/>
        <w:jc w:val="both"/>
        <w:rPr/>
      </w:pPr>
      <w:r>
        <w:rPr>
          <w:rFonts w:eastAsia="Times New Roman" w:cs="Times New Roman"/>
          <w:color w:val="000000"/>
          <w:sz w:val="26"/>
        </w:rPr>
        <w:t>Thứ ba, tư vấn về bảo mật và bảo vệ dữ liệu. Hợp đồng cần xác định rõ loại dữ liệu mà nhà cung cấp được tiếp cận, phạm vi và mục đích sử dụng dữ liệu, trách nhiệm bảo mật thông tin khách hàng và các biện pháp xử lý khi xảy ra mất mát, rò rỉ hoặc truy cập trái phép. Đồng thời, quy định trách nhiệm của nhà cung cấp trong việc hoàn trả, xóa hoặc bàn giao dữ liệu khi hợp đồng chấm dứt.</w:t>
      </w:r>
    </w:p>
    <w:p>
      <w:pPr>
        <w:pStyle w:val="Normal"/>
        <w:spacing w:lineRule="auto" w:line="312" w:before="0" w:after="120"/>
        <w:ind w:firstLine="567"/>
        <w:jc w:val="both"/>
        <w:rPr/>
      </w:pPr>
      <w:r>
        <w:rPr>
          <w:rFonts w:eastAsia="Times New Roman" w:cs="Times New Roman"/>
          <w:color w:val="000000"/>
          <w:sz w:val="26"/>
        </w:rPr>
        <w:t>Thứ tư, tư vấn về quyền sở hữu trí tuệ và tài sản công nghệ. Xác định quyền của doanh nghiệp đối với phần mềm, mã nguồn, giao diện, cơ sở dữ liệu và tài liệu kỹ thuật được tạo ra hoặc sử dụng trong quá trình cung cấp dịch vụ. Đồng thời, quy định quyền khai thác, sửa đổi, tiếp nhận và sử dụng các tài sản công nghệ cần thiết để doanh nghiệp có thể tiếp tục vận hành hệ thống sau khi chấm dứt hợp đồng.</w:t>
      </w:r>
    </w:p>
    <w:p>
      <w:pPr>
        <w:pStyle w:val="Normal"/>
        <w:spacing w:lineRule="auto" w:line="312" w:before="0" w:after="120"/>
        <w:ind w:firstLine="567"/>
        <w:jc w:val="both"/>
        <w:rPr/>
      </w:pPr>
      <w:r>
        <w:rPr>
          <w:rFonts w:eastAsia="Times New Roman" w:cs="Times New Roman"/>
          <w:color w:val="000000"/>
          <w:sz w:val="26"/>
        </w:rPr>
        <w:t>Thứ năm, tư vấn về trách nhiệm và xử lý sự cố. Phân định trách nhiệm của doanh nghiệp và nhà cung cấp khi hệ thống xảy ra lỗi, gián đoạn dịch vụ, mất dữ liệu hoặc phát sinh sự cố an toàn, bảo mật. Hợp đồng cần quy định cơ chế thông báo, phối hợp xử lý, thời hạn khắc phục, phạt vi phạm và bồi thường thiệt hại tương ứng với trách nhiệm của mỗi bên.</w:t>
      </w:r>
    </w:p>
    <w:p>
      <w:pPr>
        <w:pStyle w:val="Normal"/>
        <w:spacing w:lineRule="auto" w:line="312" w:before="0" w:after="120"/>
        <w:ind w:firstLine="567"/>
        <w:jc w:val="both"/>
        <w:rPr/>
      </w:pPr>
      <w:r>
        <w:rPr>
          <w:rFonts w:eastAsia="Times New Roman" w:cs="Times New Roman"/>
          <w:color w:val="000000"/>
          <w:sz w:val="26"/>
        </w:rPr>
        <w:t>Thứ sáu, tư vấn về tạm ngừng, chấm dứt và chuyển đổi nhà cung cấp. Xác định các trường hợp doanh nghiệp được quyền tạm ngừng hoặc chấm dứt hợp đồng khi nhà cung cấp vi phạm nghĩa vụ hoặc dịch vụ không đáp ứng yêu cầu. Đồng thời, xây dựng nghĩa vụ bàn giao dữ liệu, tài liệu kỹ thuật và tài sản công nghệ, cũng như phương án chuyển đổi sang nhà cung cấp khác để bảo đảm hoạt động của hệ thống ví điện tử không bị gián đoạn.</w:t>
      </w:r>
    </w:p>
    <w:p>
      <w:pPr>
        <w:pStyle w:val="Heading3"/>
        <w:keepNext w:val="true"/>
        <w:spacing w:before="120" w:after="100"/>
        <w:rPr/>
      </w:pPr>
      <w:r>
        <w:rPr>
          <w:rFonts w:eastAsia="Times New Roman" w:cs="Times New Roman" w:ascii="Times New Roman" w:hAnsi="Times New Roman"/>
          <w:b/>
          <w:color w:val="000000"/>
          <w:sz w:val="26"/>
        </w:rPr>
        <w:t>4.2.3.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Dịch vụ tư vấn hợp đồng thuê ngoài dịch vụ công nghệ thông tin được cung cấp cho doanh nghiệp cung ứng dịch vụ ví điện tử và các đối tác công nghệ mà doanh nghiệp dự kiến thuê để phát triển, cung cấp, vận hành, bảo trì hoặc hỗ trợ hệ thống công nghệ phục vụ hoạt động ví điện tử. Phạm vi tư vấn có thể áp dụng đối với các hợp đồng giữa doanh nghiệp với nhà cung cấp phần mềm, đơn vị cung cấp hạ tầng công nghệ thông tin, dịch vụ điện toán đám mây, dịch vụ vận hành và bảo trì hệ thống hoặc các nhà cung cấp dịch vụ công nghệ khác. Đối với hoạt động cung ứng dịch vụ trung gian thanh toán, Nghị định số 52/2024/NĐ-CP xác định tổ chức cung ứng dịch vụ trung gian thanh toán là tổ chức được Ngân hàng Nhà nước cấp Giấy phép; dịch vụ ví điện tử là một trong các dịch vụ trung gian thanh toán được điều chỉnh bởi Nghị định này. Vì vậy, việc thuê ngoài chỉ được xem xét trong phạm vi hỗ trợ về công nghệ và không làm thay đổi chủ thể chịu trách nhiệm cung ứng dịch vụ ví điện tử theo Giấy phép.</w:t>
      </w:r>
    </w:p>
    <w:p>
      <w:pPr>
        <w:pStyle w:val="Normal"/>
        <w:spacing w:lineRule="auto" w:line="312" w:before="0" w:after="120"/>
        <w:ind w:firstLine="567"/>
        <w:jc w:val="both"/>
        <w:rPr/>
      </w:pPr>
      <w:r>
        <w:rPr>
          <w:rFonts w:eastAsia="Times New Roman" w:cs="Times New Roman"/>
          <w:color w:val="000000"/>
          <w:sz w:val="26"/>
        </w:rPr>
        <w:t>Thứ hai, về thời điểm áp dụng và thời hạn: Dịch vụ tư vấn được thực hiện từ giai đoạn doanh nghiệp xác định nhu cầu thuê ngoài, lựa chọn mô hình hợp đồng, đàm phán và ký kết hợp đồng cho đến quá trình thực hiện, gia hạn, sửa đổi hoặc chấm dứt hợp đồng. Thời hạn của hợp đồng thuê ngoài do doanh nghiệp và nhà cung cấp thỏa thuận phù hợp với nhu cầu thực tế, tuy nhiên cần quy định rõ thời điểm bắt đầu cung cấp dịch vụ, thời hạn thực hiện, điều kiện gia hạn, các trường hợp tạm ngừng hoặc chấm dứt và nghĩa vụ bàn giao khi kết thúc hợp đồng. Trong trường hợp hợp đồng thuê ngoài có liên quan đến việc xử lý dữ liệu cá nhân, các nghĩa vụ về bảo vệ dữ liệu phải được duy trì trong suốt quá trình xử lý dữ liệu và theo các nghĩa vụ còn tiếp tục sau khi hợp đồng chấm dứt. Luật Bảo vệ dữ liệu cá nhân số 91/2025/QH15, có hiệu lực từ ngày 01/01/2026, quy định bên xử lý dữ liệu cá nhân chỉ được tiếp nhận và xử lý dữ liệu trên cơ sở thỏa thuận, hợp đồng với bên kiểm soát dữ liệu hoặc bên kiểm soát và xử lý dữ liệu, đồng thời phải chịu trách nhiệm về thiệt hại do quá trình xử lý dữ liệu gây ra.</w:t>
      </w:r>
    </w:p>
    <w:p>
      <w:pPr>
        <w:pStyle w:val="Normal"/>
        <w:spacing w:lineRule="auto" w:line="312" w:before="0" w:after="120"/>
        <w:ind w:firstLine="567"/>
        <w:jc w:val="both"/>
        <w:rPr/>
      </w:pPr>
      <w:r>
        <w:rPr>
          <w:rFonts w:eastAsia="Times New Roman" w:cs="Times New Roman"/>
          <w:color w:val="000000"/>
          <w:sz w:val="26"/>
        </w:rPr>
        <w:t>Thứ ba, về giới hạn của dịch vụ theo quy định pháp luật: Phạm vi thuê ngoài không được làm cho doanh nghiệp chuyển giao toàn bộ trách nhiệm pháp lý của mình đối với hoạt động cung ứng dịch vụ ví điện tử cho nhà cung cấp công nghệ. Theo Điều 22 Nghị định số 52/2024/NĐ-CP, tổ chức cung ứng dịch vụ trung gian thanh toán phải đáp ứng và duy trì các điều kiện nhất định trong quá trình cung ứng dịch vụ, trong đó có yêu cầu về hệ thống kỹ thuật và an toàn, bảo mật. Việc thuê đối tác công nghệ vì vậy phải được xây dựng theo hướng nhà cung cấp thực hiện công việc theo hợp đồng, còn doanh nghiệp vẫn phải bảo đảm việc cung ứng dịch vụ đúng phạm vi được cấp phép và đáp ứng các yêu cầu pháp luật áp dụng. Trường hợp hoạt động thuê ngoài có liên quan đến dữ liệu cá nhân, việc tiếp nhận và xử lý dữ liệu của nhà cung cấp phải tuân thủ Luật Bảo vệ dữ liệu cá nhân số 91/2025/QH15, đặc biệt là các quy định về bên xử lý dữ liệu và hợp đồng xử lý dữ liệu.</w:t>
      </w:r>
    </w:p>
    <w:p>
      <w:pPr>
        <w:pStyle w:val="Normal"/>
        <w:spacing w:lineRule="auto" w:line="312" w:before="0" w:after="120"/>
        <w:ind w:firstLine="567"/>
        <w:jc w:val="both"/>
        <w:rPr/>
      </w:pPr>
      <w:r>
        <w:rPr>
          <w:rFonts w:eastAsia="Times New Roman" w:cs="Times New Roman"/>
          <w:color w:val="000000"/>
          <w:sz w:val="26"/>
        </w:rPr>
        <w:t>Thứ tư, về phạm vi dịch vụ không bao gồm: Dịch vụ tư vấn này không bao gồm việc trực tiếp thực hiện các hoạt động kỹ thuật như lập trình, vận hành hệ thống, quản trị máy chủ, triển khai phần mềm, giám sát an ninh mạng hoặc khắc phục sự cố kỹ thuật thay cho nhà cung cấp công nghệ. Đồng thời, dịch vụ không bao gồm việc thay thế doanh nghiệp thực hiện các nghĩa vụ pháp lý thuộc trách nhiệm của tổ chức cung ứng dịch vụ trung gian thanh toán, việc xin cấp hoặc sửa đổi Giấy phép hoạt động cung ứng dịch vụ trung gian thanh toán, cũng như việc trực tiếp cung ứng dịch vụ ví điện tử thay cho doanh nghiệp. Dịch vụ cũng không bao gồm việc tự mình thu thập, sử dụng hoặc xử lý dữ liệu khách hàng ngoài phạm vi cần thiết để thực hiện công việc tư vấn và ngoài thỏa thuận, hợp đồng xử lý dữ liệu phù hợp với pháp luật.</w:t>
      </w:r>
    </w:p>
    <w:p>
      <w:pPr>
        <w:pStyle w:val="Heading3"/>
        <w:keepNext w:val="true"/>
        <w:spacing w:before="120" w:after="100"/>
        <w:rPr/>
      </w:pPr>
      <w:r>
        <w:rPr>
          <w:rFonts w:eastAsia="Times New Roman" w:cs="Times New Roman" w:ascii="Times New Roman" w:hAnsi="Times New Roman"/>
          <w:b/>
          <w:color w:val="000000"/>
          <w:sz w:val="26"/>
        </w:rPr>
        <w:t>4.2.4. Mục đích dịch vụ.</w:t>
      </w:r>
    </w:p>
    <w:p>
      <w:pPr>
        <w:pStyle w:val="Normal"/>
        <w:spacing w:lineRule="auto" w:line="312" w:before="0" w:after="120"/>
        <w:ind w:firstLine="567"/>
        <w:jc w:val="both"/>
        <w:rPr/>
      </w:pPr>
      <w:r>
        <w:rPr>
          <w:rFonts w:eastAsia="Times New Roman" w:cs="Times New Roman"/>
          <w:color w:val="000000"/>
          <w:sz w:val="26"/>
        </w:rPr>
        <w:t>Thứ nhất, hạn chế rủi ro phát sinh từ việc ký kết hợp đồng thuê ngoài không chặt chẽ. Dịch vụ nhằm giúp doanh nghiệp xác định rõ phạm vi công việc, tiêu chuẩn chất lượng, thời hạn thực hiện, cơ chế nghiệm thu và trách nhiệm của bên cung cấp dịch vụ, từ đó tạo cơ sở để doanh nghiệp yêu cầu đối tác khắc phục khi chậm tiến độ hoặc hệ thống không đáp ứng yêu cầu đã thỏa thuận.</w:t>
      </w:r>
    </w:p>
    <w:p>
      <w:pPr>
        <w:pStyle w:val="Normal"/>
        <w:spacing w:lineRule="auto" w:line="312" w:before="0" w:after="120"/>
        <w:ind w:firstLine="567"/>
        <w:jc w:val="both"/>
        <w:rPr/>
      </w:pPr>
      <w:r>
        <w:rPr>
          <w:rFonts w:eastAsia="Times New Roman" w:cs="Times New Roman"/>
          <w:color w:val="000000"/>
          <w:sz w:val="26"/>
        </w:rPr>
        <w:t>Thứ hai, bảo vệ quyền kiểm soát của doanh nghiệp đối với mã nguồn, dữ liệu và tài sản công nghệ. Dịch vụ giúp doanh nghiệp xây dựng các điều khoản về quyền sở hữu, quyền sử dụng, bàn giao mã nguồn, tài liệu kỹ thuật và dữ liệu, qua đó hạn chế tình trạng phụ thuộc vào một nhà cung cấp và bảo đảm khả năng chuyển đổi sang nhà cung cấp khác khi cần thiết.</w:t>
      </w:r>
    </w:p>
    <w:p>
      <w:pPr>
        <w:pStyle w:val="Normal"/>
        <w:spacing w:lineRule="auto" w:line="312" w:before="0" w:after="120"/>
        <w:ind w:firstLine="567"/>
        <w:jc w:val="both"/>
        <w:rPr/>
      </w:pPr>
      <w:r>
        <w:rPr>
          <w:rFonts w:eastAsia="Times New Roman" w:cs="Times New Roman"/>
          <w:color w:val="000000"/>
          <w:sz w:val="26"/>
        </w:rPr>
        <w:t>Thứ ba, kiểm soát rủi ro liên quan đến dữ liệu và thông tin khách hàng. Trong quá trình thuê ngoài, đối tác công nghệ có thể được tiếp cận dữ liệu khách hàng, dữ liệu giao dịch hoặc thông tin định danh. Vì vậy, dịch vụ nhằm thiết lập các yêu cầu về bảo mật, quyền truy cập, mục đích xử lý và trách nhiệm khi xảy ra sự cố, qua đó hạn chế nguy cơ lộ lọt hoặc sử dụng dữ liệu không đúng mục đích.</w:t>
      </w:r>
    </w:p>
    <w:p>
      <w:pPr>
        <w:pStyle w:val="Normal"/>
        <w:spacing w:lineRule="auto" w:line="312" w:before="0" w:after="120"/>
        <w:ind w:firstLine="567"/>
        <w:jc w:val="both"/>
        <w:rPr/>
      </w:pPr>
      <w:r>
        <w:rPr>
          <w:rFonts w:eastAsia="Times New Roman" w:cs="Times New Roman"/>
          <w:color w:val="000000"/>
          <w:sz w:val="26"/>
        </w:rPr>
        <w:t>Thứ tư, xác định rõ trách nhiệm của các bên khi xảy ra sự cố đối với hệ thống ví điện tử. Dịch vụ giúp doanh nghiệp phân định trách nhiệm của bên thuê và bên cung cấp dịch vụ trong trường hợp hệ thống bị lỗi, gián đoạn, bị tấn công hoặc phát sinh thiệt hại cho khách hàng, đồng thời xây dựng cơ chế thông báo, khắc phục và bồi thường phù hợp.</w:t>
      </w:r>
    </w:p>
    <w:p>
      <w:pPr>
        <w:pStyle w:val="Normal"/>
        <w:spacing w:lineRule="auto" w:line="312" w:before="0" w:after="120"/>
        <w:ind w:firstLine="567"/>
        <w:jc w:val="both"/>
        <w:rPr/>
      </w:pPr>
      <w:r>
        <w:rPr>
          <w:rFonts w:eastAsia="Times New Roman" w:cs="Times New Roman"/>
          <w:color w:val="000000"/>
          <w:sz w:val="26"/>
        </w:rPr>
        <w:t>Thứ năm, hỗ trợ doanh nghiệp đáp ứng các yêu cầu pháp lý về an toàn, bảo mật và quản trị rủi ro trong hoạt động trung gian thanh toán. Việc xây dựng và rà soát hợp đồng thuê ngoài cần bảo đảm không làm ảnh hưởng đến nghĩa vụ của doanh nghiệp cung ứng dịch vụ ví điện tử theo Nghị định 52/2024/NĐ-CP ngày 15/5/2024 của Chính phủ về thanh toán không dùng tiền mặt, đặc biệt là các yêu cầu về điều kiện cung ứng dịch vụ trung gian thanh toán và an toàn, bảo mật trong hoạt động thanh toán.</w:t>
      </w:r>
    </w:p>
    <w:p>
      <w:pPr>
        <w:pStyle w:val="Normal"/>
        <w:spacing w:lineRule="auto" w:line="312" w:before="0" w:after="120"/>
        <w:ind w:firstLine="567"/>
        <w:jc w:val="both"/>
        <w:rPr/>
      </w:pPr>
      <w:r>
        <w:rPr>
          <w:rFonts w:eastAsia="Times New Roman" w:cs="Times New Roman"/>
          <w:color w:val="000000"/>
          <w:sz w:val="26"/>
        </w:rPr>
        <w:t>Thứ sáu, tạo cơ sở pháp lý cho việc nghiệm thu, thanh toán và xử lý vi phạm hợp đồng. Dịch vụ nhằm giúp doanh nghiệp thiết lập các điều khoản làm căn cứ nghiệm thu kết quả, thanh toán chi phí, yêu cầu khắc phục, áp dụng chế tài và yêu cầu bồi thường thiệt hại khi đối tác không thực hiện hoặc thực hiện không đúng nghĩa vụ đã cam kết.</w:t>
      </w:r>
    </w:p>
    <w:p>
      <w:pPr>
        <w:pStyle w:val="Normal"/>
        <w:spacing w:lineRule="auto" w:line="312" w:before="0" w:after="120"/>
        <w:ind w:firstLine="567"/>
        <w:jc w:val="both"/>
        <w:rPr/>
      </w:pPr>
      <w:r>
        <w:rPr>
          <w:rFonts w:eastAsia="Times New Roman" w:cs="Times New Roman"/>
          <w:color w:val="000000"/>
          <w:sz w:val="26"/>
        </w:rPr>
        <w:t>Thứ bảy, bảo đảm khả năng duy trì hoạt động và chuyển giao hệ thống khi chấm dứt quan hệ thuê ngoài. Dịch vụ giúp doanh nghiệp xây dựng cơ chế bàn giao dữ liệu, mã nguồn, tài liệu và các tài sản công nghệ cần thiết khi hợp đồng hết hạn hoặc chấm dứt, qua đó hạn chế tình trạng doanh nghiệp bị phụ thuộc vào nhà cung cấp và bảo đảm khả năng tiếp tục vận hành hoặc chuyển sang nhà cung cấp khác.</w:t>
      </w:r>
    </w:p>
    <w:p>
      <w:pPr>
        <w:pStyle w:val="Heading2"/>
        <w:keepNext w:val="true"/>
        <w:spacing w:before="120" w:after="100"/>
        <w:rPr/>
      </w:pPr>
      <w:r>
        <w:rPr>
          <w:rFonts w:eastAsia="Times New Roman" w:cs="Times New Roman" w:ascii="Times New Roman" w:hAnsi="Times New Roman"/>
          <w:b/>
          <w:color w:val="000000"/>
          <w:sz w:val="26"/>
        </w:rPr>
        <w:t>4.3. Hợp đồng hợp tác khuyến mại.</w:t>
      </w:r>
    </w:p>
    <w:p>
      <w:pPr>
        <w:pStyle w:val="Heading3"/>
        <w:keepNext w:val="true"/>
        <w:spacing w:before="120" w:after="100"/>
        <w:rPr/>
      </w:pPr>
      <w:r>
        <w:rPr>
          <w:rFonts w:eastAsia="Times New Roman" w:cs="Times New Roman" w:ascii="Times New Roman" w:hAnsi="Times New Roman"/>
          <w:b/>
          <w:color w:val="000000"/>
          <w:sz w:val="26"/>
        </w:rPr>
        <w:t>4.3.1. Giới thiệu dịch vụ.</w:t>
      </w:r>
    </w:p>
    <w:p>
      <w:pPr>
        <w:pStyle w:val="Normal"/>
        <w:spacing w:lineRule="auto" w:line="312" w:before="0" w:after="120"/>
        <w:ind w:firstLine="567"/>
        <w:jc w:val="both"/>
        <w:rPr/>
      </w:pPr>
      <w:r>
        <w:rPr>
          <w:rFonts w:eastAsia="Times New Roman" w:cs="Times New Roman"/>
          <w:color w:val="000000"/>
          <w:sz w:val="26"/>
        </w:rPr>
        <w:t>Gói dịch vụ cung cấp dịch vụ tư vấn và soạn thảo Hợp đồng hợp tác khuyến mại dành riêng cho doanh nghiệp, đặc biệt là các nền tảng Ví điện tử đang trong giai đoạn xây dựng và mở rộng mạng lưới đối tác cung ứng dịch vụ. Hợp đồng hợp tác khuyến mại là văn bản pháp lý nền tảng thiết lập mối quan hệ ràng buộc chặt chẽ giữa Ví điện tử và các nhãn hàng, thương hiệu đối tác.</w:t>
      </w:r>
    </w:p>
    <w:p>
      <w:pPr>
        <w:pStyle w:val="Normal"/>
        <w:spacing w:lineRule="auto" w:line="312" w:before="0" w:after="120"/>
        <w:ind w:firstLine="567"/>
        <w:jc w:val="both"/>
        <w:rPr/>
      </w:pPr>
      <w:r>
        <w:rPr>
          <w:rFonts w:eastAsia="Times New Roman" w:cs="Times New Roman"/>
          <w:color w:val="000000"/>
          <w:sz w:val="26"/>
        </w:rPr>
        <w:t>Đối với một dự án có định hướng phát triển quy mô giao dịch lớn và chịu sự điều chỉnh của Nghị định 52/2024/NĐ-CP về thanh toán không dùng tiền mặt, dịch vụ này đóng vai trò then chốt giúp doanh nghiệp xây dựng một hệ sinh thái tiện ích toàn diện. Thông qua đó, doanh nghiệp có thể triển khai an toàn các chương trình ưu đãi nhằm thu hút và giữ chân người dùng thông qua việc phát hành voucher, hoàn tiền (cashback), hoặc giảm giá trực tiếp khi thanh toán qua nền tảng. Về bản chất, hợp đồng này giúp các bên quản lý minh bạch chi phí tài trợ khuyến mại, tận dụng tối đa tệp khách hàng chéo để gia tăng doanh thu, đồng thời xác định trước ranh giới trách nhiệm xử lý rủi ro để tránh các tranh chấp thương mại kéo dài khi phát sinh sự cố kỹ thuật.</w:t>
      </w:r>
    </w:p>
    <w:p>
      <w:pPr>
        <w:pStyle w:val="Heading3"/>
        <w:keepNext w:val="true"/>
        <w:spacing w:before="120" w:after="100"/>
        <w:rPr/>
      </w:pPr>
      <w:r>
        <w:rPr>
          <w:rFonts w:eastAsia="Times New Roman" w:cs="Times New Roman" w:ascii="Times New Roman" w:hAnsi="Times New Roman"/>
          <w:b/>
          <w:color w:val="000000"/>
          <w:sz w:val="26"/>
        </w:rPr>
        <w:t>4.3.2. Nội dung dịch vụ.</w:t>
      </w:r>
    </w:p>
    <w:p>
      <w:pPr>
        <w:pStyle w:val="Normal"/>
        <w:spacing w:lineRule="auto" w:line="312" w:before="0" w:after="120"/>
        <w:ind w:firstLine="567"/>
        <w:jc w:val="both"/>
        <w:rPr/>
      </w:pPr>
      <w:r>
        <w:rPr>
          <w:rFonts w:eastAsia="Times New Roman" w:cs="Times New Roman"/>
          <w:color w:val="000000"/>
          <w:sz w:val="26"/>
        </w:rPr>
        <w:t>Thứ nhất, đánh giá toàn diện mô hình hợp tác dự kiến để xác định hình thức khuyến mại phù hợp (như giảm giá, tặng hàng hóa, dịch vụ, tổ chức chương trình khách hàng thường xuyên) nhằm đảm bảo tuân thủ tuyệt đối quy định tại Luật Thương mại 2005 và Nghị định 81/2018/NĐ-CP về hoạt động xúc tiến thương mại.</w:t>
      </w:r>
    </w:p>
    <w:p>
      <w:pPr>
        <w:pStyle w:val="Normal"/>
        <w:spacing w:lineRule="auto" w:line="312" w:before="0" w:after="120"/>
        <w:ind w:firstLine="567"/>
        <w:jc w:val="both"/>
        <w:rPr/>
      </w:pPr>
      <w:r>
        <w:rPr>
          <w:rFonts w:eastAsia="Times New Roman" w:cs="Times New Roman"/>
          <w:color w:val="000000"/>
          <w:sz w:val="26"/>
        </w:rPr>
        <w:t>Thứ hai, soạn thảo bản mẫu hợp đồng chi tiết, tập trung vào các điều khoản trọng yếu như quy trình đối soát giao dịch, tỷ lệ chia sẻ chi phí/chiết khấu, và trách nhiệm xử lý khiếu nại của người dùng khi lỗi hệ thống ví hoặc voucher của đối tác không hợp lệ.</w:t>
      </w:r>
    </w:p>
    <w:p>
      <w:pPr>
        <w:pStyle w:val="Normal"/>
        <w:spacing w:lineRule="auto" w:line="312" w:before="0" w:after="120"/>
        <w:ind w:firstLine="567"/>
        <w:jc w:val="both"/>
        <w:rPr/>
      </w:pPr>
      <w:r>
        <w:rPr>
          <w:rFonts w:eastAsia="Times New Roman" w:cs="Times New Roman"/>
          <w:color w:val="000000"/>
          <w:sz w:val="26"/>
        </w:rPr>
        <w:t>Thứ ba, rà soát và thiết kế các điều khoản về cấp phép sử dụng tài sản sở hữu trí tuệ, quy định rõ giới hạn sử dụng logo, hình ảnh nhãn hàng trong các chiến dịch truyền thông nhằm tránh nguy cơ vi phạm Luật Sở hữu trí tuệ.</w:t>
      </w:r>
    </w:p>
    <w:p>
      <w:pPr>
        <w:pStyle w:val="Normal"/>
        <w:spacing w:lineRule="auto" w:line="312" w:before="0" w:after="120"/>
        <w:ind w:firstLine="567"/>
        <w:jc w:val="both"/>
        <w:rPr/>
      </w:pPr>
      <w:r>
        <w:rPr>
          <w:rFonts w:eastAsia="Times New Roman" w:cs="Times New Roman"/>
          <w:color w:val="000000"/>
          <w:sz w:val="26"/>
        </w:rPr>
        <w:t>Thứ tư, xây dựng các phương án và điều khoản phòng ngừa rủi ro pháp lý liên quan đến gian lận khuyến mại từ phía người dùng trục lợi hoặc sự can thiệp trái phép từ bên thứ ba.</w:t>
      </w:r>
    </w:p>
    <w:p>
      <w:pPr>
        <w:pStyle w:val="Heading3"/>
        <w:keepNext w:val="true"/>
        <w:spacing w:before="120" w:after="100"/>
        <w:rPr/>
      </w:pPr>
      <w:r>
        <w:rPr>
          <w:rFonts w:eastAsia="Times New Roman" w:cs="Times New Roman" w:ascii="Times New Roman" w:hAnsi="Times New Roman"/>
          <w:b/>
          <w:color w:val="000000"/>
          <w:sz w:val="26"/>
        </w:rPr>
        <w:t>4.3.3. Phạm vi dịch vụ.</w:t>
      </w:r>
    </w:p>
    <w:p>
      <w:pPr>
        <w:pStyle w:val="Normal"/>
        <w:spacing w:lineRule="auto" w:line="312" w:before="0" w:after="120"/>
        <w:ind w:firstLine="567"/>
        <w:jc w:val="both"/>
        <w:rPr/>
      </w:pPr>
      <w:r>
        <w:rPr>
          <w:rFonts w:eastAsia="Times New Roman" w:cs="Times New Roman"/>
          <w:color w:val="000000"/>
          <w:sz w:val="26"/>
        </w:rPr>
        <w:t>Dịch vụ cơ bản nhất trong gói tư vấn này là việc cung cấp và soạn thảo một bộ hợp đồng mẫu linh hoạt với các điều khoản mở, cho phép doanh nghiệp dễ dàng tùy biến và áp dụng đồng loạt cho đa dạng đối tác thuộc nhiều ngành hàng khác nhau. Bộ hợp đồng này thiết lập sẵn cơ sở pháp lý vững chắc cho nhiều hình thức khuyến mại đa dạng từ giảm giá trực tiếp, phát hành voucher, tích điểm thành viên đến hoàn tiền. Các điều khoản trọng yếu được chuẩn hóa bao gồm quy trình đối soát tài chính định kỳ, tỷ lệ chia sẻ ngân sách khuyến mại, nghĩa vụ xuất hóa đơn chứng từ hợp lệ và cơ chế bồi thường thiệt hại cụ thể khi xảy ra sự cố kỹ thuật từ hệ thống ví.</w:t>
      </w:r>
    </w:p>
    <w:p>
      <w:pPr>
        <w:pStyle w:val="Normal"/>
        <w:spacing w:lineRule="auto" w:line="312" w:before="0" w:after="120"/>
        <w:ind w:firstLine="567"/>
        <w:jc w:val="both"/>
        <w:rPr/>
      </w:pPr>
      <w:r>
        <w:rPr>
          <w:rFonts w:eastAsia="Times New Roman" w:cs="Times New Roman"/>
          <w:color w:val="000000"/>
          <w:sz w:val="26"/>
        </w:rPr>
        <w:t>Bên cạnh đó, hợp đồng cũng tích hợp các quy định chặt chẽ về quyền sử dụng nhãn hiệu và hình ảnh thương mại trong các chiến dịch truyền thông chéo, đảm bảo tuân thủ đúng Luật Sở hữu trí tuệ. Trong trường hợp đối tác là những nhãn hàng lớn yêu cầu ký kết dựa trên biểu mẫu hợp đồng của riêng họ, dịch vụ sẽ hỗ trợ doanh nghiệp rà soát pháp lý chuyên sâu toàn bộ văn bản dự thảo. Quá trình rà soát này nhằm nhận diện các rủi ro tiềm ẩn, chỉ ra những điều khoản bất lợi về bồi thường thiệt hại, phạt vi phạm hay quyền đơn phương chấm dứt hợp đồng, từ đó đề xuất phương án chỉnh sửa để bảo vệ tối đa quyền lợi của Ví điện tử.</w:t>
      </w:r>
    </w:p>
    <w:p>
      <w:pPr>
        <w:pStyle w:val="Normal"/>
        <w:spacing w:lineRule="auto" w:line="312" w:before="0" w:after="120"/>
        <w:ind w:firstLine="567"/>
        <w:jc w:val="both"/>
        <w:rPr/>
      </w:pPr>
      <w:r>
        <w:rPr>
          <w:rFonts w:eastAsia="Times New Roman" w:cs="Times New Roman"/>
          <w:color w:val="000000"/>
          <w:sz w:val="26"/>
        </w:rPr>
        <w:t>Thêm vào đó, dịch vụ còn bao gồm việc đại diện công ty trực tiếp tham gia đàm phán cùng đối tác để tháo gỡ nhanh chóng các bất đồng ở những điều khoản phức tạp. Về đối tượng áp dụng, phạm vi dịch vụ bao gồm mọi chương trình hợp tác khuyến mại và chiến dịch truyền thông chéo phát sinh trong thời hạn hợp đồng tư vấn, không giới hạn theo quy mô đối tác hay số lượng chương trình triển khai. Về thời điểm áp dụng, dịch vụ tư vấn được thực hiện xuyên suốt quá trình triển khai từng chương trình hợp tác, từ giai đoạn chuẩn bị ký kết bao gồm soạn thảo, rà soát và đàm phán hợp đồng; hỗ trợ trong giai đoạn thực hiện ví dụ soạn thảo các Phụ lục sửa đổi nếu phát sinh thay đổi về ngân sách hoặc quy mô; cho đến giai đoạn kết thúc chương trình hợp tác, tiến hành hoàn thiện Biên bản thanh lý hợp đồng, nhằm đảm bảo quy trình hợp tác diễn ra an toàn, suôn sẻ và mang lại lợi ích thương mại tốt nhất cho doanh nghiệp.</w:t>
      </w:r>
    </w:p>
    <w:p>
      <w:pPr>
        <w:pStyle w:val="Normal"/>
        <w:spacing w:lineRule="auto" w:line="312" w:before="0" w:after="120"/>
        <w:ind w:firstLine="567"/>
        <w:jc w:val="both"/>
        <w:rPr/>
      </w:pPr>
      <w:r>
        <w:rPr>
          <w:rFonts w:eastAsia="Times New Roman" w:cs="Times New Roman"/>
          <w:color w:val="000000"/>
          <w:sz w:val="26"/>
        </w:rPr>
        <w:t>Cuối cùng, dịch vụ này không bao gồm việc trực tiếp thực hiện các nghiệp vụ kế toán, kê khai thuế hay xuất hóa đơn, chứng từ. Dịch vụ cũng không bao gồm việc kiểm định hạ tầng kỹ thuật hay đánh giá mã nguồn của hệ thống mà chỉ chịu trách nhiệm tư vấn xử lý rủi ro pháp lý phát sinh từ các lỗi kỹ thuật. Đồng thời, phạm vi dịch vụ không bao gồm việc đại diện doanh nghiệp tham gia tố tụng giải quyết tranh chấp tại Tòa án hoặc cơ quan Trọng tài thương mại, trừ trường hợp hai bên có thỏa thuận lập một hợp đồng dịch vụ pháp lý riêng biệt.</w:t>
      </w:r>
    </w:p>
    <w:p>
      <w:pPr>
        <w:pStyle w:val="Heading3"/>
        <w:keepNext w:val="true"/>
        <w:spacing w:before="120" w:after="100"/>
        <w:rPr/>
      </w:pPr>
      <w:r>
        <w:rPr>
          <w:rFonts w:eastAsia="Times New Roman" w:cs="Times New Roman" w:ascii="Times New Roman" w:hAnsi="Times New Roman"/>
          <w:b/>
          <w:color w:val="000000"/>
          <w:sz w:val="26"/>
        </w:rPr>
        <w:t>4.3.4. Mục đích dịch vụ.</w:t>
      </w:r>
    </w:p>
    <w:p>
      <w:pPr>
        <w:pStyle w:val="Normal"/>
        <w:spacing w:lineRule="auto" w:line="312" w:before="0" w:after="120"/>
        <w:ind w:firstLine="567"/>
        <w:jc w:val="both"/>
        <w:rPr/>
      </w:pPr>
      <w:r>
        <w:rPr>
          <w:rFonts w:eastAsia="Times New Roman" w:cs="Times New Roman"/>
          <w:color w:val="000000"/>
          <w:sz w:val="26"/>
        </w:rPr>
        <w:t>Dịch vụ này giúp Ví điện tử kiểm soát chặt chẽ các rủi ro tài chính, đặc biệt là ngăn chặn nguy cơ thất thoát dòng tiền do sai lệch trong khâu đối soát với đối tác hoặc phát sinh hành vi gian lận, trục lợi mã giảm giá từ người dùng. Đồng thời, một hợp đồng hợp tác minh bạch sẽ phân định rành mạch ranh giới trách nhiệm giữa hai bên, làm rõ bên nào phải chịu chi phí khi hệ thống thanh toán gặp sự cố, bên nào trực tiếp đứng ra giải quyết khiếu nại của khách hàng theo Luật Bảo vệ quyền lợi người tiêu dùng 2023, và bên nào chịu trách nhiệm bồi thường về chất lượng sản phẩm, dịch vụ của nhãn hàng từ đó tránh được các rủi ro tranh chấp thương mại kéo dài với các bên đối tác.</w:t>
      </w:r>
    </w:p>
    <w:p>
      <w:pPr>
        <w:pStyle w:val="Normal"/>
        <w:spacing w:lineRule="auto" w:line="312" w:before="0" w:after="120"/>
        <w:ind w:firstLine="567"/>
        <w:jc w:val="both"/>
        <w:rPr/>
      </w:pPr>
      <w:r>
        <w:rPr>
          <w:rFonts w:eastAsia="Times New Roman" w:cs="Times New Roman"/>
          <w:color w:val="000000"/>
          <w:sz w:val="26"/>
        </w:rPr>
        <w:t>Hơn thế nữa, hợp đồng là cơ sở pháp lý bắt buộc để doanh nghiệp loại trừ rủi ro bị cơ quan quản lý nhà nước xử phạt vi phạm hành chính trong hoạt động xúc tiến thương mại. Cụ thể, theo mô hình kinh doanh, Ví điện tử thường đóng vai trò là trung gian thực hiện khuyến mại cho hàng hóa, dịch vụ của các thương nhân đối tác. Nếu quá trình này diễn ra mà không xác lập một Hợp đồng dịch vụ khuyến mại chuẩn chỉnh, doanh nghiệp sẽ vi phạm trực tiếp Điểm b Khoản 2 Điều 33 Nghị định 98/2020/NĐ-CP về hành vi thực hiện khuyến mại cho thương nhân khác mà không có hợp đồng. Đáng lưu ý, do các chương trình ưu đãi trên Ví điện tử đều được triển khai đồng loạt trên nền tảng số phạm vi toàn quốc (từ hai tỉnh, thành phố trực thuộc trung ương trở lên), mức phạt tiền sẽ bị áp dụng tình tiết tăng nặng theo Khoản 4 Điều 33 kết hợp với nguyên tắc xử phạt tổ chức, đẩy khung tiền phạt lên mức từ 40.000.000 đồng đến 80.000.000 đồng cho một lần vi phạm. Việc chuẩn hóa bộ hợp đồng mẫu ngay từ đầu không chỉ giúp doanh nghiệp kiểm soát triệt để rủi ro pháp lý hiện hữu này mà còn thiết lập quy trình làm việc chuyên nghiệp, minh bạch khi đàm phán với các nhãn hàng đối tác.</w:t>
      </w:r>
    </w:p>
    <w:p>
      <w:pPr>
        <w:pStyle w:val="Heading2"/>
        <w:keepNext w:val="true"/>
        <w:spacing w:before="120" w:after="100"/>
        <w:rPr/>
      </w:pPr>
      <w:r>
        <w:rPr>
          <w:rFonts w:eastAsia="Times New Roman" w:cs="Times New Roman" w:ascii="Times New Roman" w:hAnsi="Times New Roman"/>
          <w:b/>
          <w:color w:val="000000"/>
          <w:sz w:val="26"/>
        </w:rPr>
        <w:t>4.4. Hợp đồng hợp tác kinh doanh.</w:t>
      </w:r>
    </w:p>
    <w:p>
      <w:pPr>
        <w:pStyle w:val="Heading3"/>
        <w:keepNext w:val="true"/>
        <w:spacing w:before="120" w:after="100"/>
        <w:rPr/>
      </w:pPr>
      <w:r>
        <w:rPr>
          <w:rFonts w:eastAsia="Times New Roman" w:cs="Times New Roman" w:ascii="Times New Roman" w:hAnsi="Times New Roman"/>
          <w:b/>
          <w:color w:val="000000"/>
          <w:sz w:val="26"/>
        </w:rPr>
        <w:t>4.4.1. Giới thiệu dịch vụ.</w:t>
      </w:r>
    </w:p>
    <w:p>
      <w:pPr>
        <w:pStyle w:val="Normal"/>
        <w:spacing w:lineRule="auto" w:line="312" w:before="0" w:after="120"/>
        <w:ind w:firstLine="567"/>
        <w:jc w:val="both"/>
        <w:rPr/>
      </w:pPr>
      <w:r>
        <w:rPr>
          <w:rFonts w:eastAsia="Times New Roman" w:cs="Times New Roman"/>
          <w:color w:val="000000"/>
          <w:sz w:val="26"/>
        </w:rPr>
        <w:t>Cung cấp dịch vụ tư vấn và soạn thảo Hợp đồng hợp tác kinh doanh (Business Cooperation Contract – BCC) cho doanh nghiệp kinh doanh ví điện tử trong quá trình thiết lập quan hệ hợp tác với nhà đầu tư nhằm thực hiện các hoạt động kinh doanh mà các bên cùng hướng đến.</w:t>
      </w:r>
    </w:p>
    <w:p>
      <w:pPr>
        <w:pStyle w:val="Normal"/>
        <w:spacing w:lineRule="auto" w:line="312" w:before="0" w:after="120"/>
        <w:ind w:firstLine="567"/>
        <w:jc w:val="both"/>
        <w:rPr/>
      </w:pPr>
      <w:r>
        <w:rPr>
          <w:rFonts w:eastAsia="Times New Roman" w:cs="Times New Roman"/>
          <w:color w:val="000000"/>
          <w:sz w:val="26"/>
        </w:rPr>
        <w:t>Hợp đồng BCC là hình thức hợp tác giữa các nhà đầu tư nhằm hợp tác kinh doanh, phân chia lợi nhuận hoặc sản phẩm mà không thành lập tổ chức kinh tế mới. Theo luật Đầu tư, BCC có thể được thiết lập giữa các nhà đầu tư trong nước, giữa nhà đầu tư trong nước với nhà đầu tư nước ngoài hoặc giữa các nhà đầu tư nước ngoài. Đối với từng trường hợp, việc ký kết và triển khai BCC có thể chịu sự điều chỉnh của các quy định khác nhau về đầu tư. Đối với doanh nghiệp trong dự án, việc hợp tác theo hình thức BCC có thể được sử dụng khi doanh nghiệp muốn kết hợp nguồn lực của mình với nguồn lực của một hoặc nhiều nhà đầu tư khác để cùng hợp tác kinh doanh, đồng thời không thành lập một tổ chức kinh tế mới.</w:t>
      </w:r>
    </w:p>
    <w:p>
      <w:pPr>
        <w:pStyle w:val="Normal"/>
        <w:spacing w:lineRule="auto" w:line="312" w:before="0" w:after="120"/>
        <w:ind w:firstLine="567"/>
        <w:jc w:val="both"/>
        <w:rPr/>
      </w:pPr>
      <w:r>
        <w:rPr>
          <w:rFonts w:eastAsia="Times New Roman" w:cs="Times New Roman"/>
          <w:color w:val="000000"/>
          <w:sz w:val="26"/>
        </w:rPr>
        <w:t>Trên cơ sở mục tiêu và nội dung hợp tác do khách hàng cung cấp, tư vấn cấu trúc Hợp đồng BCC và xây dựng các điều khoản phù hợp nhằm xác định rõ phần đóng góp, quyền và nghĩa vụ, cơ chế quản lý, phân chia lợi ích, phân bổ rủi ro và phương thức chấm dứt hợp tác của các bên.</w:t>
      </w:r>
    </w:p>
    <w:p>
      <w:pPr>
        <w:pStyle w:val="Heading3"/>
        <w:keepNext w:val="true"/>
        <w:spacing w:before="120" w:after="100"/>
        <w:rPr/>
      </w:pPr>
      <w:r>
        <w:rPr>
          <w:rFonts w:eastAsia="Times New Roman" w:cs="Times New Roman" w:ascii="Times New Roman" w:hAnsi="Times New Roman"/>
          <w:b/>
          <w:color w:val="000000"/>
          <w:sz w:val="26"/>
        </w:rPr>
        <w:t>4.4.2. Nội dung dịch vụ.</w:t>
      </w:r>
    </w:p>
    <w:p>
      <w:pPr>
        <w:pStyle w:val="Normal"/>
        <w:spacing w:lineRule="auto" w:line="312" w:before="0" w:after="120"/>
        <w:ind w:firstLine="567"/>
        <w:jc w:val="both"/>
        <w:rPr/>
      </w:pPr>
      <w:r>
        <w:rPr>
          <w:rFonts w:eastAsia="Times New Roman" w:cs="Times New Roman"/>
          <w:color w:val="000000"/>
          <w:sz w:val="26"/>
        </w:rPr>
        <w:t>Thứ nhất, tư vấn cấu trúc và nội dung hợp tác. Tiếp nhận thông tin về dự án hợp tác và xác định các yếu tố pháp lý cơ bản của giao dịch, bao gồm: (1) Các bên tham gia hợp tác; (2) Mục tiêu hợp tác; (3) Phạm vi hoạt động hợp tác; (4) Thời hạn hợp tác; (5) Phần đóng góp của từng bên; (6) Cơ chế quản lý và thực hiện hoạt động hợp tác; (7) Phương thức phân chia lợi nhuận, sản phẩm hoặc kết quả kinh doanh</w:t>
      </w:r>
    </w:p>
    <w:p>
      <w:pPr>
        <w:pStyle w:val="Normal"/>
        <w:spacing w:lineRule="auto" w:line="312" w:before="0" w:after="120"/>
        <w:ind w:firstLine="567"/>
        <w:jc w:val="both"/>
        <w:rPr/>
      </w:pPr>
      <w:r>
        <w:rPr>
          <w:rFonts w:eastAsia="Times New Roman" w:cs="Times New Roman"/>
          <w:color w:val="000000"/>
          <w:sz w:val="26"/>
        </w:rPr>
        <w:t>Trên cơ sở đó, xác định các vấn đề cần được quy định trong Hợp đồng BCC và đề xuất cấu trúc hợp đồng phù hợp với mục tiêu kinh doanh của khách hàng.</w:t>
      </w:r>
    </w:p>
    <w:p>
      <w:pPr>
        <w:pStyle w:val="Normal"/>
        <w:spacing w:lineRule="auto" w:line="312" w:before="0" w:after="120"/>
        <w:ind w:firstLine="567"/>
        <w:jc w:val="both"/>
        <w:rPr/>
      </w:pPr>
      <w:r>
        <w:rPr>
          <w:rFonts w:eastAsia="Times New Roman" w:cs="Times New Roman"/>
          <w:color w:val="000000"/>
          <w:sz w:val="26"/>
        </w:rPr>
        <w:t>Thứ hai, tư vấn về phần đóng góp của các bên. Cung cấp dịch vụ tư vấn và quy định rõ trong hợp đồng về phần đóng góp của từng bên, bao gồm: tiền, tài sản, nhân lực, hệ thống cơ sở hạ tầng, công nghệ và các nguồn lực hợp pháp khác. Điều này giúp tạo cơ sở pháp lý vững chắc để phòng ngừa tranh chấp, tối ưu hóa nguồn lực cam kết và bảo vệ quyền lợi hợp pháp của các bên trong suốt quá trình hợp tác.</w:t>
      </w:r>
    </w:p>
    <w:p>
      <w:pPr>
        <w:pStyle w:val="Normal"/>
        <w:spacing w:lineRule="auto" w:line="312" w:before="0" w:after="120"/>
        <w:ind w:firstLine="567"/>
        <w:jc w:val="both"/>
        <w:rPr/>
      </w:pPr>
      <w:r>
        <w:rPr>
          <w:rFonts w:eastAsia="Times New Roman" w:cs="Times New Roman"/>
          <w:color w:val="000000"/>
          <w:sz w:val="26"/>
        </w:rPr>
        <w:t>Thứ ba, soạn thảo Hợp đồng BCC. Tư vấn xây dựng Hợp đồng BCC với các nội dung chủ yếu sau: (1) Thông tin và tư cách pháp lý của các bên; (2) Mục tiêu và phạm vi hợp tác; (3) Nội dung hoạt động kinh doanh; (4) Địa điểm và thời hạn hợp tác; (5) Phần đóng góp của từng bên; (6) Quyền và nghĩa vụ của các bên; (7) Cơ chế quản lý và điều hành; (8) Phương thức phân chia lợi nhuận, sản phẩm hoặc kết quả kinh doanh; (9) Tiến độ và thời hạn; (10) Trách nhiệm do vi phạm hợp đồng; (11) Điều khoản bảo mật và quyền sở hữu trí tuệ; (12) Điều kiện chấm dứt hợp đồng; (13) Điều khoản về pháp luật áp dụng.</w:t>
      </w:r>
    </w:p>
    <w:p>
      <w:pPr>
        <w:pStyle w:val="Normal"/>
        <w:spacing w:lineRule="auto" w:line="312" w:before="0" w:after="120"/>
        <w:ind w:firstLine="567"/>
        <w:jc w:val="both"/>
        <w:rPr/>
      </w:pPr>
      <w:r>
        <w:rPr>
          <w:rFonts w:eastAsia="Times New Roman" w:cs="Times New Roman"/>
          <w:color w:val="000000"/>
          <w:sz w:val="26"/>
        </w:rPr>
        <w:t>Dịch vụ này nhằm thiết lập hành lang pháp lý toàn diện và chặt chẽ cho hoạt động hợp tác kinh doanh. Thông qua việc cụ thể hóa chi tiết các điều khoản, dịch vụ giúp tối ưu hóa hiệu quả vận hành, bảo đảm quyền lợi tối đa cho các bên và phòng ngừa triệt để các rủi ro, tranh chấp phát sinh trong quá trình thực hiện.</w:t>
      </w:r>
    </w:p>
    <w:p>
      <w:pPr>
        <w:pStyle w:val="Normal"/>
        <w:spacing w:lineRule="auto" w:line="312" w:before="0" w:after="120"/>
        <w:ind w:firstLine="567"/>
        <w:jc w:val="both"/>
        <w:rPr/>
      </w:pPr>
      <w:r>
        <w:rPr>
          <w:rFonts w:eastAsia="Times New Roman" w:cs="Times New Roman"/>
          <w:color w:val="000000"/>
          <w:sz w:val="26"/>
        </w:rPr>
        <w:t>Thứ tư, tư vấn cơ chế quản lý và ra quyết định. Cung cấp dịch vụ tư vấn cơ chế phối hợp và ra quyết định trong quá trình thực hiện BCC, bao gồm: Thẩm quyền của đại diện mỗi bên, cơ chế đưa ra quyết định, cơ chế giám sát hoạt động hợp tác, Cơ chế xử lý vi phạm nghĩa vụ của một bên. Đối với BCC thuộc trường hợp phải thành lập Ban điều phối theo pháp luật đầu tư, chúng tôi hỗ trợ tư vấn việc xác định chức năng, nhiệm vụ và quyền hạn của Ban điều phối trong phạm vi hợp đồng.</w:t>
      </w:r>
    </w:p>
    <w:p>
      <w:pPr>
        <w:pStyle w:val="Normal"/>
        <w:spacing w:lineRule="auto" w:line="312" w:before="0" w:after="120"/>
        <w:ind w:firstLine="567"/>
        <w:jc w:val="both"/>
        <w:rPr/>
      </w:pPr>
      <w:r>
        <w:rPr>
          <w:rFonts w:eastAsia="Times New Roman" w:cs="Times New Roman"/>
          <w:color w:val="000000"/>
          <w:sz w:val="26"/>
        </w:rPr>
        <w:t>Thứ năm, tư vấn phân chia lợi ích và phân bổ rủi ro. Dịch vụ tư vấn xác định cơ chế phân chia lợi nhuận, sản phẩm hoặc kết quả kinh doanh giữa các bên, đồng thời xác định trách nhiệm đối với các chi phí và rủi ro phát sinh, bao gồm: căn cứ xác định doanh thu, chi phí; Phương thức xác định lợi nhuận, thời điểm và phương thức phân chia,, cơ chế xử lý tổn thất và trách nhiệm đối với nghĩa vụ phát sinh từ hoạt động hợp tác.</w:t>
      </w:r>
    </w:p>
    <w:p>
      <w:pPr>
        <w:pStyle w:val="Normal"/>
        <w:spacing w:lineRule="auto" w:line="312" w:before="0" w:after="120"/>
        <w:ind w:firstLine="567"/>
        <w:jc w:val="both"/>
        <w:rPr/>
      </w:pPr>
      <w:r>
        <w:rPr>
          <w:rFonts w:eastAsia="Times New Roman" w:cs="Times New Roman"/>
          <w:color w:val="000000"/>
          <w:sz w:val="26"/>
        </w:rPr>
        <w:t>Thứ sáu, rà soát, đàm phán và hoàn thiện Hợp đồng BCC. Cung cấp dịch vụ rà soát dự thảo hợp đồng do khách hàng hoặc đối tác cung cấp, xác định các điều khoản có khả năng gây bất lợi cho khách hàng và đề xuất phương án sửa đổi. Đồng thời, hỗ trợ khách hàng trong quá trình đàm phán các điều khoản quan trọng và hoàn thiện Hợp đồng BCC trước khi ký kết.</w:t>
      </w:r>
    </w:p>
    <w:p>
      <w:pPr>
        <w:pStyle w:val="Heading3"/>
        <w:keepNext w:val="true"/>
        <w:spacing w:before="120" w:after="100"/>
        <w:rPr/>
      </w:pPr>
      <w:r>
        <w:rPr>
          <w:rFonts w:eastAsia="Times New Roman" w:cs="Times New Roman" w:ascii="Times New Roman" w:hAnsi="Times New Roman"/>
          <w:b/>
          <w:color w:val="000000"/>
          <w:sz w:val="26"/>
        </w:rPr>
        <w:t>4.4.3. Phạm vi dịch vụ.</w:t>
      </w:r>
    </w:p>
    <w:p>
      <w:pPr>
        <w:pStyle w:val="Normal"/>
        <w:spacing w:lineRule="auto" w:line="312" w:before="0" w:after="120"/>
        <w:ind w:firstLine="567"/>
        <w:jc w:val="both"/>
        <w:rPr/>
      </w:pPr>
      <w:r>
        <w:rPr>
          <w:rFonts w:eastAsia="Times New Roman" w:cs="Times New Roman"/>
          <w:color w:val="000000"/>
          <w:sz w:val="26"/>
        </w:rPr>
        <w:t>Phạm vi dịch vụ áp dụng đối với việc tư vấn, soạn thảo, rà soát và hoàn thiện Hợp đồng BCC giữa doanh nghiệp và nhà đầu tư trong nước hoặc nước ngoài, từ khi xác định nội dung hợp tác đến khi hợp đồng được hoàn tất để ký kết. Đối với nhà đầu tư nước ngoài, việc hợp tác phải tuân thủ các điều kiện và thủ tục đầu tư theo quy định pháp luật hiện hành. Phạm vi dịch vụ không bao gồm thủ tục xin giấy phép cung ứng dịch vụ trung gian thanh toán, tư vấn thuế, kế toán, kiểm toán, thẩm định chuyên sâu về công nghệ hoặc các thủ tục đầu tư riêng của nhà đầu tư nước ngoài, trừ khi có thỏa thuận khác.</w:t>
      </w:r>
    </w:p>
    <w:p>
      <w:pPr>
        <w:pStyle w:val="Heading3"/>
        <w:keepNext w:val="true"/>
        <w:spacing w:before="120" w:after="100"/>
        <w:rPr/>
      </w:pPr>
      <w:r>
        <w:rPr>
          <w:rFonts w:eastAsia="Times New Roman" w:cs="Times New Roman" w:ascii="Times New Roman" w:hAnsi="Times New Roman"/>
          <w:b/>
          <w:color w:val="000000"/>
          <w:sz w:val="26"/>
        </w:rPr>
        <w:t>4.4.4. Mục đích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BCC nhằm xác định rõ quyền, nghĩa vụ và trách nhiệm của các bên, từ mục tiêu, phạm vi hợp tác, phần đóng góp đến cơ chế quản lý, phân chia lợi ích và phân bổ rủi ro. Đồng thời, hợp đồng giúp bảo vệ tài sản, công nghệ và lợi ích của các bên, thiết lập cơ chế xử lý bất đồng, vi phạm và chấm dứt hợp tác. Qua đó hạn chế tranh chấp và bảo đảm giao dịch phù hợp với quy định pháp luật đối với cả nhà đầu tư trong nước và nước ngoài.</w:t>
      </w:r>
    </w:p>
    <w:p>
      <w:pPr>
        <w:pStyle w:val="Heading2"/>
        <w:keepNext w:val="true"/>
        <w:spacing w:before="120" w:after="100"/>
        <w:rPr/>
      </w:pPr>
      <w:r>
        <w:rPr>
          <w:rFonts w:eastAsia="Times New Roman" w:cs="Times New Roman" w:ascii="Times New Roman" w:hAnsi="Times New Roman"/>
          <w:b/>
          <w:color w:val="000000"/>
          <w:sz w:val="26"/>
        </w:rPr>
        <w:t>4.5. Hợp đồng kết nối và mở tài khoản bảo đảm thanh toán (*).</w:t>
      </w:r>
    </w:p>
    <w:p>
      <w:pPr>
        <w:pStyle w:val="Heading3"/>
        <w:keepNext w:val="true"/>
        <w:spacing w:before="120" w:after="100"/>
        <w:rPr/>
      </w:pPr>
      <w:r>
        <w:rPr>
          <w:rFonts w:eastAsia="Times New Roman" w:cs="Times New Roman" w:ascii="Times New Roman" w:hAnsi="Times New Roman"/>
          <w:b/>
          <w:color w:val="000000"/>
          <w:sz w:val="26"/>
        </w:rPr>
        <w:t>4.5.1. Giới thiệu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Hợp tác Kết nối và Mở Tài khoản Đảm bảo Thanh toán là giải pháp pháp lý toàn diện do chúng tôi thiết kế riêng cho các doanh nghiệp đang chuẩn bị triển khai hoặc vận hành dịch vụ Ví điện tử. Về mặt bản chất, đây không đơn thuần là một hợp đồng thương mại thông thường, mà là thỏa thuận hợp tác đa tầng điều chỉnh đồng thời hai quan hệ cốt lõi: quan hệ quản lý tài sản ký quỹ đảm bảo giữa với Ngân hàng thương mại (NHTM) và quan hệ kết nối hạ tầng công nghệ thanh toán qua giao diện lập trình ứng dụng (API Gateway). Hợp đồng này đóng vai trò là sợi dây giúp doanh nghiệp hiện thực hóa mô hình kinh doanh Ví điện tử trong ranh giới pháp luật Việt Nam hiện hành.</w:t>
      </w:r>
    </w:p>
    <w:p>
      <w:pPr>
        <w:pStyle w:val="Normal"/>
        <w:spacing w:lineRule="auto" w:line="312" w:before="0" w:after="120"/>
        <w:ind w:firstLine="567"/>
        <w:jc w:val="both"/>
        <w:rPr/>
      </w:pPr>
      <w:r>
        <w:rPr>
          <w:rFonts w:eastAsia="Times New Roman" w:cs="Times New Roman"/>
          <w:color w:val="000000"/>
          <w:sz w:val="26"/>
        </w:rPr>
        <w:t>Căn cứ pháp lý trực tiếp để xây dựng hợp đồng bao gồm Nghị định số 52/2024/NĐ-CP của Chính phủ quy định về thanh toán không dùng tiền mặt, Thông tư số 40/2024/TT-NHNN của Ngân hàng Nhà nước quy định về hoạt động cung ứng dịch vụ trung gian thanh toán, Thông tư số 17/2024/TT-NHNN về mở và sử dụng tài khoản thanh toán, Luật Các tổ chức tín dụng năm 2024, Luật Giao dịch điện tử năm 2023, Luật Bảo vệ dữ liệu cá nhân số 91/2025/QH15 và Nghị định số 356/2025/NĐ-CP về bảo vệ dữ liệu cá nhân, cùng các quy định liên quan của Bộ luật Dân sự 2015.</w:t>
      </w:r>
    </w:p>
    <w:p>
      <w:pPr>
        <w:pStyle w:val="Normal"/>
        <w:spacing w:lineRule="auto" w:line="312" w:before="0" w:after="120"/>
        <w:ind w:firstLine="567"/>
        <w:jc w:val="both"/>
        <w:rPr/>
      </w:pPr>
      <w:r>
        <w:rPr>
          <w:rFonts w:eastAsia="Times New Roman" w:cs="Times New Roman"/>
          <w:color w:val="000000"/>
          <w:sz w:val="26"/>
        </w:rPr>
        <w:t>Sự cần thiết của hợp đồng xuất phát từ giới hạn tư cách pháp lý của doanh nghiệp. Theo quy định pháp luật Việt Nam, công ty chỉ là đơn vị cung cấp giải pháp công nghệ trung gian, không phải là tổ chức tín dụng nên tuyệt đối không có chức năng nhận tiền gửi hay tự mình đứng ra quản lý, lưu giữ tiền mặt của người sử dụng Ví. Toàn bộ tiền thực của khách hàng nạp vào Ví điện tử bắt buộc phải được chuyển về lưu giữ tại một hoặc nhiều Tài khoản đảm bảo thanh toán mở tại NHTM hợp tác. Do đó, hợp đồng này chính là cơ chế pháp lý phân định rõ ràng vai trò: Ngân hàng đóng vai trò là đơn vị lưu giữ, bảo chứng an toàn tài chính, còn giữ vai trò quản lý hệ thống dữ liệu, xử lý tính toán số dư trên ứng dụng và vận hành trải nghiệm người dùng.</w:t>
      </w:r>
    </w:p>
    <w:p>
      <w:pPr>
        <w:pStyle w:val="Heading3"/>
        <w:keepNext w:val="true"/>
        <w:spacing w:before="120" w:after="100"/>
        <w:rPr/>
      </w:pPr>
      <w:r>
        <w:rPr>
          <w:rFonts w:eastAsia="Times New Roman" w:cs="Times New Roman" w:ascii="Times New Roman" w:hAnsi="Times New Roman"/>
          <w:b/>
          <w:color w:val="000000"/>
          <w:sz w:val="26"/>
        </w:rPr>
        <w:t>4.5.2. Nội dung dịch vụ.</w:t>
      </w:r>
    </w:p>
    <w:p>
      <w:pPr>
        <w:pStyle w:val="Normal"/>
        <w:spacing w:lineRule="auto" w:line="312" w:before="0" w:after="120"/>
        <w:ind w:firstLine="567"/>
        <w:jc w:val="both"/>
        <w:rPr/>
      </w:pPr>
      <w:r>
        <w:rPr>
          <w:rFonts w:eastAsia="Times New Roman" w:cs="Times New Roman"/>
          <w:color w:val="000000"/>
          <w:sz w:val="26"/>
        </w:rPr>
        <w:t>Để xây dựng một bộ hợp đồng vừa tuân thủ nghiêm ngặt quy định chuyên ngành của Ngân hàng Nhà nước, vừa tối ưu hóa lợi ích thương mại cho doanh nghiệp khi làm việc với các NHTM lớn, chúng tôi triển khai quy trình tư vấn và bàn giao sản phẩm qua ba giai đoạn:</w:t>
      </w:r>
    </w:p>
    <w:p>
      <w:pPr>
        <w:pStyle w:val="Normal"/>
        <w:spacing w:lineRule="auto" w:line="312" w:before="0" w:after="120"/>
        <w:ind w:firstLine="567"/>
        <w:jc w:val="both"/>
        <w:rPr/>
      </w:pPr>
      <w:r>
        <w:rPr>
          <w:rFonts w:eastAsia="Times New Roman" w:cs="Times New Roman"/>
          <w:color w:val="000000"/>
          <w:sz w:val="26"/>
        </w:rPr>
        <w:t>Giai đoạn 1: Khảo sát mô hình luồng tiền và kiến trúc kỹ thuật</w:t>
      </w:r>
    </w:p>
    <w:p>
      <w:pPr>
        <w:pStyle w:val="Normal"/>
        <w:spacing w:lineRule="auto" w:line="312" w:before="0" w:after="120"/>
        <w:ind w:firstLine="567"/>
        <w:jc w:val="both"/>
        <w:rPr/>
      </w:pPr>
      <w:r>
        <w:rPr>
          <w:rFonts w:eastAsia="Times New Roman" w:cs="Times New Roman"/>
          <w:color w:val="000000"/>
          <w:sz w:val="26"/>
        </w:rPr>
        <w:t>Trước khi đặt bút soạn thảo, luật sư chuyên trách sẽ phối hợp cùng Ban điều hành, Bộ phận Pháp chế và Khối Kỹ thuật của doanh nghiệp để đánh giá toàn diện mô hình vận hành. Phân tích kỹ lưỡng 03 luồng giao dịch cơ bản bao gồm: Luồng Nạp tiền (Cash-in) từ tài khoản/thẻ ngân hàng vào Ví; Luồng Rút tiền (Cash-out) từ Ví về tài khoản ngân hàng chính chủ; và Luồng Thanh toán (Payment) từ Ví sang Đơn vị chấp nhận thanh toán. Qua đó, xác định cơ chế ghi nhận biến động số dư theo thời gian thực và thiết lập nguyên tắc bảo lưu tỷ lệ 1:1 giữa tổng số dư Ví người dùng và số dư tiền gửi thực tế trên Tài khoản đảm bảo thanh toán.</w:t>
      </w:r>
    </w:p>
    <w:p>
      <w:pPr>
        <w:pStyle w:val="Normal"/>
        <w:spacing w:lineRule="auto" w:line="312" w:before="0" w:after="120"/>
        <w:ind w:firstLine="567"/>
        <w:jc w:val="both"/>
        <w:rPr/>
      </w:pPr>
      <w:r>
        <w:rPr>
          <w:rFonts w:eastAsia="Times New Roman" w:cs="Times New Roman"/>
          <w:color w:val="000000"/>
          <w:sz w:val="26"/>
        </w:rPr>
        <w:t>Giai đoạn 2: Xây dựng Bộ Hợp đồng hợp tác và các Phụ lục chuyên sâu</w:t>
      </w:r>
    </w:p>
    <w:p>
      <w:pPr>
        <w:pStyle w:val="Normal"/>
        <w:spacing w:lineRule="auto" w:line="312" w:before="0" w:after="120"/>
        <w:ind w:firstLine="567"/>
        <w:jc w:val="both"/>
        <w:rPr/>
      </w:pPr>
      <w:r>
        <w:rPr>
          <w:rFonts w:eastAsia="Times New Roman" w:cs="Times New Roman"/>
          <w:color w:val="000000"/>
          <w:sz w:val="26"/>
        </w:rPr>
        <w:t>Trên cơ sở kết quả khảo sát, soạn thảo trọn bộ hồ sơ hợp tác bao gồm Hợp đồng khung điều chỉnh nguyên tắc chung và các Phụ lục kỹ thuật - vận hành đi kèm. Sản phẩm bàn giao cụ thể gồm có:</w:t>
      </w:r>
    </w:p>
    <w:p>
      <w:pPr>
        <w:pStyle w:val="Normal"/>
        <w:spacing w:lineRule="auto" w:line="312" w:before="0" w:after="120"/>
        <w:ind w:hanging="0" w:start="425"/>
        <w:jc w:val="both"/>
        <w:rPr/>
      </w:pPr>
      <w:r>
        <w:rPr>
          <w:rFonts w:eastAsia="Times New Roman" w:cs="Times New Roman"/>
          <w:color w:val="000000"/>
          <w:sz w:val="26"/>
        </w:rPr>
        <w:t>- Dự thảo Hợp đồng chính: Quy định năng lực pháp lý, mục đích hợp tác, quyền và nghĩa vụ tổng quát, cơ chế tài chính, phạt vi phạm, bồi thường thiệt hại và giải quyết tranh chấp.</w:t>
      </w:r>
    </w:p>
    <w:p>
      <w:pPr>
        <w:pStyle w:val="Normal"/>
        <w:spacing w:lineRule="auto" w:line="312" w:before="0" w:after="120"/>
        <w:ind w:hanging="0" w:start="425"/>
        <w:jc w:val="both"/>
        <w:rPr/>
      </w:pPr>
      <w:r>
        <w:rPr>
          <w:rFonts w:eastAsia="Times New Roman" w:cs="Times New Roman"/>
          <w:color w:val="000000"/>
          <w:sz w:val="26"/>
        </w:rPr>
        <w:t>- Phụ lục 01 - Quy chế Mở và Quản lý Tài khoản Đảm bảo Thanh toán: Quy định chi tiết điều kiện giải tỏa tiền, danh mục mục đích chi trả hợp pháp, công thức kiểm tra số dư và nghĩa vụ báo cáo định kỳ.</w:t>
      </w:r>
    </w:p>
    <w:p>
      <w:pPr>
        <w:pStyle w:val="Normal"/>
        <w:spacing w:lineRule="auto" w:line="312" w:before="0" w:after="120"/>
        <w:ind w:hanging="0" w:start="425"/>
        <w:jc w:val="both"/>
        <w:rPr/>
      </w:pPr>
      <w:r>
        <w:rPr>
          <w:rFonts w:eastAsia="Times New Roman" w:cs="Times New Roman"/>
          <w:color w:val="000000"/>
          <w:sz w:val="26"/>
        </w:rPr>
        <w:t>- Phụ lục 02 - Tiêu chuẩn Kết nối API và Cam kết Chất lượng Dịch vụ: Mô tả các cổng kết nối, môi trường thử nghiệm (Sandbox), tiêu chuẩn mã hóa, tỷ lệ sẵn sàng hệ thống, giới hạn thời gian gián đoạn và quy trình khắc phục sự cố khẩn cấp.</w:t>
      </w:r>
    </w:p>
    <w:p>
      <w:pPr>
        <w:pStyle w:val="Normal"/>
        <w:spacing w:lineRule="auto" w:line="312" w:before="0" w:after="120"/>
        <w:ind w:hanging="0" w:start="425"/>
        <w:jc w:val="both"/>
        <w:rPr/>
      </w:pPr>
      <w:r>
        <w:rPr>
          <w:rFonts w:eastAsia="Times New Roman" w:cs="Times New Roman"/>
          <w:color w:val="000000"/>
          <w:sz w:val="26"/>
        </w:rPr>
        <w:t>- Phụ lục 03 - Quy trình Đối soát, Tra soát và Xử lý Sai lệch: Chốt chu kỳ đối soát dữ liệu (T+1), phương thức xử lý giao dịch treo, giao dịch lỗi hai lần và trách nhiệm hoàn tiền cho khách hàng.</w:t>
      </w:r>
    </w:p>
    <w:p>
      <w:pPr>
        <w:pStyle w:val="Normal"/>
        <w:spacing w:lineRule="auto" w:line="312" w:before="0" w:after="120"/>
        <w:ind w:hanging="0" w:start="425"/>
        <w:jc w:val="both"/>
        <w:rPr/>
      </w:pPr>
      <w:r>
        <w:rPr>
          <w:rFonts w:eastAsia="Times New Roman" w:cs="Times New Roman"/>
          <w:color w:val="000000"/>
          <w:sz w:val="26"/>
        </w:rPr>
        <w:t>- Phụ lục 04 - Thỏa thuận Bảo vệ Dữ liệu Cá nhân và An toàn Thông tin: Quy định phân định vai trò xử lý dữ liệu, cơ chế mã hóa thông tin eKYC và phương án xử lý khi xảy ra sự cố rò rỉ dữ liệu theo Luật Bảo vệ dữ liệu cá nhân số 91/2025/QH15 và Nghị định 356/2025/NĐ-CP.</w:t>
      </w:r>
    </w:p>
    <w:p>
      <w:pPr>
        <w:pStyle w:val="Normal"/>
        <w:spacing w:lineRule="auto" w:line="312" w:before="0" w:after="120"/>
        <w:ind w:hanging="0" w:start="0"/>
        <w:jc w:val="both"/>
        <w:rPr/>
      </w:pPr>
      <w:r>
        <w:rPr>
          <w:rFonts w:eastAsia="Times New Roman" w:cs="Times New Roman"/>
          <w:color w:val="000000"/>
          <w:sz w:val="26"/>
        </w:rPr>
        <w:t>Giai đoạn 3: Rà soát, đàm phán và hoàn thiện văn bản pháp lý</w:t>
      </w:r>
    </w:p>
    <w:p>
      <w:pPr>
        <w:pStyle w:val="Normal"/>
        <w:spacing w:lineRule="auto" w:line="312" w:before="0" w:after="120"/>
        <w:ind w:firstLine="567"/>
        <w:jc w:val="both"/>
        <w:rPr/>
      </w:pPr>
      <w:r>
        <w:rPr>
          <w:rFonts w:eastAsia="Times New Roman" w:cs="Times New Roman"/>
          <w:color w:val="000000"/>
          <w:sz w:val="26"/>
        </w:rPr>
        <w:t>Các NHTM thường có xu hướng sử dụng mẫu hợp đồng do khối pháp chế của ngân hàng soạn sẵn, trong đó thường gài gắm các điều khoản miễn trừ trách nhiệm cho phía ngân hàng hoặc đơn phương tạm dừng dịch vụ khi có sự cố. Luật sư bên phía tôi sẽ đại diện hoặc đồng hành cùng doanh nghiệp trong các phiên đàm phán, thực hiện rà soát chuyên sâu nhằm loại bỏ các điều khoản bất lợi, điều chỉnh cơ chế phạt vi phạm về mức hợp lý, bảo vệ quyền chủ động tài chính của doanh nghiệp và đảm bảo hợp đồng sẵn sàng vượt qua kỳ thẩm định của Ngân hàng Nhà nước.</w:t>
      </w:r>
    </w:p>
    <w:p>
      <w:pPr>
        <w:pStyle w:val="Heading3"/>
        <w:keepNext w:val="true"/>
        <w:spacing w:before="120" w:after="100"/>
        <w:rPr/>
      </w:pPr>
      <w:r>
        <w:rPr>
          <w:rFonts w:eastAsia="Times New Roman" w:cs="Times New Roman" w:ascii="Times New Roman" w:hAnsi="Times New Roman"/>
          <w:b/>
          <w:color w:val="000000"/>
          <w:sz w:val="26"/>
        </w:rPr>
        <w:t>4.5.3. Phạm vi dịch vụ.</w:t>
      </w:r>
    </w:p>
    <w:p>
      <w:pPr>
        <w:pStyle w:val="Normal"/>
        <w:spacing w:lineRule="auto" w:line="312" w:before="0" w:after="120"/>
        <w:ind w:firstLine="567"/>
        <w:jc w:val="both"/>
        <w:rPr/>
      </w:pPr>
      <w:r>
        <w:rPr>
          <w:rFonts w:eastAsia="Times New Roman" w:cs="Times New Roman"/>
          <w:color w:val="000000"/>
          <w:sz w:val="26"/>
        </w:rPr>
        <w:t>Phạm vi dịch vụ tư vấn và soạn thảo Hợp đồng Hợp tác Kết nối và Mở Tài khoản Đảm bảo Thanh toán do Công ty chúng tôi cung cấp cho quý công ty được xác định cụ thể dựa trên 04 tiêu chí ranh giới pháp lý và vận hành sau đây:</w:t>
      </w:r>
    </w:p>
    <w:p>
      <w:pPr>
        <w:pStyle w:val="Normal"/>
        <w:spacing w:lineRule="auto" w:line="312" w:before="0" w:after="120"/>
        <w:ind w:firstLine="567"/>
        <w:jc w:val="both"/>
        <w:rPr/>
      </w:pPr>
      <w:r>
        <w:rPr>
          <w:rFonts w:eastAsia="Times New Roman" w:cs="Times New Roman"/>
          <w:color w:val="000000"/>
          <w:sz w:val="26"/>
        </w:rPr>
        <w:t>Thứ nhất, đối tượng áp dụng của dịch vụ. Dịch vụ tư vấn được áp dụng trực tiếp đối với quan hệ hợp tác đa tầng giữa quý công ty (doanh nghiệp cung ứng dịch vụ Ví điện tử) và Ngân hàng thương mại hợp tác. Phạm vi dịch vụ tập trung điều chỉnh hai nhóm quan hệ cốt lõi: quan hệ quản lý, bảo chứng an toàn tài chính đối với tiền nạp của người dùng thông qua Tài khoản đảm bảo thanh toán; và quan hệ kết nối hạ tầng kỹ thuật thanh toán qua cổng API. Dịch vụ bao phủ toàn bộ các khía cạnh pháp lý kết nối giữa hai bên, bao gồm cơ chế bảo lưu vốn 1:1, luồng dịch chuyển dòng tiền (Cash-in, Cash-out, Payment), tiêu chuẩn chất lượng kết nối, quy trình đối soát – tra soát, trách nhiệm tuân thủ eKYC, phòng chống rửa tiền (AML) và bảo vệ dữ liệu cá nhân trong quá trình vận hành hệ thống.</w:t>
      </w:r>
    </w:p>
    <w:p>
      <w:pPr>
        <w:pStyle w:val="Normal"/>
        <w:spacing w:lineRule="auto" w:line="312" w:before="0" w:after="120"/>
        <w:ind w:firstLine="567"/>
        <w:jc w:val="both"/>
        <w:rPr/>
      </w:pPr>
      <w:r>
        <w:rPr>
          <w:rFonts w:eastAsia="Times New Roman" w:cs="Times New Roman"/>
          <w:color w:val="000000"/>
          <w:sz w:val="26"/>
        </w:rPr>
        <w:t>Thứ hai, thời điểm áp dụng và thời hạn thực hiện. Về thời điểm áp dụng, dịch vụ được khởi chạy ngay ở giai đoạn quý công ty chuẩn bị thương lượng, đàm phán với Ngân hàng thương mại để hoàn thiện hồ sơ xin cấp Giấy phép hoạt động cung ứng dịch vụ trung gian thanh toán gửi Ngân hàng Nhà nước (đáp ứng điều kiện bắt buộc theo Khoản 2 Điều 22 Nghị định 52/2024/NĐ-CP), hoặc áp dụng khi quý công ty có nhu cầu tái đàm phán, chuẩn hóa lại hợp đồng hợp tác đã ký kết. Về thời hạn thực hiện dịch vụ tư vấn, Công ty Luật sẽ đồng hành cùng quý công ty qua 03 giai đoạn (Khảo sát luồng tiền – Soạn thảo hồ sơ – Đàm phán hoàn thiện) cho đến khi bộ Hợp đồng chính thức được đại diện có thẩm quyền của hai bên ký kết và đáp ứng đầy đủ tiêu chuẩn thẩm định của Ngân hàng Nhà nước. Bản thân Hợp đồng hợp tác sau khi ký kết sẽ có hiệu lực theo thời hạn thương mại do quý công ty và Ngân hàng thỏa thuận (thông thường từ 01 đến 05 năm).</w:t>
      </w:r>
    </w:p>
    <w:p>
      <w:pPr>
        <w:pStyle w:val="Normal"/>
        <w:spacing w:lineRule="auto" w:line="312" w:before="0" w:after="120"/>
        <w:ind w:firstLine="567"/>
        <w:jc w:val="both"/>
        <w:rPr/>
      </w:pPr>
      <w:r>
        <w:rPr>
          <w:rFonts w:eastAsia="Times New Roman" w:cs="Times New Roman"/>
          <w:color w:val="000000"/>
          <w:sz w:val="26"/>
        </w:rPr>
        <w:t>Thứ ba, phạm vi tư vấn và soạn thảo hợp đồng được kiểm soát nghiêm ngặt và phải tuân thủ tuyệt đối các căn cứ pháp lý cứng của pháp luật Việt Nam hiện hành. Hợp đồng không được phép quy định bất kỳ điều khoản nào trái hoặc lệch chuẩn so với các văn bản quy phạm pháp luật bắt buộc:</w:t>
      </w:r>
    </w:p>
    <w:p>
      <w:pPr>
        <w:pStyle w:val="Normal"/>
        <w:spacing w:lineRule="auto" w:line="312" w:before="0" w:after="120"/>
        <w:ind w:hanging="0" w:start="0"/>
        <w:jc w:val="both"/>
        <w:rPr/>
      </w:pPr>
      <w:r>
        <w:rPr>
          <w:rFonts w:eastAsia="Times New Roman" w:cs="Times New Roman"/>
          <w:color w:val="000000"/>
          <w:sz w:val="26"/>
        </w:rPr>
        <w:t>- Nguyên tắc bảo lưu tỷ lệ 1:1 và danh mục mục đích chi trả khép kín của Tài khoản đảm bảo thanh toán quy định tại Khoản 3 Điều 6 Nghị định 52/2024/NĐ-CP và Điều 27 Thông tư 40/2024/TT-NHNN (đã sửa đổi, bổ sung theo Thông tư 41/2025/TT-NHNN).</w:t>
      </w:r>
    </w:p>
    <w:p>
      <w:pPr>
        <w:pStyle w:val="Normal"/>
        <w:spacing w:lineRule="auto" w:line="312" w:before="0" w:after="120"/>
        <w:ind w:hanging="0" w:start="0"/>
        <w:jc w:val="both"/>
        <w:rPr>
          <w:b w:val="false"/>
          <w:bCs w:val="false"/>
        </w:rPr>
      </w:pPr>
      <w:r>
        <w:rPr>
          <w:rFonts w:eastAsia="Times New Roman" w:cs="Times New Roman"/>
          <w:color w:val="000000"/>
          <w:sz w:val="26"/>
        </w:rPr>
        <w:t>- Các quy định về mở và sử dụng tài khoản thanh toán tại Thông tư 17/2024/TT-NHNN và Luật Các tổ chức tín dụng 2024.</w:t>
      </w:r>
    </w:p>
    <w:p>
      <w:pPr>
        <w:pStyle w:val="Normal"/>
        <w:spacing w:lineRule="auto" w:line="312" w:before="0" w:after="120"/>
        <w:ind w:hanging="0" w:start="0"/>
        <w:jc w:val="both"/>
        <w:rPr/>
      </w:pPr>
      <w:r>
        <w:rPr>
          <w:rFonts w:eastAsia="Times New Roman" w:cs="Times New Roman"/>
          <w:color w:val="000000"/>
          <w:sz w:val="26"/>
        </w:rPr>
        <w:t>- Giới hạn về hạn mức giao dịch, tiêu chuẩn eKYC sinh trắc học và nghĩa vụ báo cáo phòng chống rửa tiền theo pháp luật chuyên ngành.</w:t>
      </w:r>
    </w:p>
    <w:p>
      <w:pPr>
        <w:pStyle w:val="Normal"/>
        <w:spacing w:lineRule="auto" w:line="312" w:before="0" w:after="120"/>
        <w:ind w:hanging="0" w:start="0"/>
        <w:jc w:val="both"/>
        <w:rPr/>
      </w:pPr>
      <w:r>
        <w:rPr>
          <w:rFonts w:eastAsia="Times New Roman" w:cs="Times New Roman"/>
          <w:color w:val="000000"/>
          <w:sz w:val="26"/>
        </w:rPr>
        <w:t>- Các quy định bảo vệ dữ liệu cá nhân, hạn chế chuyển giao dữ liệu trái phép theo Luật Bảo vệ dữ liệu cá nhân số 91/2025/QH15 và Nghị định 356/2025/NĐ-CP.</w:t>
      </w:r>
    </w:p>
    <w:p>
      <w:pPr>
        <w:pStyle w:val="Normal"/>
        <w:spacing w:lineRule="auto" w:line="312" w:before="0" w:after="120"/>
        <w:ind w:hanging="0" w:start="0"/>
        <w:jc w:val="both"/>
        <w:rPr/>
      </w:pPr>
      <w:r>
        <w:rPr>
          <w:rFonts w:eastAsia="Times New Roman" w:cs="Times New Roman"/>
          <w:color w:val="000000"/>
          <w:sz w:val="26"/>
        </w:rPr>
        <w:t>- Ranh giới pháp lý của Bộ luật Hình sự: Hợp đồng tuyệt đối không được thiết lập các cơ chế cho phép quý công ty đụng chạm, sử dụng tiền đảm bảo thanh toán vào mục đích kinh doanh, cho vay hoặc huy động vốn trái phép.</w:t>
      </w:r>
    </w:p>
    <w:p>
      <w:pPr>
        <w:pStyle w:val="Normal"/>
        <w:spacing w:lineRule="auto" w:line="312" w:before="0" w:after="120"/>
        <w:ind w:firstLine="567"/>
        <w:jc w:val="both"/>
        <w:rPr/>
      </w:pPr>
      <w:r>
        <w:rPr>
          <w:rFonts w:eastAsia="Times New Roman" w:cs="Times New Roman"/>
          <w:color w:val="000000"/>
          <w:sz w:val="26"/>
        </w:rPr>
        <w:t>Thứ tư, Phạm vi dịch vụ không bao gồm việc đại diện doanh nghiệp chịu trách nhiệm pháp lý trước Ngân hàng Nhà nước, không thẩm định sâu về mã nguồn hay hạ tầng kỹ thuật (chỉ đánh giá khía cạnh tuân thủ pháp lý của các yếu tố kỹ thuật theo luật định), và không bao gồm tư vấn thuế, kế toán chuyên sâu trừ khi có thỏa thuận riêng.</w:t>
      </w:r>
    </w:p>
    <w:p>
      <w:pPr>
        <w:pStyle w:val="Heading3"/>
        <w:keepNext w:val="true"/>
        <w:spacing w:before="120" w:after="100"/>
        <w:rPr/>
      </w:pPr>
      <w:r>
        <w:rPr>
          <w:rFonts w:eastAsia="Times New Roman" w:cs="Times New Roman" w:ascii="Times New Roman" w:hAnsi="Times New Roman"/>
          <w:b/>
          <w:color w:val="000000"/>
          <w:sz w:val="26"/>
        </w:rPr>
        <w:t>4.5.4. Mục đích dịch vụ.</w:t>
      </w:r>
    </w:p>
    <w:p>
      <w:pPr>
        <w:pStyle w:val="Normal"/>
        <w:spacing w:lineRule="auto" w:line="312" w:before="0" w:after="120"/>
        <w:ind w:firstLine="567"/>
        <w:jc w:val="both"/>
        <w:rPr/>
      </w:pPr>
      <w:r>
        <w:rPr>
          <w:rFonts w:eastAsia="Times New Roman" w:cs="Times New Roman"/>
          <w:color w:val="000000"/>
          <w:sz w:val="26"/>
        </w:rPr>
        <w:t>Một Hợp đồng Hợp tác Kết nối và Mở Tài khoản Đảm bảo Thanh toán được chuẩn hóa pháp lý giúp giải quyết 05 bài toán chiến lược mang tính sống còn cho doanh nghiệp:</w:t>
      </w:r>
    </w:p>
    <w:p>
      <w:pPr>
        <w:pStyle w:val="Normal"/>
        <w:spacing w:lineRule="auto" w:line="312" w:before="0" w:after="120"/>
        <w:ind w:firstLine="567"/>
        <w:jc w:val="both"/>
        <w:rPr/>
      </w:pPr>
      <w:r>
        <w:rPr>
          <w:rFonts w:eastAsia="Times New Roman" w:cs="Times New Roman"/>
          <w:color w:val="000000"/>
          <w:sz w:val="26"/>
        </w:rPr>
        <w:t>Thứ nhất, hoàn thiện điều kiện pháp lý bắt buộc để xin Giấy phép Trung gian thanh toán. Theo Điểm đ Khoản 2 Điều 22 Nghị định 52/2024/NĐ-CP, việc có Thỏa thuận hoặc Hợp đồng nguyên tắc mở tài khoản đảm bảo thanh toán với Ngân hàng thương mại là điều kiện tiên quyết trong hồ sơ xin cấp Giấy phép hoạt động cung ứng dịch vụ trung gian thanh toán gửi Ngân hàng Nhà nước. Thiếu hợp đồng này, hồ sơ của doanh nghiệp sẽ bị bác bỏ ngay từ vòng thẩm định định danh. Việc sử dụng dịch vụ soạn thảo chuyên nghiệp giúp doanh nghiệp sở hữu một văn bản chuẩn chỉnh, đáp ứng chính xác các yêu cầu khắt khe của cơ quan quản lý.</w:t>
      </w:r>
    </w:p>
    <w:p>
      <w:pPr>
        <w:pStyle w:val="Normal"/>
        <w:spacing w:lineRule="auto" w:line="312" w:before="0" w:after="120"/>
        <w:ind w:firstLine="567"/>
        <w:jc w:val="both"/>
        <w:rPr/>
      </w:pPr>
      <w:r>
        <w:rPr>
          <w:rFonts w:eastAsia="Times New Roman" w:cs="Times New Roman"/>
          <w:color w:val="000000"/>
          <w:sz w:val="26"/>
        </w:rPr>
        <w:t>Thứ hai, triệt tiêu rủi ro bị truy cứu hình sự về hành vi "Huy động vốn trái phép". Rủi ro lớn nhất của các sáng lập viên doanh nghiệp là việc nhập nhằng giữa tiền của công ty và tiền nạp của người dùng. Khi hợp đồng thiết lập thành công cơ chế tài khoản phong tỏa tại Ngân hàng với nguyên tắc bảo lưu 1:1, tiền của người dùng được cách ly hoàn toàn khỏi tài sản của doanh nghiệp. Điều này tạo ra một "lá chắn pháp lý" vững chắc, bảo vệ Ban điều hành doanh nghiệp khỏi các nguy cơ bị thanh tra, truy cứu trách nhiệm hình sự về tội gian lận tài chính, kinh doanh tiền tệ trái phép hoặc huy động vốn trái phép theo Bộ luật Hình sự.</w:t>
      </w:r>
    </w:p>
    <w:p>
      <w:pPr>
        <w:pStyle w:val="Normal"/>
        <w:spacing w:lineRule="auto" w:line="312" w:before="0" w:after="120"/>
        <w:ind w:firstLine="567"/>
        <w:jc w:val="both"/>
        <w:rPr/>
      </w:pPr>
      <w:r>
        <w:rPr>
          <w:rFonts w:eastAsia="Times New Roman" w:cs="Times New Roman"/>
          <w:color w:val="000000"/>
          <w:sz w:val="26"/>
        </w:rPr>
        <w:t>Thứ ba, phân định rõ ràng trách nhiệm tài chính khi phát sinh sự cố hệ thống. Trong vận hành thanh toán số, các sự cố kỹ thuật như đứt gãy đường truyền viễn thông, lỗi kết nối API, treo tiền hoặc hacker can thiệp làm sai lệch dữ liệu giao dịch xảy ra thường xuyên. Nếu hợp đồng không quy định chặt chẽ, Ngân hàng thường có xu hướng đổ toàn bộ trách nhiệm hoàn tiền và bồi thường thiệt hại cho doanh nghiệp. Hợp đồng do chúng tôi soạn thảo sẽ phân định ranh giới lỗi kỹ thuật minh bạch dựa trên nhật ký hệ thống, giúp doanh nghiệp tránh khỏi những khoản bồi thường tài chính vô lý do lỗi hạ tầng từ phía Ngân hàng.</w:t>
      </w:r>
    </w:p>
    <w:p>
      <w:pPr>
        <w:pStyle w:val="Normal"/>
        <w:spacing w:lineRule="auto" w:line="312" w:before="0" w:after="120"/>
        <w:ind w:firstLine="567"/>
        <w:jc w:val="both"/>
        <w:rPr/>
      </w:pPr>
      <w:r>
        <w:rPr>
          <w:rFonts w:eastAsia="Times New Roman" w:cs="Times New Roman"/>
          <w:color w:val="000000"/>
          <w:sz w:val="26"/>
        </w:rPr>
        <w:t>Thứ tư, bảo đảm tính liên tục trong hoạt động kinh doanh. Một hợp đồng hợp tác hoàn chỉnh giúp doanh nghiệp chủ động kiểm soát vận hành, loại bỏ rủi ro bị Ngân hàng đơn phương "ngắt kết nối" hoặc "phong tỏa tài khoản" tùy tiện gây đóng băng toàn bộ dịch vụ Ví điện tử. Đồng thời, cơ chế đối soát T+1 và giải tỏa công nợ rõ ràng giúp dòng tiền thanh toán cho các Đơn vị chấp nhận thanh toán luôn trôi chảy, giữ vững uy tín thương hiệu của Ví điện tử trên thị trường.</w:t>
      </w:r>
    </w:p>
    <w:p>
      <w:pPr>
        <w:pStyle w:val="Normal"/>
        <w:spacing w:lineRule="auto" w:line="312" w:before="0" w:after="120"/>
        <w:ind w:firstLine="567"/>
        <w:jc w:val="both"/>
        <w:rPr/>
      </w:pPr>
      <w:r>
        <w:rPr>
          <w:rFonts w:eastAsia="Times New Roman" w:cs="Times New Roman"/>
          <w:color w:val="000000"/>
          <w:sz w:val="26"/>
        </w:rPr>
        <w:t>Thứ năm, gia tăng giá trị định giá và năng lực gọi vốn từ các Nhà đầu tư. Trong quá trình thẩm định pháp lý để gọi các vòng vốn lớn, các Quỹ đầu tư nước ngoài đặc biệt quan tâm đến tính an toàn pháp lý của luồng tiền và quyền sở hữu tài sản. Bộ hợp đồng hợp tác với Ngân hàng được thiết kế bài bản, tuân thủ đầy đủ chuẩn mực eKYC, AML và bảo vệ dữ liệu sẽ là bằng chứng thuyết phục nhất chứng minh năng lực quản trị rủi ro của doanh nghiệp, từ đó gia tăng niềm tin, rút ngắn thời gian đàm phán và nâng cao định giá doanh nghiệp trước các nhà đầu tư quốc tế.</w:t>
      </w:r>
    </w:p>
    <w:p>
      <w:pPr>
        <w:pStyle w:val="Heading2"/>
        <w:keepNext w:val="true"/>
        <w:spacing w:before="120" w:after="100"/>
        <w:rPr/>
      </w:pPr>
      <w:r>
        <w:rPr>
          <w:rFonts w:eastAsia="Times New Roman" w:cs="Times New Roman" w:ascii="Times New Roman" w:hAnsi="Times New Roman"/>
          <w:b/>
          <w:color w:val="000000"/>
          <w:sz w:val="26"/>
        </w:rPr>
        <w:t>4.6. Hợp đồng cung cấp dịch vụ thanh toán bằng ví điện tử.</w:t>
      </w:r>
    </w:p>
    <w:p>
      <w:pPr>
        <w:pStyle w:val="Heading3"/>
        <w:keepNext w:val="true"/>
        <w:spacing w:before="120" w:after="100"/>
        <w:rPr/>
      </w:pPr>
      <w:r>
        <w:rPr>
          <w:rFonts w:eastAsia="Times New Roman" w:cs="Times New Roman" w:ascii="Times New Roman" w:hAnsi="Times New Roman"/>
          <w:b/>
          <w:color w:val="000000"/>
          <w:sz w:val="26"/>
        </w:rPr>
        <w:t>4.6.1. Giới thiệu dịch vụ.</w:t>
      </w:r>
    </w:p>
    <w:p>
      <w:pPr>
        <w:pStyle w:val="Normal"/>
        <w:spacing w:lineRule="auto" w:line="312" w:before="0" w:after="120"/>
        <w:ind w:firstLine="567"/>
        <w:jc w:val="both"/>
        <w:rPr/>
      </w:pPr>
      <w:r>
        <w:rPr>
          <w:rFonts w:eastAsia="Times New Roman" w:cs="Times New Roman"/>
          <w:color w:val="000000"/>
          <w:sz w:val="26"/>
        </w:rPr>
        <w:t>Dịch vụ tư vấn pháp lý về Hợp đồng cung cấp dịch vụ thanh toán là dịch vụ do công ty chúng tôi cung cấp nhằm tư vấn, xây dựng, rà soát, đàm phán và hoàn thiện các thỏa thuận pháp lý làm cơ sở cho việc cung cấp và sử dụng dịch vụ thanh toán giữa công ty và khách hàng, ngân hàng, tổ chức cung ứng dịch vụ trung gian thanh toán, đơn vị chấp nhận thanh toán hoặc các đối tác có liên quan.</w:t>
      </w:r>
    </w:p>
    <w:p>
      <w:pPr>
        <w:pStyle w:val="Normal"/>
        <w:spacing w:lineRule="auto" w:line="312" w:before="0" w:after="120"/>
        <w:ind w:firstLine="567"/>
        <w:jc w:val="both"/>
        <w:rPr/>
      </w:pPr>
      <w:r>
        <w:rPr>
          <w:rFonts w:eastAsia="Times New Roman" w:cs="Times New Roman"/>
          <w:color w:val="000000"/>
          <w:sz w:val="26"/>
        </w:rPr>
        <w:t>Đối với doanh nghiệp hoạt động trong lĩnh vực ví điện tử, hợp đồng này có vai trò đặc biệt quan trọng vì hoạt động thanh toán được thực hiện thông qua hệ thống công nghệ, tài khoản/ví điện tử và có sự tham gia của nhiều chủ thể. Do đó, nếu hợp đồng chỉ quy định đơn giản về cung cấp dịch vụ và thanh toán phí dịch vụ thì chưa đủ để kiểm soát các rủi ro pháp lý phát sinh trong thực tế. Hợp đồng cần xác định rõ quyền, nghĩa vụ, trách nhiệm, quy trình giao dịch, xử lý sai sót, hoàn tiền, khiếu nại, bảo mật, an toàn hệ thống, xử lý gian lận và trách nhiệm khi xảy ra sự cố thanh toán.</w:t>
      </w:r>
    </w:p>
    <w:p>
      <w:pPr>
        <w:pStyle w:val="Normal"/>
        <w:spacing w:lineRule="auto" w:line="312" w:before="0" w:after="120"/>
        <w:ind w:firstLine="567"/>
        <w:jc w:val="both"/>
        <w:rPr/>
      </w:pPr>
      <w:r>
        <w:rPr>
          <w:rFonts w:eastAsia="Times New Roman" w:cs="Times New Roman"/>
          <w:color w:val="000000"/>
          <w:sz w:val="26"/>
        </w:rPr>
        <w:t>Về mặt pháp lý, dịch vụ này phải được xây dựng trên cơ sở kết hợp giữa pháp luật hợp đồng nói chung với pháp luật chuyên ngành về thanh toán không dùng tiền mặt và trung gian thanh toán. Nghị định 52/2024/NĐ-CP là văn bản quan trọng điều chỉnh lĩnh vực thanh toán không dùng tiền mặt; trong khi đó, Văn bản hợp nhất 76/VBHN-NHNN ngày 26/5/2026 hợp nhất các quy định về hoạt động cung ứng dịch vụ trung gian thanh toán.</w:t>
      </w:r>
    </w:p>
    <w:p>
      <w:pPr>
        <w:pStyle w:val="Normal"/>
        <w:spacing w:lineRule="auto" w:line="312" w:before="0" w:after="120"/>
        <w:ind w:firstLine="567"/>
        <w:jc w:val="both"/>
        <w:rPr/>
      </w:pPr>
      <w:r>
        <w:rPr>
          <w:rFonts w:eastAsia="Times New Roman" w:cs="Times New Roman"/>
          <w:color w:val="000000"/>
          <w:sz w:val="26"/>
        </w:rPr>
        <w:t>Do đó, giá trị của dịch vụ luật sư không chỉ nằm ở việc soạn ra một bản hợp đồng có đầy đủ điều khoản, mà còn ở việc kiểm tra xem mô hình hợp tác và quyền, nghĩa vụ được quy định trong hợp đồng có phù hợp với địa vị pháp lý, phạm vi hoạt động và yêu cầu quản lý đối với doanh nghiệp cung ứng dịch vụ ví điện tử hay không.</w:t>
      </w:r>
    </w:p>
    <w:p>
      <w:pPr>
        <w:pStyle w:val="Heading3"/>
        <w:keepNext w:val="true"/>
        <w:spacing w:before="120" w:after="100"/>
        <w:rPr/>
      </w:pPr>
      <w:r>
        <w:rPr>
          <w:rFonts w:eastAsia="Times New Roman" w:cs="Times New Roman" w:ascii="Times New Roman" w:hAnsi="Times New Roman"/>
          <w:b/>
          <w:color w:val="000000"/>
          <w:sz w:val="26"/>
        </w:rPr>
        <w:t>4.6.2. Nội dung dịch vụ.</w:t>
      </w:r>
    </w:p>
    <w:p>
      <w:pPr>
        <w:pStyle w:val="Normal"/>
        <w:spacing w:lineRule="auto" w:line="312" w:before="0" w:after="120"/>
        <w:ind w:firstLine="567"/>
        <w:jc w:val="both"/>
        <w:rPr/>
      </w:pPr>
      <w:r>
        <w:rPr>
          <w:rFonts w:eastAsia="Times New Roman" w:cs="Times New Roman"/>
          <w:color w:val="000000"/>
          <w:sz w:val="26"/>
        </w:rPr>
        <w:t>Thứ nhất, tư vấn xác định đúng mô hình giao dịch và tư cách pháp lý của các bên. Trước khi soạn thảo hợp đồng, xác định ai là bên cung cấp dịch vụ, ai là bên sử dụng dịch vụ và các bên thứ ba nào tham gia vào quá trình thanh toán. Ví dụ, giao dịch có thể liên quan đến công ty ví điện tử, ngân hàng hợp tác, đơn vị chấp nhận thanh toán, merchant và khách hàng sử dụng ví. Việc xác định đúng tư cách pháp lý của từng chủ thể là cơ sở để phân bổ trách nhiệm. Đặc biệt, cần tránh tình trạng hợp đồng quy định cho công ty những quyền hoặc nghĩa vụ vượt quá phạm vi hoạt động được pháp luật cho phép hoặc khiến doanh nghiệp vô tình thực hiện hoạt động thuộc phạm vi của một dịch vụ thanh toán/trung gian thanh toán khác.</w:t>
      </w:r>
    </w:p>
    <w:p>
      <w:pPr>
        <w:pStyle w:val="Normal"/>
        <w:spacing w:lineRule="auto" w:line="312" w:before="0" w:after="120"/>
        <w:ind w:firstLine="567"/>
        <w:jc w:val="both"/>
        <w:rPr/>
      </w:pPr>
      <w:r>
        <w:rPr>
          <w:rFonts w:eastAsia="Times New Roman" w:cs="Times New Roman"/>
          <w:color w:val="000000"/>
          <w:sz w:val="26"/>
        </w:rPr>
        <w:t>Thứ hai, tư vấn và soạn thảo phạm vi dịch vụ thanh toán. Xác định cụ thể dịch vụ nào được cung cấp thông qua hợp đồng, phương thức cung cấp, hệ thống công nghệ sử dụng, thời điểm giao dịch được xác lập, phương thức xác thực và quy trình xử lý giao dịch.</w:t>
      </w:r>
    </w:p>
    <w:p>
      <w:pPr>
        <w:pStyle w:val="Normal"/>
        <w:spacing w:lineRule="auto" w:line="312" w:before="0" w:after="120"/>
        <w:ind w:firstLine="567"/>
        <w:jc w:val="both"/>
        <w:rPr/>
      </w:pPr>
      <w:r>
        <w:rPr>
          <w:rFonts w:eastAsia="Times New Roman" w:cs="Times New Roman"/>
          <w:color w:val="000000"/>
          <w:sz w:val="26"/>
        </w:rPr>
        <w:t>Đối với ví điện tử, nội dung này có thể bao gồm việc nạp tiền, thanh toán hàng hóa và dịch vụ, chuyển tiền, hoàn tiền hoặc các dịch vụ khác thuộc phạm vi pháp luật cho phép. Việc mô tả càng cụ thể thì càng hạn chế tranh chấp sau này về việc một giao dịch có thuộc phạm vi trách nhiệm của nhà cung cấp dịch vụ hay không.</w:t>
      </w:r>
    </w:p>
    <w:p>
      <w:pPr>
        <w:pStyle w:val="Normal"/>
        <w:spacing w:lineRule="auto" w:line="312" w:before="0" w:after="120"/>
        <w:ind w:firstLine="567"/>
        <w:jc w:val="both"/>
        <w:rPr/>
      </w:pPr>
      <w:r>
        <w:rPr>
          <w:rFonts w:eastAsia="Times New Roman" w:cs="Times New Roman"/>
          <w:color w:val="000000"/>
          <w:sz w:val="26"/>
        </w:rPr>
        <w:t>Thứ ba, tư vấn về quyền và nghĩa vụ của từng bên. Xây dựng hệ thống quyền và nghĩa vụ tương ứng của các bên, trong đó xác định rõ bên nào chịu trách nhiệm về việc tiếp nhận và xử lý giao dịch, bên nào cung cấp thông tin, bên nào có trách nhiệm xác thực, bên nào chịu trách nhiệm khi giao dịch bị lỗi và bên nào phải phối hợp xử lý khi có khiếu nại.</w:t>
      </w:r>
    </w:p>
    <w:p>
      <w:pPr>
        <w:pStyle w:val="Normal"/>
        <w:spacing w:lineRule="auto" w:line="312" w:before="0" w:after="120"/>
        <w:ind w:firstLine="567"/>
        <w:jc w:val="both"/>
        <w:rPr/>
      </w:pPr>
      <w:r>
        <w:rPr>
          <w:rFonts w:eastAsia="Times New Roman" w:cs="Times New Roman"/>
          <w:color w:val="000000"/>
          <w:sz w:val="26"/>
        </w:rPr>
        <w:t>Đối với công ty ví điện tử, nội dung này cần đặc biệt chú trọng đến nghĩa vụ bảo đảm an toàn, bảo mật, quản lý thông tin khách hàng và xử lý rủi ro giao dịch. Ngân hàng Nhà nước cũng nhấn mạnh các yêu cầu về an ninh, an toàn và xác thực trong giao dịch điện tử; Thông tư 40/2024/TT-NHNN có quy định về mở ví điện tử bằng phương tiện điện tử và việc đối chiếu thông tin sinh trắc học trong những trường hợp luật định.</w:t>
      </w:r>
    </w:p>
    <w:p>
      <w:pPr>
        <w:pStyle w:val="Normal"/>
        <w:spacing w:lineRule="auto" w:line="312" w:before="0" w:after="120"/>
        <w:ind w:firstLine="567"/>
        <w:jc w:val="both"/>
        <w:rPr/>
      </w:pPr>
      <w:r>
        <w:rPr>
          <w:rFonts w:eastAsia="Times New Roman" w:cs="Times New Roman"/>
          <w:color w:val="000000"/>
          <w:sz w:val="26"/>
        </w:rPr>
        <w:t>Thứ tư, xây dựng cơ chế xử lý giao dịch lỗi, giao dịch không thành công và hoàn tiền. Đây là một trong những nội dung có giá trị thực tế lớn nhất của dịch vụ pháp lý. Thiết kế rõ trường hợp khách hàng đã bị trừ tiền nhưng bên nhận chưa nhận được tiền; giao dịch bị treo; giao dịch bị thực hiện hai lần; giao dịch nhầm; giao dịch bị hủy; giao dịch cần hoàn tiền; hoặc giao dịch bị từ chối do hệ thống. Hợp đồng sẽ quy định các vấn đề cụ thể như sau:</w:t>
      </w:r>
    </w:p>
    <w:p>
      <w:pPr>
        <w:pStyle w:val="Normal"/>
        <w:spacing w:lineRule="auto" w:line="312" w:before="0" w:after="120"/>
        <w:ind w:hanging="0" w:start="0"/>
        <w:jc w:val="both"/>
        <w:rPr>
          <w:b w:val="false"/>
          <w:bCs w:val="false"/>
        </w:rPr>
      </w:pPr>
      <w:r>
        <w:rPr>
          <w:rFonts w:eastAsia="Times New Roman" w:cs="Times New Roman"/>
          <w:color w:val="000000"/>
          <w:sz w:val="26"/>
        </w:rPr>
        <w:t>- Thời điểm xác định giao dịch thành công;</w:t>
      </w:r>
    </w:p>
    <w:p>
      <w:pPr>
        <w:pStyle w:val="Normal"/>
        <w:spacing w:lineRule="auto" w:line="312" w:before="0" w:after="120"/>
        <w:ind w:hanging="0" w:start="0"/>
        <w:jc w:val="both"/>
        <w:rPr>
          <w:b w:val="false"/>
          <w:bCs w:val="false"/>
        </w:rPr>
      </w:pPr>
      <w:r>
        <w:rPr>
          <w:rFonts w:eastAsia="Times New Roman" w:cs="Times New Roman"/>
          <w:color w:val="000000"/>
          <w:sz w:val="26"/>
        </w:rPr>
        <w:t>- Thời gian xử lý giao dịch;</w:t>
      </w:r>
    </w:p>
    <w:p>
      <w:pPr>
        <w:pStyle w:val="Normal"/>
        <w:spacing w:lineRule="auto" w:line="312" w:before="0" w:after="120"/>
        <w:ind w:hanging="0" w:start="0"/>
        <w:jc w:val="both"/>
        <w:rPr>
          <w:b w:val="false"/>
          <w:bCs w:val="false"/>
        </w:rPr>
      </w:pPr>
      <w:r>
        <w:rPr>
          <w:rFonts w:eastAsia="Times New Roman" w:cs="Times New Roman"/>
          <w:color w:val="000000"/>
          <w:sz w:val="26"/>
        </w:rPr>
        <w:t>- Thời hạn tra soát;</w:t>
      </w:r>
    </w:p>
    <w:p>
      <w:pPr>
        <w:pStyle w:val="Normal"/>
        <w:spacing w:lineRule="auto" w:line="312" w:before="0" w:after="120"/>
        <w:ind w:hanging="0" w:start="0"/>
        <w:jc w:val="both"/>
        <w:rPr>
          <w:b w:val="false"/>
          <w:bCs w:val="false"/>
        </w:rPr>
      </w:pPr>
      <w:r>
        <w:rPr>
          <w:rFonts w:eastAsia="Times New Roman" w:cs="Times New Roman"/>
          <w:color w:val="000000"/>
          <w:sz w:val="26"/>
        </w:rPr>
        <w:t>- Trách nhiệm của từng bên;</w:t>
      </w:r>
    </w:p>
    <w:p>
      <w:pPr>
        <w:pStyle w:val="Normal"/>
        <w:spacing w:lineRule="auto" w:line="312" w:before="0" w:after="120"/>
        <w:ind w:hanging="0" w:start="0"/>
        <w:jc w:val="both"/>
        <w:rPr>
          <w:b w:val="false"/>
          <w:bCs w:val="false"/>
        </w:rPr>
      </w:pPr>
      <w:r>
        <w:rPr>
          <w:rFonts w:eastAsia="Times New Roman" w:cs="Times New Roman"/>
          <w:color w:val="000000"/>
          <w:sz w:val="26"/>
        </w:rPr>
        <w:t>- Quy trình hoàn tiền;</w:t>
      </w:r>
    </w:p>
    <w:p>
      <w:pPr>
        <w:pStyle w:val="Normal"/>
        <w:spacing w:lineRule="auto" w:line="312" w:before="0" w:after="120"/>
        <w:ind w:hanging="0" w:start="0"/>
        <w:jc w:val="both"/>
        <w:rPr>
          <w:b w:val="false"/>
          <w:bCs w:val="false"/>
        </w:rPr>
      </w:pPr>
      <w:r>
        <w:rPr>
          <w:rFonts w:eastAsia="Times New Roman" w:cs="Times New Roman"/>
          <w:color w:val="000000"/>
          <w:sz w:val="26"/>
        </w:rPr>
        <w:t>- Thời hạn hoàn tiền;</w:t>
      </w:r>
    </w:p>
    <w:p>
      <w:pPr>
        <w:pStyle w:val="Normal"/>
        <w:spacing w:lineRule="auto" w:line="312" w:before="0" w:after="120"/>
        <w:ind w:hanging="0" w:start="0"/>
        <w:jc w:val="both"/>
        <w:rPr>
          <w:b w:val="false"/>
          <w:bCs w:val="false"/>
        </w:rPr>
      </w:pPr>
      <w:r>
        <w:rPr>
          <w:rFonts w:eastAsia="Times New Roman" w:cs="Times New Roman"/>
          <w:color w:val="000000"/>
          <w:sz w:val="26"/>
        </w:rPr>
        <w:t>- Nguyên tắc xác định lỗi;</w:t>
      </w:r>
    </w:p>
    <w:p>
      <w:pPr>
        <w:pStyle w:val="Normal"/>
        <w:spacing w:lineRule="auto" w:line="312" w:before="0" w:after="120"/>
        <w:ind w:hanging="0" w:start="0"/>
        <w:jc w:val="both"/>
        <w:rPr>
          <w:b w:val="false"/>
          <w:bCs w:val="false"/>
        </w:rPr>
      </w:pPr>
      <w:r>
        <w:rPr>
          <w:rFonts w:eastAsia="Times New Roman" w:cs="Times New Roman"/>
          <w:color w:val="000000"/>
          <w:sz w:val="26"/>
        </w:rPr>
        <w:t>- Trách nhiệm bồi hoàn khi có thiệt hại.</w:t>
      </w:r>
    </w:p>
    <w:p>
      <w:pPr>
        <w:pStyle w:val="Normal"/>
        <w:spacing w:lineRule="auto" w:line="312" w:before="0" w:after="120"/>
        <w:ind w:firstLine="567"/>
        <w:jc w:val="both"/>
        <w:rPr/>
      </w:pPr>
      <w:r>
        <w:rPr>
          <w:rFonts w:eastAsia="Times New Roman" w:cs="Times New Roman"/>
          <w:color w:val="000000"/>
          <w:sz w:val="26"/>
        </w:rPr>
        <w:t>Nhờ đó, khi xảy ra sự cố, các bên không phải tranh luận lại từ đầu về ai chịu trách nhiệm.</w:t>
      </w:r>
    </w:p>
    <w:p>
      <w:pPr>
        <w:pStyle w:val="Normal"/>
        <w:spacing w:lineRule="auto" w:line="312" w:before="0" w:after="120"/>
        <w:ind w:firstLine="567"/>
        <w:jc w:val="both"/>
        <w:rPr/>
      </w:pPr>
      <w:r>
        <w:rPr>
          <w:rFonts w:eastAsia="Times New Roman" w:cs="Times New Roman"/>
          <w:color w:val="000000"/>
          <w:sz w:val="26"/>
        </w:rPr>
        <w:t>Thứ năm, tư vấn cơ chế phí và thanh toán. Rà soát và xây dựng các điều khoản về mức phí, phương thức tính phí, thời điểm phát sinh phí, thời điểm thanh toán, thuế, điều chỉnh phí và hoàn phí. Đối với mô hình, cần đặc biệt chú ý trường hợp phí được tính theo số lượng giao dịch, giá trị giao dịch hoặc theo từng nhóm khách hàng/đối tác. Hợp đồng cũng nên xác định rõ bên nào chịu các khoản phí ngân hàng, phí trung gian hoặc chi phí phát sinh do giao dịch bị hủy, hoàn trả.</w:t>
      </w:r>
    </w:p>
    <w:p>
      <w:pPr>
        <w:pStyle w:val="Normal"/>
        <w:spacing w:lineRule="auto" w:line="312" w:before="0" w:after="120"/>
        <w:ind w:firstLine="567"/>
        <w:jc w:val="both"/>
        <w:rPr/>
      </w:pPr>
      <w:r>
        <w:rPr>
          <w:rFonts w:eastAsia="Times New Roman" w:cs="Times New Roman"/>
          <w:color w:val="000000"/>
          <w:sz w:val="26"/>
        </w:rPr>
        <w:t>Thứ sáu, tư vấn về bảo mật thông tin và dữ liệu. Do dịch vụ thanh toán liên quan trực tiếp đến thông tin nhận dạng khách hàng, thông tin giao dịch, tài khoản, dữ liệu tài chính và dữ liệu vận hành, xây dựng các điều khoản về bảo mật và sử dụng thông tin. Hợp đồng cần xác định rõ: Loại thông tin nào được bảo mật → bên nào được tiếp cận → được sử dụng vào mục đích gì → thời hạn bảo mật → trường hợp được phép cung cấp cho bên thứ ba → trách nhiệm khi xảy ra rò rỉ hoặc sử dụng trái phép. Đây là vấn đề đặc biệt quan trọng đối với bởi việc cung cấp hoặc tiết lộ thông tin khách hàng không đúng quy định có thể dẫn đến rủi ro pháp lý và chế tài. Các quy định hiện hành về trung gian thanh toán cũng đặt ra yêu cầu về an toàn, bảo mật và xử lý rủi ro.</w:t>
      </w:r>
    </w:p>
    <w:p>
      <w:pPr>
        <w:pStyle w:val="Normal"/>
        <w:spacing w:lineRule="auto" w:line="312" w:before="0" w:after="120"/>
        <w:ind w:firstLine="567"/>
        <w:jc w:val="both"/>
        <w:rPr/>
      </w:pPr>
      <w:r>
        <w:rPr>
          <w:rFonts w:eastAsia="Times New Roman" w:cs="Times New Roman"/>
          <w:color w:val="000000"/>
          <w:sz w:val="26"/>
        </w:rPr>
        <w:t>Thứ bảy, xây dựng cơ chế phòng ngừa và xử lý gian lận. Tư vấn các điều khoản liên quan đến giao dịch đáng ngờ, giao dịch gian lận, giả mạo, sử dụng tài khoản trái phép, chiếm đoạt tài khoản, giao dịch bất thường hoặc vi phạm điều kiện sử dụng dịch vụ.Hợp đồng cần xác định khi nào doanh nghiệp có quyền tạm dừng hoặc từ chối giao dịch, quyền yêu cầu xác minh, quyền phong tỏa/tạm giữ khoản tiền trong phạm vi pháp luật cho phép và trách nhiệm phối hợp của các bên khi phát hiện dấu hiệu gian lận. Điều này đặc biệt quan trọng vì cơ quan quản lý đã quy định các hành vi vi phạm liên quan đến việc sử dụng ví điện tử, mua bán thông tin ví điện tử, hoạt động không đúng nội dung giấy phép và sử dụng dịch vụ trung gian thanh toán để thực hiện hành vi vi phạm pháp luật.</w:t>
      </w:r>
    </w:p>
    <w:p>
      <w:pPr>
        <w:pStyle w:val="Normal"/>
        <w:spacing w:lineRule="auto" w:line="312" w:before="0" w:after="120"/>
        <w:ind w:firstLine="567"/>
        <w:jc w:val="both"/>
        <w:rPr/>
      </w:pPr>
      <w:r>
        <w:rPr>
          <w:rFonts w:eastAsia="Times New Roman" w:cs="Times New Roman"/>
          <w:color w:val="000000"/>
          <w:sz w:val="26"/>
        </w:rPr>
        <w:t>Thứ tám, tư vấn trách nhiệm khi hệ thống thanh toán bị gián đoạn. Đối với, hệ thống công nghệ chính là một bộ phận cốt lõi của dịch vụ. Vì vậy, hợp đồng cần quy định rõ trách nhiệm khi hệ thống bị lỗi, gián đoạn hoặc không thể xử lý giao dịch. Có thể xây dựng các điều khoản về:</w:t>
      </w:r>
    </w:p>
    <w:p>
      <w:pPr>
        <w:pStyle w:val="Normal"/>
        <w:spacing w:lineRule="auto" w:line="312" w:before="0" w:after="120"/>
        <w:ind w:hanging="0" w:start="0"/>
        <w:jc w:val="both"/>
        <w:rPr>
          <w:b w:val="false"/>
          <w:bCs w:val="false"/>
        </w:rPr>
      </w:pPr>
      <w:r>
        <w:rPr>
          <w:rFonts w:eastAsia="Times New Roman" w:cs="Times New Roman"/>
          <w:color w:val="000000"/>
          <w:sz w:val="26"/>
        </w:rPr>
        <w:t>- Tiêu chuẩn cung cấp dịch vụ;</w:t>
      </w:r>
    </w:p>
    <w:p>
      <w:pPr>
        <w:pStyle w:val="Normal"/>
        <w:spacing w:lineRule="auto" w:line="312" w:before="0" w:after="120"/>
        <w:ind w:hanging="0" w:start="0"/>
        <w:jc w:val="both"/>
        <w:rPr>
          <w:b w:val="false"/>
          <w:bCs w:val="false"/>
        </w:rPr>
      </w:pPr>
      <w:r>
        <w:rPr>
          <w:rFonts w:eastAsia="Times New Roman" w:cs="Times New Roman"/>
          <w:color w:val="000000"/>
          <w:sz w:val="26"/>
        </w:rPr>
        <w:t>- Thời gian hệ thống phải hoạt động;</w:t>
      </w:r>
    </w:p>
    <w:p>
      <w:pPr>
        <w:pStyle w:val="Normal"/>
        <w:spacing w:lineRule="auto" w:line="312" w:before="0" w:after="120"/>
        <w:ind w:hanging="0" w:start="0"/>
        <w:jc w:val="both"/>
        <w:rPr>
          <w:b w:val="false"/>
          <w:bCs w:val="false"/>
        </w:rPr>
      </w:pPr>
      <w:r>
        <w:rPr>
          <w:rFonts w:eastAsia="Times New Roman" w:cs="Times New Roman"/>
          <w:color w:val="000000"/>
          <w:sz w:val="26"/>
        </w:rPr>
        <w:t>- Thời gian phản hồi;</w:t>
      </w:r>
    </w:p>
    <w:p>
      <w:pPr>
        <w:pStyle w:val="Normal"/>
        <w:spacing w:lineRule="auto" w:line="312" w:before="0" w:after="120"/>
        <w:ind w:hanging="0" w:start="0"/>
        <w:jc w:val="both"/>
        <w:rPr>
          <w:b w:val="false"/>
          <w:bCs w:val="false"/>
        </w:rPr>
      </w:pPr>
      <w:r>
        <w:rPr>
          <w:rFonts w:eastAsia="Times New Roman" w:cs="Times New Roman"/>
          <w:color w:val="000000"/>
          <w:sz w:val="26"/>
        </w:rPr>
        <w:t>- Bảo trì hệ thống;</w:t>
      </w:r>
    </w:p>
    <w:p>
      <w:pPr>
        <w:pStyle w:val="Normal"/>
        <w:spacing w:lineRule="auto" w:line="312" w:before="0" w:after="120"/>
        <w:ind w:hanging="0" w:start="0"/>
        <w:jc w:val="both"/>
        <w:rPr>
          <w:b w:val="false"/>
          <w:bCs w:val="false"/>
        </w:rPr>
      </w:pPr>
      <w:r>
        <w:rPr>
          <w:rFonts w:eastAsia="Times New Roman" w:cs="Times New Roman"/>
          <w:color w:val="000000"/>
          <w:sz w:val="26"/>
        </w:rPr>
        <w:t>- Thông báo sự cố;</w:t>
      </w:r>
    </w:p>
    <w:p>
      <w:pPr>
        <w:pStyle w:val="Normal"/>
        <w:spacing w:lineRule="auto" w:line="312" w:before="0" w:after="120"/>
        <w:ind w:hanging="0" w:start="0"/>
        <w:jc w:val="both"/>
        <w:rPr>
          <w:b w:val="false"/>
          <w:bCs w:val="false"/>
        </w:rPr>
      </w:pPr>
      <w:r>
        <w:rPr>
          <w:rFonts w:eastAsia="Times New Roman" w:cs="Times New Roman"/>
          <w:color w:val="000000"/>
          <w:sz w:val="26"/>
        </w:rPr>
        <w:t>- Khắc phục sự cố;</w:t>
      </w:r>
    </w:p>
    <w:p>
      <w:pPr>
        <w:pStyle w:val="Normal"/>
        <w:spacing w:lineRule="auto" w:line="312" w:before="0" w:after="120"/>
        <w:ind w:hanging="0" w:start="0"/>
        <w:jc w:val="both"/>
        <w:rPr>
          <w:b w:val="false"/>
          <w:bCs w:val="false"/>
        </w:rPr>
      </w:pPr>
      <w:r>
        <w:rPr>
          <w:rFonts w:eastAsia="Times New Roman" w:cs="Times New Roman"/>
          <w:color w:val="000000"/>
          <w:sz w:val="26"/>
        </w:rPr>
        <w:t>- Phối hợp điều tra nguyên nhân;</w:t>
      </w:r>
    </w:p>
    <w:p>
      <w:pPr>
        <w:pStyle w:val="Normal"/>
        <w:spacing w:lineRule="auto" w:line="312" w:before="0" w:after="120"/>
        <w:ind w:hanging="0" w:start="0"/>
        <w:jc w:val="both"/>
        <w:rPr>
          <w:b w:val="false"/>
          <w:bCs w:val="false"/>
        </w:rPr>
      </w:pPr>
      <w:r>
        <w:rPr>
          <w:rFonts w:eastAsia="Times New Roman" w:cs="Times New Roman"/>
          <w:color w:val="000000"/>
          <w:sz w:val="26"/>
        </w:rPr>
        <w:t>- Bồi thường thiệt hại nếu có lỗi;</w:t>
      </w:r>
    </w:p>
    <w:p>
      <w:pPr>
        <w:pStyle w:val="Normal"/>
        <w:spacing w:lineRule="auto" w:line="312" w:before="0" w:after="120"/>
        <w:ind w:hanging="0" w:start="0"/>
        <w:jc w:val="both"/>
        <w:rPr>
          <w:b w:val="false"/>
          <w:bCs w:val="false"/>
        </w:rPr>
      </w:pPr>
      <w:r>
        <w:rPr>
          <w:rFonts w:eastAsia="Times New Roman" w:cs="Times New Roman"/>
          <w:color w:val="000000"/>
          <w:sz w:val="26"/>
        </w:rPr>
        <w:t>- Trường hợp bất khả kháng.</w:t>
      </w:r>
    </w:p>
    <w:p>
      <w:pPr>
        <w:pStyle w:val="Normal"/>
        <w:spacing w:lineRule="auto" w:line="312" w:before="0" w:after="120"/>
        <w:ind w:firstLine="567"/>
        <w:jc w:val="both"/>
        <w:rPr/>
      </w:pPr>
      <w:r>
        <w:rPr>
          <w:rFonts w:eastAsia="Times New Roman" w:cs="Times New Roman"/>
          <w:color w:val="000000"/>
          <w:sz w:val="26"/>
        </w:rPr>
        <w:t>Các yêu cầu về bảo đảm dịch vụ thanh toán và trung gian thanh toán được cung ứng thông suốt, liên tục cũng đang được cơ quan quản lý chú trọng trong các quy định liên quan</w:t>
      </w:r>
    </w:p>
    <w:p>
      <w:pPr>
        <w:pStyle w:val="Heading3"/>
        <w:keepNext w:val="true"/>
        <w:spacing w:before="120" w:after="100"/>
        <w:rPr/>
      </w:pPr>
      <w:r>
        <w:rPr>
          <w:rFonts w:eastAsia="Times New Roman" w:cs="Times New Roman" w:ascii="Times New Roman" w:hAnsi="Times New Roman"/>
          <w:b/>
          <w:color w:val="000000"/>
          <w:sz w:val="26"/>
        </w:rPr>
        <w:t>4.6.3.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phạm vi dịch vụ bao gồm các thỏa thuận cung ứng dịch vụ thanh toán được ký kết giữa công ty lĩnh vực ví điện tử với khách hàng, ngân hàng hợp tác, tổ chức cung ứng dịch vụ thanh toán, tổ chức cung ứng dịch vụ trung gian thanh toán, đơn vị chấp nhận thanh toán và các đối tác có liên quan. Phạm vi tư vấn không chỉ giới hạn ở một giao dịch riêng lẻ mà bao quát các thỏa thuận được sử dụng trong quá trình cung cấp dịch vụ thanh toán của doanh nghiệp.</w:t>
      </w:r>
    </w:p>
    <w:p>
      <w:pPr>
        <w:pStyle w:val="Normal"/>
        <w:spacing w:lineRule="auto" w:line="312" w:before="0" w:after="120"/>
        <w:ind w:firstLine="567"/>
        <w:jc w:val="both"/>
        <w:rPr/>
      </w:pPr>
      <w:r>
        <w:rPr>
          <w:rFonts w:eastAsia="Times New Roman" w:cs="Times New Roman"/>
          <w:color w:val="000000"/>
          <w:sz w:val="26"/>
        </w:rPr>
        <w:t>Thứ hai về nội dung thẩm định, phạm vi dịch vụ tập trung vào việc rà soát tư cách pháp lý của các bên, mô hình giao dịch và phạm vi dịch vụ được cung cấp; đồng thời kiểm tra tính phù hợp của các điều khoản về quyền và nghĩa vụ, phí dịch vụ, xử lý giao dịch lỗi, tra soát, hoàn tiền, khiếu nại, bảo mật thông tin, dữ liệu khách hàng, phòng chống gian lận và trách nhiệm khi hệ thống thanh toán bị gián đoạn. Đối với hợp đồng ký với ngân hàng hoặc tổ chức cung ứng dịch vụ thanh toán, dịch vụ còn bao gồm việc rà soát cơ chế phân bổ trách nhiệm, quyền kiểm soát giao dịch, xử lý sai sót và bồi thường thiệt hại giữa các bên.</w:t>
      </w:r>
    </w:p>
    <w:p>
      <w:pPr>
        <w:pStyle w:val="Normal"/>
        <w:spacing w:lineRule="auto" w:line="312" w:before="0" w:after="120"/>
        <w:ind w:firstLine="567"/>
        <w:jc w:val="both"/>
        <w:rPr/>
      </w:pPr>
      <w:r>
        <w:rPr>
          <w:rFonts w:eastAsia="Times New Roman" w:cs="Times New Roman"/>
          <w:color w:val="000000"/>
          <w:sz w:val="26"/>
        </w:rPr>
        <w:t>Thứ ba về thời điểm áp dụng – thời hạn, phạm vi tư vấn được thực hiện xuyên suốt từ khi doanh nghiệp xây dựng mô hình cung cấp dịch vụ và xác định nhu cầu ký kết hợp đồng → rà soát hồ sơ, tài liệu và mô hình giao dịch → xây dựng cấu trúc hợp đồng → soạn thảo, đàm phán và hoàn thiện hợp đồng → hỗ trợ thực hiện và xử lý các vấn đề phát sinh sau khi ký. Thời hạn cụ thể được xác định theo thỏa thuận giữa chúng tôi và khách hàng, phụ thuộc vào tính chất giao dịch, số lượng bên tham gia và mức độ phức tạp của hợp đồng.</w:t>
      </w:r>
    </w:p>
    <w:p>
      <w:pPr>
        <w:pStyle w:val="Normal"/>
        <w:spacing w:lineRule="auto" w:line="312" w:before="0" w:after="120"/>
        <w:ind w:firstLine="567"/>
        <w:jc w:val="both"/>
        <w:rPr/>
      </w:pPr>
      <w:r>
        <w:rPr>
          <w:rFonts w:eastAsia="Times New Roman" w:cs="Times New Roman"/>
          <w:color w:val="000000"/>
          <w:sz w:val="26"/>
        </w:rPr>
        <w:t>Thứ tư về giới hạn pháp lý, việc tư vấn và soạn thảo Thỏa thuận cung ứng dịch vụ thanh toán phải tuân thủ pháp luật về hợp đồng, pháp luật về thanh toán không dùng tiền mặt và trung gian thanh toán, trong đó có Nghị định 52/2024/NĐ-CP và các quy định của Ngân hàng Nhà nước về hoạt động cung ứng dịch vụ trung gian thanh toán. Hợp đồng không được thiết lập quyền hoặc nghĩa vụ vượt quá phạm vi hoạt động mà doanh nghiệp được phép thực hiện; đồng thời các điều khoản về xác thực, bảo mật, dữ liệu, xử lý giao dịch, phòng chống gian lận và trách nhiệm của các bên phải phù hợp với quy định pháp luật chuyên ngành.</w:t>
      </w:r>
    </w:p>
    <w:p>
      <w:pPr>
        <w:pStyle w:val="Normal"/>
        <w:spacing w:lineRule="auto" w:line="312" w:before="0" w:after="120"/>
        <w:ind w:firstLine="567"/>
        <w:jc w:val="both"/>
        <w:rPr/>
      </w:pPr>
      <w:r>
        <w:rPr>
          <w:rFonts w:eastAsia="Times New Roman" w:cs="Times New Roman"/>
          <w:color w:val="000000"/>
          <w:sz w:val="26"/>
        </w:rPr>
        <w:t>Thứ năm phạm vi dịch vụ không bao gồm việc đại diện doanh nghiệp thực hiện chức năng của cơ quan quản lý nhà nước hoặc bảo đảm doanh nghiệp được cấp phép, chấp thuận hoạt động thanh toán. Dịch vụ cũng không mặc nhiên bao gồm thẩm định sâu về mã nguồn, hệ thống công nghệ, hạ tầng kỹ thuật hoặc kiểm toán an toàn thông tin; chúng tôi chỉ đánh giá khía cạnh pháp lý và yêu cầu tuân thủ đối với các yếu tố kỹ thuật có liên quan đến hợp đồng. Ngoài ra, tư vấn thuế, kế toán, kiểm toán, tư vấn kỹ thuật chuyên sâu hoặc đại diện giải quyết tranh chấp tại Tòa án/Trọng tài chỉ được thực hiện nếu có thỏa thuận riêng với khách hàng.</w:t>
      </w:r>
    </w:p>
    <w:p>
      <w:pPr>
        <w:pStyle w:val="Heading3"/>
        <w:keepNext w:val="true"/>
        <w:spacing w:before="120" w:after="100"/>
        <w:rPr/>
      </w:pPr>
      <w:r>
        <w:rPr>
          <w:rFonts w:eastAsia="Times New Roman" w:cs="Times New Roman" w:ascii="Times New Roman" w:hAnsi="Times New Roman"/>
          <w:b/>
          <w:color w:val="000000"/>
          <w:sz w:val="26"/>
        </w:rPr>
        <w:t>4.6.4. Mục đích dịch vụ.</w:t>
      </w:r>
    </w:p>
    <w:p>
      <w:pPr>
        <w:pStyle w:val="Normal"/>
        <w:spacing w:lineRule="auto" w:line="312" w:before="0" w:after="120"/>
        <w:ind w:firstLine="567"/>
        <w:jc w:val="both"/>
        <w:rPr/>
      </w:pPr>
      <w:r>
        <w:rPr>
          <w:rFonts w:eastAsia="Times New Roman" w:cs="Times New Roman"/>
          <w:color w:val="000000"/>
          <w:sz w:val="26"/>
        </w:rPr>
        <w:t>Thứ nhất, hợp đồng giải quyết là sự thiếu rõ ràng về quyền và nghĩa vụ của các bên trong quá trình thanh toán. Trong thực tế, một giao dịch có thể liên quan đến nhiều bước từ tạo lệnh, xác thực, xử lý, chuyển tiền đến đối soát. Nếu hợp đồng không xác định rõ trách nhiệm của từng bên thì khi giao dịch xảy ra sai sót sẽ rất khó xác định bên nào phải chịu trách nhiệm. Hợp đồng cung cấp dịch vụ thanh toán vì vậy đóng vai trò phân định rõ trách nhiệm của bên cung cấp và khách hàng trong từng giai đoạn của giao dịch.</w:t>
      </w:r>
    </w:p>
    <w:p>
      <w:pPr>
        <w:pStyle w:val="Normal"/>
        <w:spacing w:lineRule="auto" w:line="312" w:before="0" w:after="120"/>
        <w:ind w:firstLine="567"/>
        <w:jc w:val="both"/>
        <w:rPr/>
      </w:pPr>
      <w:r>
        <w:rPr>
          <w:rFonts w:eastAsia="Times New Roman" w:cs="Times New Roman"/>
          <w:color w:val="000000"/>
          <w:sz w:val="26"/>
        </w:rPr>
        <w:t>Thứ hai, hợp đồng nhằm kiểm soát rủi ro liên quan đến tiền và giao dịch thanh toán. Các rủi ro như giao dịch giả mạo, giao dịch trái phép, sai thông tin người nhận, giao dịch thất bại hoặc chậm xử lý đều có thể gây thiệt hại trực tiếp về tài chính. Việc quy định về xác thực, bảo mật, giới hạn trách nhiệm, xử lý sai sót và thông báo sự cố giúp các bên xác định trước phương thức phòng ngừa và xử lý rủi ro thay vì chỉ giải quyết sau khi thiệt hại đã xảy ra.</w:t>
      </w:r>
    </w:p>
    <w:p>
      <w:pPr>
        <w:pStyle w:val="Normal"/>
        <w:spacing w:lineRule="auto" w:line="312" w:before="0" w:after="120"/>
        <w:ind w:firstLine="567"/>
        <w:jc w:val="both"/>
        <w:rPr/>
      </w:pPr>
      <w:r>
        <w:rPr>
          <w:rFonts w:eastAsia="Times New Roman" w:cs="Times New Roman"/>
          <w:color w:val="000000"/>
          <w:sz w:val="26"/>
        </w:rPr>
        <w:t>Thứ ba, dịch vụ giải quyết vấn đề minh bạch và kiểm soát dòng tiền. Thông qua quy định về ghi nhận giao dịch, đối soát, cung cấp thông tin và xác nhận trạng thái thanh toán, các bên có thể kiểm tra và chứng minh quá trình giao dịch. Điều này đặc biệt quan trọng trong trường hợp có tranh chấp về việc đã thanh toán hay chưa, thanh toán bao nhiêu, vào thời điểm nào và giao dịch có thực sự được hoàn tất hay không.</w:t>
      </w:r>
    </w:p>
    <w:p>
      <w:pPr>
        <w:pStyle w:val="Normal"/>
        <w:spacing w:lineRule="auto" w:line="312" w:before="0" w:after="120"/>
        <w:ind w:firstLine="567"/>
        <w:jc w:val="both"/>
        <w:rPr/>
      </w:pPr>
      <w:r>
        <w:rPr>
          <w:rFonts w:eastAsia="Times New Roman" w:cs="Times New Roman"/>
          <w:color w:val="000000"/>
          <w:sz w:val="26"/>
        </w:rPr>
        <w:t>Thứ tư, hợp đồng nhằm bảo vệ khách hàng và duy trì tính ổn định của dịch vụ. Việc quy định trách nhiệm hỗ trợ, tiếp nhận khiếu nại, xử lý giao dịch lỗi, bảo mật thông tin và giải quyết sự cố giúp khách hàng không rơi vào tình trạng mất quyền lợi khi hệ thống gặp vấn đề. Đồng thời, bên cung cấp cũng có căn cứ pháp lý để từ chối hoặc tạm ngừng những giao dịch không đáp ứng điều kiện hoặc có dấu hiệu rủi ro.</w:t>
      </w:r>
    </w:p>
    <w:p>
      <w:pPr>
        <w:pStyle w:val="Normal"/>
        <w:spacing w:lineRule="auto" w:line="312" w:before="0" w:after="120"/>
        <w:ind w:firstLine="567"/>
        <w:jc w:val="both"/>
        <w:rPr/>
      </w:pPr>
      <w:r>
        <w:rPr>
          <w:rFonts w:eastAsia="Times New Roman" w:cs="Times New Roman"/>
          <w:color w:val="000000"/>
          <w:sz w:val="26"/>
        </w:rPr>
        <w:t>Cuối cùng, hợp đồng tạo ra cơ chế xử lý tranh chấp khi giao dịch thanh toán phát sinh vấn đề. Thay vì chỉ tập trung vào việc thực hiện giao dịch, hợp đồng cần dữ liệu cả trường hợp giao dịch không thành công, số tiền bị ghi nhận sai, khách hàng khiếu nại hoặc một bên vi phạm nghĩa vụ. Khi đó, các quy định về thông báo, kiểm tra, đối soát, hoàn trả, bồi thường và giải quyết tranh chấp trở thành căn cứ để bảo vệ quyền lợi của các bên.</w:t>
      </w:r>
    </w:p>
    <w:p>
      <w:pPr>
        <w:pStyle w:val="Heading2"/>
        <w:keepNext w:val="true"/>
        <w:spacing w:before="120" w:after="100"/>
        <w:rPr/>
      </w:pPr>
      <w:r>
        <w:rPr>
          <w:rFonts w:eastAsia="Times New Roman" w:cs="Times New Roman" w:ascii="Times New Roman" w:hAnsi="Times New Roman"/>
          <w:b/>
          <w:color w:val="000000"/>
          <w:sz w:val="26"/>
        </w:rPr>
        <w:t>4.7. Hợp đồng với đơn vị chấp nhận thanh toán (*).</w:t>
      </w:r>
    </w:p>
    <w:p>
      <w:pPr>
        <w:pStyle w:val="Heading3"/>
        <w:keepNext w:val="true"/>
        <w:spacing w:before="120" w:after="100"/>
        <w:rPr/>
      </w:pPr>
      <w:r>
        <w:rPr>
          <w:rFonts w:eastAsia="Times New Roman" w:cs="Times New Roman" w:ascii="Times New Roman" w:hAnsi="Times New Roman"/>
          <w:b/>
          <w:color w:val="000000"/>
          <w:sz w:val="26"/>
        </w:rPr>
        <w:t>4.7.1. Giới thiệu dịch vụ.</w:t>
      </w:r>
    </w:p>
    <w:p>
      <w:pPr>
        <w:pStyle w:val="Normal"/>
        <w:spacing w:lineRule="auto" w:line="312" w:before="0" w:after="120"/>
        <w:ind w:firstLine="567"/>
        <w:jc w:val="both"/>
        <w:rPr/>
      </w:pPr>
      <w:r>
        <w:rPr>
          <w:rFonts w:eastAsia="Times New Roman" w:cs="Times New Roman"/>
          <w:color w:val="000000"/>
          <w:sz w:val="26"/>
        </w:rPr>
        <w:t>Dịch vụ tư vấn, soạn thảo và rà soát Hợp đồng với đơn vị chấp nhận thanh toán hỗ trợ doanh nghiệp cung ứng dịch vụ trung gian thanh toán, đặc biệt là tổ chức cung ứng dịch vụ ví điện tử, thiết lập và quản lý quan hệ hợp tác với các đơn vị chấp nhận thanh toán, qua đó mở rộng mạng lưới các điểm chấp nhận thanh toán bằng ví điện tử. Đơn vị chấp nhận thanh toán có thể là cửa hàng, doanh nghiệp, chuỗi cửa hàng, sàn thương mại điện tử hoặc tổ chức, cá nhân cung cấp hàng hóa, dịch vụ và chấp nhận thanh toán không dùng tiền mặt theo hợp đồng hoặc thỏa thuận với tổ chức cung ứng dịch vụ thanh toán hoặc tổ chức cung ứng dịch vụ trung gian thanh toán, phù hợp với khoản 8 Điều 3 Thông tư số 15/2024/TT-NHNN ngày 28/6/2024, hiện được hợp nhất tại Văn bản hợp nhất số 29/VBHN-NHNN ngày 08/12/2025.</w:t>
      </w:r>
    </w:p>
    <w:p>
      <w:pPr>
        <w:pStyle w:val="Normal"/>
        <w:spacing w:lineRule="auto" w:line="312" w:before="0" w:after="120"/>
        <w:ind w:firstLine="567"/>
        <w:jc w:val="both"/>
        <w:rPr/>
      </w:pPr>
      <w:r>
        <w:rPr>
          <w:rFonts w:eastAsia="Times New Roman" w:cs="Times New Roman"/>
          <w:color w:val="000000"/>
          <w:sz w:val="26"/>
        </w:rPr>
        <w:t>Thông qua hợp đồng, các bên xác định rõ phạm vi hợp tác, phương thức chấp nhận thanh toán, quyền và nghĩa vụ, phí dịch vụ, cơ chế đối soát và thanh toán, trách nhiệm đối với giao dịch, bảo mật thông tin, bảo vệ dữ liệu và xử lý khiếu nại, tranh chấp. Việc xây dựng hợp đồng chặt chẽ giúp doanh nghiệp mở rộng mạng lưới thanh toán đồng thời kiểm soát các rủi ro như giao dịch gian lận, giao dịch khống hoặc giả tạo, sai lệch trong đối soát, tranh chấp hoàn tiền và vi phạm nghĩa vụ bảo mật, bảo vệ dữ liệu.</w:t>
      </w:r>
    </w:p>
    <w:p>
      <w:pPr>
        <w:pStyle w:val="Heading3"/>
        <w:keepNext w:val="true"/>
        <w:spacing w:before="120" w:after="100"/>
        <w:rPr/>
      </w:pPr>
      <w:r>
        <w:rPr>
          <w:rFonts w:eastAsia="Times New Roman" w:cs="Times New Roman" w:ascii="Times New Roman" w:hAnsi="Times New Roman"/>
          <w:b/>
          <w:color w:val="000000"/>
          <w:sz w:val="26"/>
        </w:rPr>
        <w:t>4.7.2. Nội dung dịch vụ.</w:t>
      </w:r>
    </w:p>
    <w:p>
      <w:pPr>
        <w:pStyle w:val="Normal"/>
        <w:spacing w:lineRule="auto" w:line="312" w:before="0" w:after="120"/>
        <w:ind w:firstLine="567"/>
        <w:jc w:val="both"/>
        <w:rPr/>
      </w:pPr>
      <w:r>
        <w:rPr>
          <w:rFonts w:eastAsia="Times New Roman" w:cs="Times New Roman"/>
          <w:color w:val="000000"/>
          <w:sz w:val="26"/>
        </w:rPr>
        <w:t>Dịch vụ tư vấn tập trung vào việc xây dựng và hoàn thiện quan hệ hợp tác giữa doanh nghiệp cung ứng dịch vụ trung gian thanh toán và đơn vị chấp nhận thanh toán, từ việc xác định mô hình hợp tác, phạm vi hoạt động, cơ chế giao dịch đến việc soạn thảo, rà soát hợp đồng và thiết lập các cơ chế kiểm soát rủi ro trong quá trình thực hiện. Trên cơ sở đặc điểm của từng mô hình hợp tác và phương thức chấp nhận thanh toán, dịch vụ tư vấn xác định quyền, nghĩa vụ và trách nhiệm của các bên, đồng thời nhận diện các rủi ro pháp lý có thể phát sinh để xây dựng cơ chế kiểm soát phù hợp:</w:t>
      </w:r>
    </w:p>
    <w:p>
      <w:pPr>
        <w:pStyle w:val="Normal"/>
        <w:spacing w:lineRule="auto" w:line="312" w:before="0" w:after="120"/>
        <w:ind w:firstLine="567"/>
        <w:jc w:val="both"/>
        <w:rPr/>
      </w:pPr>
      <w:r>
        <w:rPr>
          <w:rFonts w:eastAsia="Times New Roman" w:cs="Times New Roman"/>
          <w:color w:val="000000"/>
          <w:sz w:val="26"/>
        </w:rPr>
        <w:t>Thứ nhất, tư vấn về mô hình hợp tác và phạm vi hoạt động của đơn vị chấp nhận thanh toán, là xác định phạm vi công việc, quyền hạn, trách nhiệm và phương thức chấp nhận thanh toán; tư vấn các điều kiện, thông tin và hồ sơ cần thiết để thiết lập, duy trì quan hệ hợp tác phù hợp với quy định pháp luật và thực tế vận hành.</w:t>
      </w:r>
    </w:p>
    <w:p>
      <w:pPr>
        <w:pStyle w:val="Normal"/>
        <w:spacing w:lineRule="auto" w:line="312" w:before="0" w:after="120"/>
        <w:ind w:firstLine="567"/>
        <w:jc w:val="both"/>
        <w:rPr/>
      </w:pPr>
      <w:r>
        <w:rPr>
          <w:rFonts w:eastAsia="Times New Roman" w:cs="Times New Roman"/>
          <w:color w:val="000000"/>
          <w:sz w:val="26"/>
        </w:rPr>
        <w:t>Thứ hai, soạn thảo và rà soát Hợp đồng với đơn vị chấp nhận thanh toán và các phụ lục liên quan. Hợp đồng được xây dựng nhằm xác định rõ quyền và nghĩa vụ của doanh nghiệp và đơn vị chấp nhận thanh toán, thời hạn, phạm vi và điều kiện thực hiện hợp đồng, cũng như các vấn đề liên quan đến phí, hoa hồng và các khoản chi phí phát sinh. Tùy thuộc vào mô hình hợp tác, hợp đồng có thể được xây dựng kèm theo các phụ lục về kỹ thuật, bảo mật, dữ liệu hoặc các nội dung cần thiết khác để làm rõ phương thức và yêu cầu thực hiện dịch vụ. Việc rà soát cũng tập trung vào tính thống nhất giữa hợp đồng và quy trình vận hành thực tế của doanh nghiệp nhằm hạn chế các khoảng trống trách nhiệm trong quá trình thực hiện.</w:t>
      </w:r>
    </w:p>
    <w:p>
      <w:pPr>
        <w:pStyle w:val="Normal"/>
        <w:spacing w:lineRule="auto" w:line="312" w:before="0" w:after="120"/>
        <w:ind w:firstLine="567"/>
        <w:jc w:val="both"/>
        <w:rPr/>
      </w:pPr>
      <w:r>
        <w:rPr>
          <w:rFonts w:eastAsia="Times New Roman" w:cs="Times New Roman"/>
          <w:color w:val="000000"/>
          <w:sz w:val="26"/>
        </w:rPr>
        <w:t>Thứ ba, tư vấn về cơ chế giao dịch, đối soát và thanh toán. Xây dựng các quy định về phương thức và thời điểm ghi nhận giao dịch, quy trình và thời hạn đối soát, thanh toán giữa các bên. Đồng thời, tư vấn cơ chế xử lý đối với giao dịch lỗi, giao dịch bị từ chối, giao dịch trùng hoặc các giao dịch có sai lệch trong quá trình xử lý. Đối với các trường hợp phát sinh yêu cầu hoàn tiền hoặc khoản tiền đang có tranh chấp, hợp đồng cần xác định rõ trình tự xử lý, trách nhiệm của từng bên và phương thức phân bổ các khoản chi phí, thiệt hại nếu có.</w:t>
      </w:r>
    </w:p>
    <w:p>
      <w:pPr>
        <w:pStyle w:val="Normal"/>
        <w:spacing w:lineRule="auto" w:line="312" w:before="0" w:after="120"/>
        <w:ind w:firstLine="567"/>
        <w:jc w:val="both"/>
        <w:rPr/>
      </w:pPr>
      <w:r>
        <w:rPr>
          <w:rFonts w:eastAsia="Times New Roman" w:cs="Times New Roman"/>
          <w:color w:val="000000"/>
          <w:sz w:val="26"/>
        </w:rPr>
        <w:t>Thứ tư, tư vấn về phòng ngừa và xử lý gian lận. Hợp đồng xác định các hành vi bị cấm hoặc có nguy cơ gây thiệt hại như giao dịch khống, giao dịch giả tạo hoặc sử dụng dịch vụ không đúng mục đích; đồng thời thiết lập cơ chế kiểm tra, giám sát và yêu cầu cung cấp thông tin, chứng từ. Trường hợp có vi phạm hoặc dấu hiệu rủi ro, hợp đồng cần quy định quyền tạm ngừng, hạn chế giao dịch hoặc chấm dứt cung cấp dịch vụ. Nội dung này phù hợp với khoản 3 Điều 20 Thông tư số 15/2024/TT-NHNN, hiện được hợp nhất tại Văn bản hợp nhất số 29/VBHN-NHNN ngày 08/12/2025.</w:t>
      </w:r>
    </w:p>
    <w:p>
      <w:pPr>
        <w:pStyle w:val="Normal"/>
        <w:spacing w:lineRule="auto" w:line="312" w:before="0" w:after="120"/>
        <w:ind w:firstLine="567"/>
        <w:jc w:val="both"/>
        <w:rPr/>
      </w:pPr>
      <w:r>
        <w:rPr>
          <w:rFonts w:eastAsia="Times New Roman" w:cs="Times New Roman"/>
          <w:color w:val="000000"/>
          <w:sz w:val="26"/>
        </w:rPr>
        <w:t>Thứ năm, tư vấn về bảo mật thông tin và bảo vệ dữ liệu cá nhân. Trường hợp đơn vị chấp nhận thanh toán được tiếp cận hoặc xử lý dữ liệu cá nhân, hợp đồng cần xác định phạm vi, mục đích, quyền truy cập và sử dụng dữ liệu; nghĩa vụ bảo mật, biện pháp bảo vệ dữ liệu và trách nhiệm khi xảy ra mất mát, rò rỉ hoặc truy cập trái phép. Nội dung này được rà soát phù hợp với Luật Bảo vệ dữ liệu cá nhân số 91/2025/QH15 ngày 26/6/2025 và Nghị định số 356/2025/NĐ-CP ngày 31/12/2025 của Chính phủ.</w:t>
      </w:r>
    </w:p>
    <w:p>
      <w:pPr>
        <w:pStyle w:val="Normal"/>
        <w:spacing w:lineRule="auto" w:line="312" w:before="0" w:after="120"/>
        <w:ind w:firstLine="567"/>
        <w:jc w:val="both"/>
        <w:rPr/>
      </w:pPr>
      <w:r>
        <w:rPr>
          <w:rFonts w:eastAsia="Times New Roman" w:cs="Times New Roman"/>
          <w:color w:val="000000"/>
          <w:sz w:val="26"/>
        </w:rPr>
        <w:t>Thứ sáu, tư vấn về trách nhiệm của các bên, xử lý khiếu nại và chấm dứt hợp đồng. Xác định trách nhiệm khi phát sinh giao dịch sai, khiếu nại, tra soát, tranh chấp hoặc thiệt hại; tư vấn quy định về phạt vi phạm, bồi thường thiệt hại, tạm ngừng hoặc chấm dứt hợp đồng. Đồng thời, xác định trách nhiệm sau khi chấm dứt đối với các nghĩa vụ chưa hoàn thành, khoản tiền chưa đối soát hoặc thanh toán và dữ liệu còn được lưu giữ.</w:t>
      </w:r>
    </w:p>
    <w:p>
      <w:pPr>
        <w:pStyle w:val="Heading3"/>
        <w:keepNext w:val="true"/>
        <w:spacing w:before="120" w:after="100"/>
        <w:rPr/>
      </w:pPr>
      <w:r>
        <w:rPr>
          <w:rFonts w:eastAsia="Times New Roman" w:cs="Times New Roman" w:ascii="Times New Roman" w:hAnsi="Times New Roman"/>
          <w:b/>
          <w:color w:val="000000"/>
          <w:sz w:val="26"/>
        </w:rPr>
        <w:t>4.7.3.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Dịch vụ áp dụng đối với tổ chức cung ứng dịch vụ trung gian thanh toán có nhu cầu thiết lập, soạn thảo, rà soát hoặc sửa đổi quan hệ hợp tác với đơn vị chấp nhận thanh toán, đặc biệt là doanh nghiệp cung ứng dịch vụ ví điện tử. Đơn vị chấp nhận thanh toán trong phạm vi dịch vụ có thể là tổ chức, cá nhân cung cấp hàng hóa, dịch vụ và chấp nhận thanh toán không dùng tiền mặt theo hợp đồng hoặc thỏa thuận với tổ chức cung ứng dịch vụ thanh toán hoặc tổ chức cung ứng dịch vụ trung gian thanh toán. Theo khoản 8 Điều 3 Thông tư số 15/2024/TT-NHNN, hiện được hợp nhất tại Văn bản hợp nhất số 29/VBHN-NHNN ngày 08/12/2025, đây là đối tượng được xác định là “Đơn vị chấp nhận thanh toán”.</w:t>
      </w:r>
    </w:p>
    <w:p>
      <w:pPr>
        <w:pStyle w:val="Normal"/>
        <w:spacing w:lineRule="auto" w:line="312" w:before="0" w:after="120"/>
        <w:ind w:firstLine="567"/>
        <w:jc w:val="both"/>
        <w:rPr/>
      </w:pPr>
      <w:r>
        <w:rPr>
          <w:rFonts w:eastAsia="Times New Roman" w:cs="Times New Roman"/>
          <w:color w:val="000000"/>
          <w:sz w:val="26"/>
        </w:rPr>
        <w:t>Thứ hai, về thời điểm áp dụng và thời hạn dịch vụ. Dịch vụ được thực hiện trước và trong quá trình ký kết, thực hiện hợp đồng với đơn vị chấp nhận thanh toán, bao gồm tư vấn mô hình hợp tác, soạn thảo, rà soát và sửa đổi, bổ sung hợp đồng khi cần thiết. Đối với các hợp đồng đã được ký kết, dịch vụ có thể được thực hiện định kỳ hoặc khi phát sinh thay đổi về mô hình kinh doanh, phương thức thanh toán hoặc quy định pháp luật có liên quan.</w:t>
      </w:r>
    </w:p>
    <w:p>
      <w:pPr>
        <w:pStyle w:val="Normal"/>
        <w:spacing w:lineRule="auto" w:line="312" w:before="0" w:after="120"/>
        <w:ind w:firstLine="567"/>
        <w:jc w:val="both"/>
        <w:rPr/>
      </w:pPr>
      <w:r>
        <w:rPr>
          <w:rFonts w:eastAsia="Times New Roman" w:cs="Times New Roman"/>
          <w:color w:val="000000"/>
          <w:sz w:val="26"/>
        </w:rPr>
        <w:t>Thứ ba, về giới hạn pháp lý. Phạm vi tư vấn phải được thực hiện trong giới hạn dịch vụ trung gian thanh toán mà doanh nghiệp được Ngân hàng Nhà nước cấp phép và phù hợp với quy định pháp luật về thanh toán không dùng tiền mặt. Theo khoản 6 Điều 9 Thông tư 40/2024/TT-NHNN, trường hợp tổ chức cung ứng dịch vụ trung gian thanh toán ký kết hợp đồng hoặc thỏa thuận trực tiếp với đơn vị chấp nhận thanh toán thì tổ chức phải thực hiện trách nhiệm đối với đơn vị chấp nhận thanh toán như trách nhiệm của tổ chức cung ứng dịch vụ thanh toán theo quy định của Ngân hàng Nhà nước về cung ứng dịch vụ thanh toán không dùng tiền mặt. Đồng thời, theo Điều 20 Thông tư 15/2024/TT-NHNN, hợp đồng hoặc thỏa thuận với đơn vị chấp nhận thanh toán phải quy định cụ thể quyền và trách nhiệm của các bên, trách nhiệm của ĐVCNTT đối với tính hợp pháp của hàng hóa, dịch vụ, việc không thực hiện giao dịch bị cấm, xử lý dữ liệu cá nhân, các trường hợp chấm dứt hợp đồng và các nội dung liên quan; tổ chức cung ứng dịch vụ thanh toán còn phải có cơ chế nhận biết, kiểm tra, giám sát và xử lý rủi ro đối với đơn vị chấp nhận thanh toán.</w:t>
      </w:r>
    </w:p>
    <w:p>
      <w:pPr>
        <w:pStyle w:val="Normal"/>
        <w:spacing w:lineRule="auto" w:line="312" w:before="0" w:after="120"/>
        <w:ind w:firstLine="567"/>
        <w:jc w:val="both"/>
        <w:rPr/>
      </w:pPr>
      <w:r>
        <w:rPr>
          <w:rFonts w:eastAsia="Times New Roman" w:cs="Times New Roman"/>
          <w:color w:val="000000"/>
          <w:sz w:val="26"/>
        </w:rPr>
        <w:t>Thứ tư, về phạm vi dịch vụ không bao gồm. Dịch vụ không bao gồm việc thực hiện thủ tục xin cấp, sửa đổi hoặc bổ sung Giấy phép hoạt động cung ứng dịch vụ trung gian thanh toán cho doanh nghiệp, trừ trường hợp nội dung này được thỏa thuận thành một dịch vụ riêng. Dịch vụ cũng không thay thế việc xây dựng, vận hành hoặc kiểm thử hệ thống kỹ thuật, hệ thống công nghệ thông tin, quy trình nghiệp vụ, quy trình quản lý rủi ro, hệ thống kiểm soát nội bộ hoặc các biện pháp kỹ thuật bảo mật của doanh nghiệp. Trường hợp phát sinh tranh chấp với đơn vị chấp nhận thanh toán, dịch vụ tư vấn hợp đồng không mặc nhiên bao gồm việc đại diện doanh nghiệp thực hiện thủ tục tố tụng, trọng tài, thanh tra, kiểm tra hoặc giải quyết tranh chấp, trừ khi các bên có thỏa thuận riêng về phạm vi công việc này.</w:t>
      </w:r>
    </w:p>
    <w:p>
      <w:pPr>
        <w:pStyle w:val="Heading3"/>
        <w:keepNext w:val="true"/>
        <w:spacing w:before="120" w:after="100"/>
        <w:rPr/>
      </w:pPr>
      <w:r>
        <w:rPr>
          <w:rFonts w:eastAsia="Times New Roman" w:cs="Times New Roman" w:ascii="Times New Roman" w:hAnsi="Times New Roman"/>
          <w:b/>
          <w:color w:val="000000"/>
          <w:sz w:val="26"/>
        </w:rPr>
        <w:t>4.7.4. Mục đích dịch vụ.</w:t>
      </w:r>
    </w:p>
    <w:p>
      <w:pPr>
        <w:pStyle w:val="Normal"/>
        <w:spacing w:lineRule="auto" w:line="312" w:before="0" w:after="120"/>
        <w:ind w:firstLine="567"/>
        <w:jc w:val="both"/>
        <w:rPr/>
      </w:pPr>
      <w:r>
        <w:rPr>
          <w:rFonts w:eastAsia="Times New Roman" w:cs="Times New Roman"/>
          <w:color w:val="000000"/>
          <w:sz w:val="26"/>
        </w:rPr>
        <w:t>Thứ nhất, kiểm soát quan hệ với đơn vị chấp nhận thanh toán. Xác định rõ phạm vi hợp tác, quyền, nghĩa vụ và trách nhiệm của các bên, qua đó hạn chế rủi ro đơn vị chấp nhận thanh toán thực hiện sai hoặc vượt quá phạm vi được thỏa thuận hoặc doanh nghiệp không có cơ sở pháp lý rõ ràng để kiểm soát hoạt động của đơn vị chấp nhận thanh toán.</w:t>
      </w:r>
    </w:p>
    <w:p>
      <w:pPr>
        <w:pStyle w:val="Normal"/>
        <w:spacing w:lineRule="auto" w:line="312" w:before="0" w:after="120"/>
        <w:ind w:firstLine="567"/>
        <w:jc w:val="both"/>
        <w:rPr/>
      </w:pPr>
      <w:r>
        <w:rPr>
          <w:rFonts w:eastAsia="Times New Roman" w:cs="Times New Roman"/>
          <w:color w:val="000000"/>
          <w:sz w:val="26"/>
        </w:rPr>
        <w:t>Thứ hai, phòng ngừa gian lận và giao dịch bất thường. Thiết lập cơ sở pháp lý để doanh nghiệp nhận biết, kiểm tra và giám sát hoạt động của đơn vị chấp nhận thanh toán, yêu cầu cung cấp thông tin, hóa đơn, chứng từ và áp dụng các biện pháp xử lý phù hợp như tạm ngừng, hạn chế giao dịch hoặc chấm dứt hợp đồng khi phát hiện dấu hiệu gian lận hoặc vi phạm.</w:t>
      </w:r>
    </w:p>
    <w:p>
      <w:pPr>
        <w:pStyle w:val="Normal"/>
        <w:spacing w:lineRule="auto" w:line="312" w:before="0" w:after="120"/>
        <w:ind w:firstLine="567"/>
        <w:jc w:val="both"/>
        <w:rPr/>
      </w:pPr>
      <w:r>
        <w:rPr>
          <w:rFonts w:eastAsia="Times New Roman" w:cs="Times New Roman"/>
          <w:color w:val="000000"/>
          <w:sz w:val="26"/>
        </w:rPr>
        <w:t>Thứ ba, hạn chế tranh chấp trong quá trình thanh toán. Làm rõ trách nhiệm của doanh nghiệp và đơn vị chấp nhận thanh toán khi phát sinh giao dịch lỗi, giao dịch không thành công, giao dịch sai lệch, yêu cầu hoàn tiền, tra soát hoặc khiếu nại từ khách hàng, từ đó tạo cơ sở thống nhất để các bên xử lý sự cố và phân bổ trách nhiệm, chi phí hoặc thiệt hại nếu có.</w:t>
      </w:r>
    </w:p>
    <w:p>
      <w:pPr>
        <w:pStyle w:val="Normal"/>
        <w:spacing w:lineRule="auto" w:line="312" w:before="0" w:after="120"/>
        <w:ind w:firstLine="567"/>
        <w:jc w:val="both"/>
        <w:rPr/>
      </w:pPr>
      <w:r>
        <w:rPr>
          <w:rFonts w:eastAsia="Times New Roman" w:cs="Times New Roman"/>
          <w:color w:val="000000"/>
          <w:sz w:val="26"/>
        </w:rPr>
        <w:t>Thứ tư, bảo vệ thông tin và dữ liệu khách hàng. Xác định rõ phạm vi và mục đích đơn vị chấp nhận thanh toán được tiếp cận, sử dụng hoặc xử lý dữ liệu; đồng thời thiết lập nghĩa vụ bảo mật, biện pháp bảo vệ dữ liệu và trách nhiệm của các bên khi xảy ra mất mát, rò rỉ hoặc truy cập trái phép, phù hợp với quy định pháp luật hiện hành về bảo vệ dữ liệu cá nhân.</w:t>
      </w:r>
    </w:p>
    <w:p>
      <w:pPr>
        <w:pStyle w:val="Normal"/>
        <w:spacing w:lineRule="auto" w:line="312" w:before="0" w:after="120"/>
        <w:ind w:firstLine="567"/>
        <w:jc w:val="both"/>
        <w:rPr/>
      </w:pPr>
      <w:r>
        <w:rPr>
          <w:rFonts w:eastAsia="Times New Roman" w:cs="Times New Roman"/>
          <w:color w:val="000000"/>
          <w:sz w:val="26"/>
        </w:rPr>
        <w:t>Thứ năm, bảo vệ doanh nghiệp khi chấm dứt quan hệ với đơn vị chấp nhận thanh toán. Xác định rõ trách nhiệm của các bên đối với việc đối soát, thanh toán, xử lý giao dịch còn tồn đọng, giải quyết khiếu nại, hoàn thành các nghĩa vụ chưa thực hiện và xử lý dữ liệu sau khi hợp đồng chấm dứt, qua đó hạn chế nguy cơ phát sinh tranh chấp hoặc nghĩa vụ kéo dài sau khi quan hệ hợp tác đã kết thúc.</w:t>
      </w:r>
    </w:p>
    <w:p>
      <w:pPr>
        <w:pStyle w:val="Heading2"/>
        <w:keepNext w:val="true"/>
        <w:spacing w:before="120" w:after="100"/>
        <w:rPr>
          <w:rFonts w:eastAsia="Times New Roman" w:cs="Times New Roman"/>
          <w:b/>
          <w:color w:val="000000"/>
          <w:sz w:val="26"/>
        </w:rPr>
      </w:pPr>
      <w:r>
        <w:rPr>
          <w:rFonts w:eastAsia="Times New Roman" w:cs="Times New Roman" w:ascii="Times New Roman" w:hAnsi="Times New Roman"/>
          <w:b/>
          <w:color w:val="000000"/>
          <w:sz w:val="26"/>
        </w:rPr>
        <w:t>4.8. Hợp đồng cung cấp dịch vụ tích hợp API ví điện tử.</w:t>
      </w:r>
    </w:p>
    <w:p>
      <w:pPr>
        <w:pStyle w:val="Heading3"/>
        <w:keepNext w:val="true"/>
        <w:spacing w:before="120" w:after="100"/>
        <w:rPr/>
      </w:pPr>
      <w:r>
        <w:rPr>
          <w:rFonts w:eastAsia="Times New Roman" w:cs="Times New Roman" w:ascii="Times New Roman" w:hAnsi="Times New Roman"/>
          <w:b/>
          <w:color w:val="000000"/>
          <w:sz w:val="26"/>
        </w:rPr>
        <w:t>4.8.1. Giới thiệu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cung cấp dịch vụ API tích hợp Ví điện tử là dịch vụ pháp lý nhằm thiết lập khuôn khổ quyền, nghĩa vụ và trách nhiệm giữa Doanh nghiệp với thương nhân hoặc nền tảng có nhu cầu đưa phương thức thanh toán bằng Ví vào website, ứng dụng hoặc hệ thống bán hàng. Hợp đồng không chỉ điều chỉnh việc bàn giao tài liệu kỹ thuật hay khóa API, mà phải bao quát toàn bộ chuỗi giao dịch gồm nhận diện khách hàng, tạo và xác thực lệnh thanh toán, ghi nhận biến động số dư, thông báo trạng thái, hoàn tiền, tra soát, đối soát và xử lý sự cố.</w:t>
      </w:r>
    </w:p>
    <w:p>
      <w:pPr>
        <w:pStyle w:val="Normal"/>
        <w:spacing w:lineRule="auto" w:line="312" w:before="0" w:after="120"/>
        <w:ind w:firstLine="567"/>
        <w:jc w:val="both"/>
        <w:rPr/>
      </w:pPr>
      <w:r>
        <w:rPr>
          <w:rFonts w:eastAsia="Times New Roman" w:cs="Times New Roman"/>
          <w:color w:val="000000"/>
          <w:sz w:val="26"/>
        </w:rPr>
        <w:t>Về bản chất pháp lý, API không phải là một dịch vụ trung gian thanh toán độc lập và cũng không làm chuyển giao giấy phép của doanh nghiệp cho bên tích hợp. Doanh nghiệp chỉ được cung ứng chức năng ví trong phạm vi Giấy phép hoạt động cung ứng dịch vụ trung gian thanh toán do Ngân hàng Nhà nước cấp và còn hiệu lực. Bên tích hợp không được nhân danh doanh nghiệp để mở ví, tự quyết định số dư, giữ tiền của khách hàng hoặc thực hiện nghiệp vụ vượt ngoài phạm vi được pháp luật và hợp đồng cho phép.</w:t>
      </w:r>
    </w:p>
    <w:p>
      <w:pPr>
        <w:pStyle w:val="Normal"/>
        <w:spacing w:lineRule="auto" w:line="312" w:before="0" w:after="120"/>
        <w:ind w:firstLine="567"/>
        <w:jc w:val="both"/>
        <w:rPr/>
      </w:pPr>
      <w:r>
        <w:rPr>
          <w:rFonts w:eastAsia="Times New Roman" w:cs="Times New Roman"/>
          <w:color w:val="000000"/>
          <w:sz w:val="26"/>
        </w:rPr>
        <w:t>Hợp đồng vì vậy phải đồng thời đáp ứng hai nhóm yêu cầu. Nhóm thứ nhất là yêu cầu của pháp luật hợp đồng: chủ thể có thẩm quyền, đối tượng xác định được, quyền và nghĩa vụ rõ ràng, cơ chế phí, vi phạm, bồi thường, tạm ngừng, chấm dứt và giải quyết tranh chấp. Nhóm thứ hai là yêu cầu pháp luật chuyên ngành đối với ví điện tử: giấy phép, nhận biết khách hàng, liên kết tài khoản, tài khoản đảm bảo thanh toán, giới hạn sử dụng, phòng, chống rửa tiền, an toàn hệ thống, bảo mật thông tin và bảo vệ dữ liệu cá nhân.</w:t>
      </w:r>
    </w:p>
    <w:p>
      <w:pPr>
        <w:pStyle w:val="Normal"/>
        <w:spacing w:lineRule="auto" w:line="312" w:before="0" w:after="120"/>
        <w:ind w:firstLine="567"/>
        <w:jc w:val="both"/>
        <w:rPr/>
      </w:pPr>
      <w:r>
        <w:rPr>
          <w:rFonts w:eastAsia="Times New Roman" w:cs="Times New Roman"/>
          <w:color w:val="000000"/>
          <w:sz w:val="26"/>
        </w:rPr>
        <w:t>Căn cứ pháp lý chủ yếu được sử dụng để rà soát hợp đồng gồm:</w:t>
      </w:r>
    </w:p>
    <w:p>
      <w:pPr>
        <w:pStyle w:val="Normal"/>
        <w:spacing w:lineRule="auto" w:line="312" w:before="0" w:after="120"/>
        <w:ind w:hanging="0" w:start="0"/>
        <w:jc w:val="both"/>
        <w:rPr>
          <w:b w:val="false"/>
          <w:bCs w:val="false"/>
        </w:rPr>
      </w:pPr>
      <w:r>
        <w:rPr>
          <w:rFonts w:eastAsia="Times New Roman" w:cs="Times New Roman"/>
          <w:color w:val="000000"/>
          <w:sz w:val="26"/>
        </w:rPr>
        <w:t>- Nghị định 52/2024/NĐ-CP của Chính phủ về thanh toán không dùng tiền mặt, làm cơ sở xác định địa vị pháp lý và điều kiện cung ứng dịch vụ ví điện tử.</w:t>
      </w:r>
    </w:p>
    <w:p>
      <w:pPr>
        <w:pStyle w:val="Normal"/>
        <w:spacing w:lineRule="auto" w:line="312" w:before="0" w:after="120"/>
        <w:ind w:hanging="0" w:start="0"/>
        <w:jc w:val="both"/>
        <w:rPr>
          <w:b w:val="false"/>
          <w:bCs w:val="false"/>
        </w:rPr>
      </w:pPr>
      <w:r>
        <w:rPr>
          <w:rFonts w:eastAsia="Times New Roman" w:cs="Times New Roman"/>
          <w:color w:val="000000"/>
          <w:sz w:val="26"/>
        </w:rPr>
        <w:t>- Văn bản hợp nhất 29/VBHN-NHNN của Ngân hàng Nhà nước, hợp nhất quy định về hoạt động cung ứng dịch vụ trung gian thanh toán sau sửa đổi năm 2025.</w:t>
      </w:r>
    </w:p>
    <w:p>
      <w:pPr>
        <w:pStyle w:val="Normal"/>
        <w:spacing w:lineRule="auto" w:line="312" w:before="0" w:after="120"/>
        <w:ind w:hanging="0" w:start="0"/>
        <w:jc w:val="both"/>
        <w:rPr>
          <w:b w:val="false"/>
          <w:bCs w:val="false"/>
        </w:rPr>
      </w:pPr>
      <w:r>
        <w:rPr>
          <w:rFonts w:eastAsia="Times New Roman" w:cs="Times New Roman"/>
          <w:color w:val="000000"/>
          <w:sz w:val="26"/>
        </w:rPr>
        <w:t>- Bộ luật Dân sự 2015 và Luật Thương mại 2005, điều chỉnh nguyên tắc giao kết, thực hiện hợp đồng, cung ứng dịch vụ, vi phạm và bồi thường thiệt hại.</w:t>
      </w:r>
    </w:p>
    <w:p>
      <w:pPr>
        <w:pStyle w:val="Normal"/>
        <w:spacing w:lineRule="auto" w:line="312" w:before="0" w:after="120"/>
        <w:ind w:hanging="0" w:start="0"/>
        <w:jc w:val="both"/>
        <w:rPr>
          <w:b w:val="false"/>
          <w:bCs w:val="false"/>
        </w:rPr>
      </w:pPr>
      <w:r>
        <w:rPr>
          <w:rFonts w:eastAsia="Times New Roman" w:cs="Times New Roman"/>
          <w:color w:val="000000"/>
          <w:sz w:val="26"/>
        </w:rPr>
        <w:t>- Luật Giao dịch điện tử 2023, làm cơ sở công nhận thông điệp dữ liệu, giao kết điện tử, xác thực và giá trị chứng cứ của nhật ký hệ thống.</w:t>
      </w:r>
    </w:p>
    <w:p>
      <w:pPr>
        <w:pStyle w:val="Normal"/>
        <w:spacing w:lineRule="auto" w:line="312" w:before="0" w:after="120"/>
        <w:ind w:hanging="0" w:start="0"/>
        <w:jc w:val="both"/>
        <w:rPr>
          <w:b w:val="false"/>
          <w:bCs w:val="false"/>
        </w:rPr>
      </w:pPr>
      <w:r>
        <w:rPr>
          <w:rFonts w:eastAsia="Times New Roman" w:cs="Times New Roman"/>
          <w:color w:val="000000"/>
          <w:sz w:val="26"/>
        </w:rPr>
        <w:t>- Luật Phòng, chống rửa tiền 2022, làm cơ sở thiết kế nghĩa vụ nhận biết khách hàng, giám sát và phối hợp xử lý giao dịch có dấu hiệu đáng ngờ.</w:t>
      </w:r>
    </w:p>
    <w:p>
      <w:pPr>
        <w:pStyle w:val="Normal"/>
        <w:spacing w:lineRule="auto" w:line="312" w:before="0" w:after="120"/>
        <w:ind w:hanging="0" w:start="0"/>
        <w:jc w:val="both"/>
        <w:rPr>
          <w:b w:val="false"/>
          <w:bCs w:val="false"/>
        </w:rPr>
      </w:pPr>
      <w:r>
        <w:rPr>
          <w:rFonts w:eastAsia="Times New Roman" w:cs="Times New Roman"/>
          <w:color w:val="000000"/>
          <w:sz w:val="26"/>
        </w:rPr>
        <w:t>- Luật Bảo vệ dữ liệu cá nhân 2025, điều chỉnh việc thu thập, sử dụng, chia sẻ, lưu trữ và bảo vệ dữ liệu của chủ ví.</w:t>
      </w:r>
    </w:p>
    <w:p>
      <w:pPr>
        <w:pStyle w:val="Normal"/>
        <w:spacing w:lineRule="auto" w:line="312" w:before="0" w:after="120"/>
        <w:ind w:hanging="0" w:start="0"/>
        <w:jc w:val="both"/>
        <w:rPr/>
      </w:pPr>
      <w:r>
        <w:rPr>
          <w:rFonts w:eastAsia="Times New Roman" w:cs="Times New Roman"/>
          <w:color w:val="000000"/>
          <w:sz w:val="26"/>
        </w:rPr>
        <w:t>- Luật Bảo vệ quyền lợi người tiêu dùng 2023, được áp dụng đối với điều kiện giao dịch, cung cấp thông tin, tiếp nhận khiếu nại và bảo vệ người dùng cuối.</w:t>
      </w:r>
    </w:p>
    <w:p>
      <w:pPr>
        <w:pStyle w:val="Heading3"/>
        <w:keepNext w:val="true"/>
        <w:spacing w:before="120" w:after="100"/>
        <w:rPr/>
      </w:pPr>
      <w:r>
        <w:rPr>
          <w:rFonts w:eastAsia="Times New Roman" w:cs="Times New Roman" w:ascii="Times New Roman" w:hAnsi="Times New Roman"/>
          <w:b/>
          <w:color w:val="000000"/>
          <w:sz w:val="26"/>
        </w:rPr>
        <w:t>4.8.2. Nội dung dịch vụ.</w:t>
      </w:r>
    </w:p>
    <w:p>
      <w:pPr>
        <w:pStyle w:val="Normal"/>
        <w:spacing w:lineRule="auto" w:line="312" w:before="0" w:after="120"/>
        <w:ind w:firstLine="567"/>
        <w:jc w:val="both"/>
        <w:rPr/>
      </w:pPr>
      <w:r>
        <w:rPr>
          <w:rFonts w:eastAsia="Times New Roman" w:cs="Times New Roman"/>
          <w:color w:val="000000"/>
          <w:sz w:val="26"/>
        </w:rPr>
        <w:t>Thứ nhất, rà soát điều kiện pháp lý và mô hình giao dịch. Tiếp nhận Giấy chứng nhận đăng ký doanh nghiệp, Giấy phép hoạt động cung ứng dịch vụ trung gian thanh toán và các văn bản sửa đổi, quy trình vận hành ví, sơ đồ luồng tiền, tài liệu API, chính sách khách hàng và hợp đồng với ngân hàng hợp tác. Trên cơ sở đó, xác định chính xác chức năng nào do doanh nghiệp thực hiện, chức năng nào thuộc bên tích hợp và chức năng nào phải do ngân hàng hoặc chủ thể được cấp phép đảm nhiệm.</w:t>
      </w:r>
    </w:p>
    <w:p>
      <w:pPr>
        <w:pStyle w:val="Normal"/>
        <w:spacing w:lineRule="auto" w:line="312" w:before="0" w:after="120"/>
        <w:ind w:firstLine="567"/>
        <w:jc w:val="both"/>
        <w:rPr/>
      </w:pPr>
      <w:r>
        <w:rPr>
          <w:rFonts w:eastAsia="Times New Roman" w:cs="Times New Roman"/>
          <w:color w:val="000000"/>
          <w:sz w:val="26"/>
        </w:rPr>
        <w:t>Kết quả rà soát phải làm rõ điều kiện tiên quyết trước khi mở môi trường sản xuất: giấy phép của doanh nghiệp còn hiệu lực và bao phủ dịch vụ ví điện tử; hợp đồng với ngân hàng hợp tác và cơ chế tài khoản đảm bảo thanh toán phù hợp; quy trình KYC, AML và kiểm soát gian lận đã được phê duyệt; bên tích hợp đáp ứng yêu cầu kỹ thuật, bảo mật và mục đích sử dụng. Trường hợp một yêu cầu kinh doanh vượt phạm vi giấy phép, luật sư phải kiến nghị loại bỏ hoặc tái cấu trúc, không hợp thức hóa bằng điều khoản hợp đồng.</w:t>
      </w:r>
    </w:p>
    <w:p>
      <w:pPr>
        <w:pStyle w:val="Normal"/>
        <w:spacing w:lineRule="auto" w:line="312" w:before="0" w:after="120"/>
        <w:ind w:firstLine="567"/>
        <w:jc w:val="both"/>
        <w:rPr/>
      </w:pPr>
      <w:r>
        <w:rPr>
          <w:rFonts w:eastAsia="Times New Roman" w:cs="Times New Roman"/>
          <w:color w:val="000000"/>
          <w:sz w:val="26"/>
        </w:rPr>
        <w:t>Thứ hai, xác định đối tượng hợp đồng và phạm vi chức năng API. Đối tượng hợp đồng được mô tả là “dịch vụ Ví được cung cấp thông qua kết nối API”, tránh cách ghi chung chung là “dịch vụ API”. Phụ lục kỹ thuật phải liệt kê từng nhóm chức năng như mở ví hoặc chuyển hướng tới luồng mở ví; eKYC và xác thực; liên kết tài khoản; nạp, rút trong phạm vi được phép; thanh toán; hoàn tiền; truy vấn số dư hoặc trạng thái giao dịch; webhook; tra soát; đối soát và báo cáo.</w:t>
      </w:r>
    </w:p>
    <w:p>
      <w:pPr>
        <w:pStyle w:val="Normal"/>
        <w:spacing w:lineRule="auto" w:line="312" w:before="0" w:after="120"/>
        <w:ind w:firstLine="567"/>
        <w:jc w:val="both"/>
        <w:rPr/>
      </w:pPr>
      <w:r>
        <w:rPr>
          <w:rFonts w:eastAsia="Times New Roman" w:cs="Times New Roman"/>
          <w:color w:val="000000"/>
          <w:sz w:val="26"/>
        </w:rPr>
        <w:t>Mỗi API phải có phiên bản, môi trường sử dụng, phương thức xác thực, cấu trúc yêu cầu và phản hồi, mã lỗi, giới hạn tần suất, cơ chế chống gửi lặp, thời hạn lưu nhật ký và quy tắc thay đổi phiên bản. Hợp đồng cần quy định dữ liệu trên hệ thống nào là căn cứ xác định trạng thái giao dịch; cách xử lý khi dữ liệu của hai bên không thống nhất; trách nhiệm bảo quản khóa bí mật; và nguyên tắc không được chia sẻ khóa API, đảo ngược công nghệ hoặc dùng API cho giao dịch trái pháp luật.</w:t>
      </w:r>
    </w:p>
    <w:p>
      <w:pPr>
        <w:pStyle w:val="Normal"/>
        <w:spacing w:lineRule="auto" w:line="312" w:before="0" w:after="120"/>
        <w:ind w:firstLine="567"/>
        <w:jc w:val="both"/>
        <w:rPr/>
      </w:pPr>
      <w:r>
        <w:rPr>
          <w:rFonts w:eastAsia="Times New Roman" w:cs="Times New Roman"/>
          <w:color w:val="000000"/>
          <w:sz w:val="26"/>
        </w:rPr>
        <w:t>Thứ ba, soạn thảo cơ chế triển khai, kiểm thử và nghiệm thu. Dịch vụ bao gồm xây dựng các điều khoản về cấp tài khoản sandbox, bộ tình huống kiểm thử, điều kiện cấp khóa production và tiêu chí nghiệm thu. Nghiệm thu không chỉ căn cứ vào việc gửi yêu cầu thành công mà phải kiểm tra toàn bộ luồng ví: hồ sơ khách hàng hợp lệ, xác thực đúng, hạn mức và số dư được kiểm soát, mã giao dịch duy nhất, webhook đúng trạng thái, giao dịch lỗi không bị ghi nhận trùng, hoàn tiền về đúng ví và dữ liệu đối soát khớp.</w:t>
      </w:r>
    </w:p>
    <w:p>
      <w:pPr>
        <w:pStyle w:val="Normal"/>
        <w:spacing w:lineRule="auto" w:line="312" w:before="0" w:after="120"/>
        <w:ind w:firstLine="567"/>
        <w:jc w:val="both"/>
        <w:rPr/>
      </w:pPr>
      <w:r>
        <w:rPr>
          <w:rFonts w:eastAsia="Times New Roman" w:cs="Times New Roman"/>
          <w:color w:val="000000"/>
          <w:sz w:val="26"/>
        </w:rPr>
        <w:t>Biên bản nghiệm thu phải ghi nhận phiên bản API, phạm vi chức năng đã kiểm thử, lỗi còn tồn tại, thời hạn khắc phục, người có thẩm quyền xác nhận và thời điểm được phép đưa dịch vụ vào vận hành. Mọi chức năng phát sinh ngoài phụ lục phải được lập yêu cầu thay đổi, đánh giá tác động pháp lý và kỹ thuật, xác định phí bổ sung và chỉ triển khai sau khi hai bên phê duyệt bằng hình thức có giá trị pháp lý.</w:t>
      </w:r>
    </w:p>
    <w:p>
      <w:pPr>
        <w:pStyle w:val="Normal"/>
        <w:spacing w:lineRule="auto" w:line="312" w:before="0" w:after="120"/>
        <w:ind w:firstLine="567"/>
        <w:jc w:val="both"/>
        <w:rPr/>
      </w:pPr>
      <w:r>
        <w:rPr>
          <w:rFonts w:eastAsia="Times New Roman" w:cs="Times New Roman"/>
          <w:color w:val="000000"/>
          <w:sz w:val="26"/>
        </w:rPr>
        <w:t>Thứ tư, xây dựng điều khoản về phí, dòng tiền và đối soát. Hợp đồng cần tách bạch phí khởi tạo hoặc tích hợp, phí nền tảng định kỳ, phí giao dịch, phí mô-đun nâng cấp và các khoản thuế liên quan. Công thức tính phí, chu kỳ xuất hóa đơn, thời hạn thanh toán, xử lý sai lệch, lãi chậm trả và điều kiện điều chỉnh phí phải được quy định cụ thể. Các con số dùng trong bài thuyết trình hoặc phương án gọi vốn chỉ là giả định kinh doanh; chỉ mức phí ghi tại hợp đồng hoặc phụ lục đã ký mới có giá trị ràng buộc.</w:t>
      </w:r>
    </w:p>
    <w:p>
      <w:pPr>
        <w:pStyle w:val="Normal"/>
        <w:spacing w:lineRule="auto" w:line="312" w:before="0" w:after="120"/>
        <w:ind w:firstLine="567"/>
        <w:jc w:val="both"/>
        <w:rPr/>
      </w:pPr>
      <w:r>
        <w:rPr>
          <w:rFonts w:eastAsia="Times New Roman" w:cs="Times New Roman"/>
          <w:color w:val="000000"/>
          <w:sz w:val="26"/>
        </w:rPr>
        <w:t>Đối với tiền của chủ ví, hợp đồng phải khẳng định số dư ví không phải doanh thu và không phải tài sản để doanh nghiệp hoặc bên tích hợp tùy ý sử dụng. Việc quản lý dòng tiền, tài khoản đảm bảo thanh toán, nạp, rút, thanh toán, hoàn trả và đối soát phải tuân thủ pháp luật chuyên ngành và thỏa thuận với ngân hàng hợp tác. Bên tích hợp chỉ được nhận dữ liệu hoặc khoản tiền thuộc phạm vi giao dịch đã được xác định; không được giữ hộ tiền hoặc tự bù trừ ngoài cơ chế được chấp thuận.</w:t>
      </w:r>
    </w:p>
    <w:p>
      <w:pPr>
        <w:pStyle w:val="Normal"/>
        <w:spacing w:lineRule="auto" w:line="312" w:before="0" w:after="120"/>
        <w:ind w:firstLine="567"/>
        <w:jc w:val="both"/>
        <w:rPr/>
      </w:pPr>
      <w:r>
        <w:rPr>
          <w:rFonts w:eastAsia="Times New Roman" w:cs="Times New Roman"/>
          <w:color w:val="000000"/>
          <w:sz w:val="26"/>
        </w:rPr>
        <w:t>Thứ năm, xây dựng cơ chế chất lượng dịch vụ và xử lý sự cố. Phụ lục SLA phải quy định tỷ lệ sẵn sàng của hệ thống, cửa sổ bảo trì, phân loại mức độ sự cố, thời gian tiếp nhận, thời gian phản hồi, thời gian khôi phục, kênh liên lạc khẩn cấp và nghĩa vụ báo cáo nguyên nhân. Đối với lỗi làm phát sinh giao dịch treo, trừ tiền hai lần, sai số dư, mất webhook hoặc chậm hoàn tiền, hợp đồng phải chỉ rõ bên chịu trách nhiệm xác minh, thời hạn tra soát, biện pháp tạm thời bảo vệ khách hàng và căn cứ xác định lỗi.</w:t>
      </w:r>
    </w:p>
    <w:p>
      <w:pPr>
        <w:pStyle w:val="Normal"/>
        <w:spacing w:lineRule="auto" w:line="312" w:before="0" w:after="120"/>
        <w:ind w:firstLine="567"/>
        <w:jc w:val="both"/>
        <w:rPr/>
      </w:pPr>
      <w:r>
        <w:rPr>
          <w:rFonts w:eastAsia="Times New Roman" w:cs="Times New Roman"/>
          <w:color w:val="000000"/>
          <w:sz w:val="26"/>
        </w:rPr>
        <w:t>Cơ chế service credit có thể được sử dụng để bù trừ một phần phí khi SLA không đạt, nhưng không nên mặc nhiên thay thế nghĩa vụ bồi thường đối với thiệt hại thực tế do lỗi cố ý, lỗi nghiêm trọng, vi phạm bảo mật hoặc xử lý trái phép tiền và dữ liệu của khách hàng. Các trường hợp bất khả kháng, lỗi của ngân hàng hợp tác hoặc lỗi của hạ tầng viễn thông phải được định nghĩa chặt chẽ và gắn với nghĩa vụ thông báo, chứng minh, giảm thiểu thiệt hại.</w:t>
      </w:r>
    </w:p>
    <w:p>
      <w:pPr>
        <w:pStyle w:val="Normal"/>
        <w:spacing w:lineRule="auto" w:line="312" w:before="0" w:after="120"/>
        <w:ind w:firstLine="567"/>
        <w:jc w:val="both"/>
        <w:rPr/>
      </w:pPr>
      <w:r>
        <w:rPr>
          <w:rFonts w:eastAsia="Times New Roman" w:cs="Times New Roman"/>
          <w:color w:val="000000"/>
          <w:sz w:val="26"/>
        </w:rPr>
        <w:t>Thứ sáu, phân định trách nhiệm tuân thủ, KYC, AML và bảo vệ người dùng. Doanh nghiệp chịu trách nhiệm đối với quy trình mở và quản lý ví, nhận biết và xác minh chủ ví, kiểm soát hạn mức, số dư, giao dịch, tài khoản đảm bảo, báo cáo và các nghĩa vụ thuộc phạm vi giấy phép. Bên tích hợp chịu trách nhiệm về tính hợp pháp của hàng hóa, dịch vụ, thông tin đơn hàng, giao diện thanh toán, việc quản lý tài khoản quản trị và khóa API, cũng như phối hợp cung cấp chứng từ khi tra soát hoặc có yêu cầu của cơ quan có thẩm quyền.</w:t>
      </w:r>
    </w:p>
    <w:p>
      <w:pPr>
        <w:pStyle w:val="Normal"/>
        <w:spacing w:lineRule="auto" w:line="312" w:before="0" w:after="120"/>
        <w:ind w:firstLine="567"/>
        <w:jc w:val="both"/>
        <w:rPr/>
      </w:pPr>
      <w:r>
        <w:rPr>
          <w:rFonts w:eastAsia="Times New Roman" w:cs="Times New Roman"/>
          <w:color w:val="000000"/>
          <w:sz w:val="26"/>
        </w:rPr>
        <w:t>Hợp đồng phải cho phép doanh nghiệp từ chối, tạm dừng hoặc yêu cầu xác minh bổ sung khi giao dịch có dấu hiệu gian lận, giả mạo, rửa tiền, vượt hạn mức, vi phạm điều kiện sử dụng hoặc yêu cầu của cơ quan nhà nước. Tuy nhiên, quyền này phải đi kèm tiêu chí áp dụng, cơ chế ghi nhận lý do, thông báo trong phạm vi pháp luật cho phép và quy trình khôi phục dịch vụ, nhằm tránh việc tạm dừng tùy tiện gây thiệt hại cho thương nhân và người dùng.</w:t>
      </w:r>
    </w:p>
    <w:p>
      <w:pPr>
        <w:pStyle w:val="Normal"/>
        <w:spacing w:lineRule="auto" w:line="312" w:before="0" w:after="120"/>
        <w:ind w:firstLine="567"/>
        <w:jc w:val="both"/>
        <w:rPr/>
      </w:pPr>
      <w:r>
        <w:rPr>
          <w:rFonts w:eastAsia="Times New Roman" w:cs="Times New Roman"/>
          <w:color w:val="000000"/>
          <w:sz w:val="26"/>
        </w:rPr>
        <w:t>Thứ bảy, soạn thảo điều khoản về dữ liệu, bảo mật và sở hữu trí tuệ. Xác định vai trò của mỗi bên trong hoạt động kiểm soát và xử lý dữ liệu; loại dữ liệu được trao đổi; mục đích, căn cứ và thời hạn xử lý; phân quyền truy cập; việc sử dụng nhà thầu phụ; chuyển dữ liệu ra ngoài lãnh thổ; quyền của chủ thể dữ liệu; thời hạn thông báo sự cố; và việc hoàn trả, xóa hoặc ẩn danh dữ liệu khi hợp đồng chấm dứt. Bên nhận dữ liệu không được sử dụng dữ liệu giao dịch để quảng cáo, chấm điểm hoặc chia sẻ cho bên thứ ba nếu chưa có căn cứ pháp lý phù hợp.</w:t>
      </w:r>
    </w:p>
    <w:p>
      <w:pPr>
        <w:pStyle w:val="Normal"/>
        <w:spacing w:lineRule="auto" w:line="312" w:before="0" w:after="120"/>
        <w:ind w:firstLine="567"/>
        <w:jc w:val="both"/>
        <w:rPr/>
      </w:pPr>
      <w:r>
        <w:rPr>
          <w:rFonts w:eastAsia="Times New Roman" w:cs="Times New Roman"/>
          <w:color w:val="000000"/>
          <w:sz w:val="26"/>
        </w:rPr>
        <w:t>Quyền sở hữu nền tảng, mã nguồn, tài liệu API, nhãn hiệu và bí mật kinh doanh của doanh nghiệp phải được bảo lưu. Bên tích hợp chỉ nhận quyền sử dụng có giới hạn, không độc quyền, không được chuyển giao và chỉ trong thời hạn hợp đồng. Đối với phần mềm, giao diện hoặc tài liệu do hai bên cùng phát triển, hợp đồng phải xác định rõ chủ sở hữu, phạm vi khai thác, quyền sửa đổi và nghĩa vụ bàn giao để tránh tranh chấp khi chấm dứt hợp tác.</w:t>
      </w:r>
    </w:p>
    <w:p>
      <w:pPr>
        <w:pStyle w:val="Normal"/>
        <w:spacing w:lineRule="auto" w:line="312" w:before="0" w:after="120"/>
        <w:ind w:firstLine="567"/>
        <w:jc w:val="both"/>
        <w:rPr/>
      </w:pPr>
      <w:r>
        <w:rPr>
          <w:rFonts w:eastAsia="Times New Roman" w:cs="Times New Roman"/>
          <w:color w:val="000000"/>
          <w:sz w:val="26"/>
        </w:rPr>
        <w:t>Thứ tám, xây dựng cơ chế trách nhiệm, chấm dứt và giải quyết tranh chấp. Hợp đồng phải phân biệt lỗi của hệ thống Ví, lỗi tích hợp của thương nhân, lỗi ngân hàng hợp tác, lỗi người dùng và sự kiện bên ngoài. Trách nhiệm bồi thường được xác định trên cơ sở hành vi vi phạm, lỗi, thiệt hại thực tế và quan hệ nhân quả; mức giới hạn trách nhiệm chỉ áp dụng cho nhóm rủi ro được thỏa thuận hợp lý và không che chắn cho hành vi gian lận, cố ý vi phạm, xâm phạm dữ liệu, quyền sở hữu trí tuệ hoặc sử dụng trái phép tiền của khách hàng.</w:t>
      </w:r>
    </w:p>
    <w:p>
      <w:pPr>
        <w:pStyle w:val="Normal"/>
        <w:spacing w:lineRule="auto" w:line="312" w:before="0" w:after="120"/>
        <w:ind w:firstLine="567"/>
        <w:jc w:val="both"/>
        <w:rPr/>
      </w:pPr>
      <w:r>
        <w:rPr>
          <w:rFonts w:eastAsia="Times New Roman" w:cs="Times New Roman"/>
          <w:color w:val="000000"/>
          <w:sz w:val="26"/>
        </w:rPr>
        <w:t>Điều khoản chấm dứt phải quy định trường hợp hết hạn, vi phạm không khắc phục, mất hoặc thu hẹp giấy phép, rủi ro an ninh nghiêm trọng, mất khả năng thanh toán và yêu cầu của cơ quan có thẩm quyền. Kế hoạch thoát phải bao gồm ngừng cấp lệnh mới, hoàn tất giao dịch đang xử lý, đối soát công nợ, xử lý khiếu nại, thu hồi khóa API, hoàn trả hoặc xóa dữ liệu, tiếp tục bảo mật và hỗ trợ chuyển đổi trong thời hạn hợp lý. Tranh chấp trước hết được thương lượng và đối soát chứng cứ điện tử; nếu không giải quyết được thì chuyển đến cơ quan tài phán đã được thỏa thuận.</w:t>
      </w:r>
    </w:p>
    <w:p>
      <w:pPr>
        <w:pStyle w:val="Heading3"/>
        <w:keepNext w:val="true"/>
        <w:spacing w:before="120" w:after="100"/>
        <w:rPr/>
      </w:pPr>
      <w:r>
        <w:rPr>
          <w:rFonts w:eastAsia="Times New Roman" w:cs="Times New Roman" w:ascii="Times New Roman" w:hAnsi="Times New Roman"/>
          <w:b/>
          <w:color w:val="000000"/>
          <w:sz w:val="26"/>
        </w:rPr>
        <w:t>4.8.3. Phạm vi dịch vụ.</w:t>
      </w:r>
    </w:p>
    <w:p>
      <w:pPr>
        <w:pStyle w:val="Normal"/>
        <w:spacing w:lineRule="auto" w:line="312" w:before="0" w:after="120"/>
        <w:ind w:firstLine="567"/>
        <w:jc w:val="both"/>
        <w:rPr/>
      </w:pPr>
      <w:r>
        <w:rPr>
          <w:rFonts w:eastAsia="Times New Roman" w:cs="Times New Roman"/>
          <w:color w:val="000000"/>
          <w:sz w:val="26"/>
        </w:rPr>
        <w:t>Phạm vi công việc của chúng tôi được triển khai theo bốn giai đoạn. Giai đoạn một là tiếp nhận tài liệu, phỏng vấn bộ phận pháp chế, kỹ thuật, sản phẩm, tài chính và vận hành để lập bản đồ chủ thể, dữ liệu và dòng tiền. Giai đoạn hai là rà soát giấy phép, mô hình cung ứng ví, hợp đồng với ngân hàng hợp tác, quy trình KYC/AML và các rủi ro pháp lý trọng yếu. Giai đoạn ba là soạn thảo hợp đồng chính cùng các phụ lục kỹ thuật, SLA, phí, dữ liệu và đối soát; tổ chức lấy ý kiến các bộ phận liên quan và chỉnh sửa. Giai đoạn bốn là hỗ trợ đàm phán, hoàn thiện, ký kết, nghiệm thu và tư vấn xử lý các vấn đề phát sinh trong thời gian vận hành ban đầu.</w:t>
      </w:r>
    </w:p>
    <w:p>
      <w:pPr>
        <w:pStyle w:val="Normal"/>
        <w:spacing w:lineRule="auto" w:line="312" w:before="0" w:after="120"/>
        <w:ind w:firstLine="567"/>
        <w:jc w:val="both"/>
        <w:rPr/>
      </w:pPr>
      <w:r>
        <w:rPr>
          <w:rFonts w:eastAsia="Times New Roman" w:cs="Times New Roman"/>
          <w:color w:val="000000"/>
          <w:sz w:val="26"/>
        </w:rPr>
        <w:t>Thứ nhất, về đối tượng áp dụng. Hợp đồng cung cấp dịch vụ API tích hợp Ví điện tử áp dụng cho quan hệ giữa doanh nghiệp cung ứng dịch vụ ví điện tử đã được Ngân hàng Nhà nước cấp phép (sau đây gọi là “Doanh nghiệp”) và thương nhân, nền tảng hoặc đơn vị có nhu cầu tích hợp phương thức thanh toán bằng Ví điện tử  vào website, ứng dụng hoặc hệ thống bán hàng (sau đây gọi là “Bên tích hợp”). Phạm vi điều chỉnh gồm việc cấp và sử dụng tài liệu kỹ thuật, thông tin xác thực, môi trường thử nghiệm và môi trường vận hành chính thức; các chức năng thanh toán, hoàn tiền, tra cứu trạng thái giao dịch, webhook, tra soát và đối soát được liệt kê tại Phụ lục kỹ thuật. Ngân hàng liên kết, khách hàng sử dụng ví và nhà cung cấp hạ tầng không mặc nhiên trở thành bên của Hợp đồng, trừ khi có thỏa thuận riêng bằng văn bản.</w:t>
      </w:r>
    </w:p>
    <w:p>
      <w:pPr>
        <w:pStyle w:val="Normal"/>
        <w:spacing w:lineRule="auto" w:line="312" w:before="0" w:after="120"/>
        <w:ind w:firstLine="567"/>
        <w:jc w:val="both"/>
        <w:rPr/>
      </w:pPr>
      <w:r>
        <w:rPr>
          <w:rFonts w:eastAsia="Times New Roman" w:cs="Times New Roman"/>
          <w:color w:val="000000"/>
          <w:sz w:val="26"/>
        </w:rPr>
        <w:t>Thứ hai, về thời điểm áp dụng và thời hạn hợp đồng. Hợp đồng có hiệu lực kể từ ngày bên ký sau cùng hoàn tất việc ký trực tiếp hoặc xác nhận bằng phương thức điện tử hợp lệ và có thời hạn 12 tháng. Bên tích hợp được sử dụng môi trường thử nghiệm sau khi nhận tài liệu hướng dẫn; việc sử dụng API trên môi trường vận hành chính thức chỉ bắt đầu sau khi hai bên hoàn tất kiểm thử, ký biên bản nghiệm thu và Doanh nghiệp cấp khóa truy cập production. Hợp đồng tự động gia hạn theo từng kỳ 12 tháng nếu không bên nào thông báo chấm dứt bằng văn bản trước ít nhất 30 ngày. Khi Hợp đồng chấm dứt, hai bên phải ngừng tiếp nhận yêu cầu giao dịch mới, hoàn tất giao dịch đang xử lý, đối soát và thanh toán các khoản còn tồn đọng, thu hồi khóa API, xử lý dữ liệu và tiếp tục thực hiện các nghĩa vụ bảo mật, bồi thường, giải quyết khiếu nại hoặc tranh chấp còn hiệu lực theo tính chất của nghĩa vụ.</w:t>
      </w:r>
    </w:p>
    <w:p>
      <w:pPr>
        <w:pStyle w:val="Normal"/>
        <w:spacing w:lineRule="auto" w:line="312" w:before="0" w:after="120"/>
        <w:ind w:firstLine="567"/>
        <w:jc w:val="both"/>
        <w:rPr/>
      </w:pPr>
      <w:r>
        <w:rPr>
          <w:rFonts w:eastAsia="Times New Roman" w:cs="Times New Roman"/>
          <w:color w:val="000000"/>
          <w:sz w:val="26"/>
        </w:rPr>
        <w:t>Thứ ba, giới hạn theo quy định pháp luật. Việc tích hợp và sử dụng API bị giới hạn bởi phạm vi Giấy phép hoạt động cung ứng dịch vụ trung gian thanh toán của Doanh nghiệp, Điều 22 và Điều 26 Nghị định số 52/2024/NĐ-CP, cùng các Điều 21, 24, 25, 26 và 27 Thông tư số 40/2024/TT-NHNN đã được sửa đổi, bổ sung bởi Thông tư số 41/2025/TT-NHNN và được hợp nhất tại Văn bản hợp nhất số 29/VBHN-NHNN. API chỉ là phương thức kết nối kỹ thuật, không phải một dịch vụ trung gian thanh toán độc lập và không làm chuyển giao giấy phép hoặc quyền cung ứng dịch vụ ví điện tử cho Bên tích hợp. Bên tích hợp không được nhân danh Doanh nghiệp để mở hoặc quản lý ví, tự quyết định kết quả nhận biết khách hàng, số dư hay hạn mức; không được giữ tiền của khách hàng, sử dụng tài khoản đảm bảo thanh toán, chia sẻ khóa API hoặc thực hiện chức năng ngoài Phụ lục kỹ thuật. Các giao dịch vẫn phải tuân thủ quy định về nhận biết và xác minh khách hàng, liên kết ví, mục đích sử dụng, hạn mức giao dịch, tài khoản đảm bảo thanh toán, phòng chống rửa tiền, bảo vệ dữ liệu cá nhân, quyền lợi người tiêu dùng và an toàn thông tin. Khi giấy phép, pháp luật, luồng tiền hoặc mô hình tích hợp thay đổi, chức năng bị ảnh hưởng phải tạm dừng cho đến khi được rà soát và phê duyệt hợp lệ.</w:t>
      </w:r>
    </w:p>
    <w:p>
      <w:pPr>
        <w:pStyle w:val="Normal"/>
        <w:spacing w:lineRule="auto" w:line="312" w:before="0" w:after="120"/>
        <w:ind w:firstLine="567"/>
        <w:jc w:val="both"/>
        <w:rPr/>
      </w:pPr>
      <w:r>
        <w:rPr>
          <w:rFonts w:eastAsia="Times New Roman" w:cs="Times New Roman"/>
          <w:color w:val="000000"/>
          <w:sz w:val="26"/>
        </w:rPr>
        <w:t>Thứ tư, phạm vi dịch vụ không bao gồm các chức năng không được liệt kê tại Phụ lục kỹ thuật hoặc vượt quá nội dung Giấy phép; hoạt động nhận tiền gửi, cấp tín dụng, cho vay, phát hành thẻ hoặc kinh doanh ngoại hối; việc Bên tích hợp tự mở ví, thực hiện KYC, quản lý số dư, giữ tiền hoặc vận hành tài khoản đảm bảo thanh toán thay Doanh nghiệp; phát triển mã nguồn riêng cho Bên tích hợp, kiểm toán an toàn hệ thống hoặc kiểm thử xâm nhập; xin cấp mới hoặc điều chỉnh Giấy phép hoạt động cung ứng dịch vụ trung gian thanh toán; đại diện tố tụng; và cam kết về doanh thu, tỷ lệ chuyển đổi hoặc việc mọi giao dịch đều thành công. Công việc ngoài phạm vi chỉ được thực hiện khi hai bên ký phụ lục hoặc hợp đồng riêng, xác định rõ nội dung, phí, thời hạn và trách nhiệm tương ứng.</w:t>
      </w:r>
    </w:p>
    <w:p>
      <w:pPr>
        <w:pStyle w:val="Normal"/>
        <w:spacing w:lineRule="auto" w:line="312" w:before="0" w:after="120"/>
        <w:ind w:firstLine="567"/>
        <w:jc w:val="both"/>
        <w:rPr/>
      </w:pPr>
      <w:r>
        <w:rPr>
          <w:rFonts w:eastAsia="Times New Roman" w:cs="Times New Roman"/>
          <w:color w:val="000000"/>
          <w:sz w:val="26"/>
        </w:rPr>
        <w:t>Trong quá trình thực hiện, luật sư có quyền yêu cầu khách hàng cung cấp thông tin trung thực, đầy đủ và xác nhận các giả định kỹ thuật. Ý kiến pháp lý chỉ áp dụng cho mô hình, tài liệu và pháp luật được xác định tại thời điểm tư vấn. Khi API, luồng tiền, đối tác ngân hàng, phạm vi giấy phép hoặc pháp luật thay đổi, hợp đồng phải được rà soát lại trước khi triển khai chức năng mới.</w:t>
      </w:r>
    </w:p>
    <w:p>
      <w:pPr>
        <w:pStyle w:val="Heading3"/>
        <w:keepNext w:val="true"/>
        <w:spacing w:before="120" w:after="100"/>
        <w:rPr/>
      </w:pPr>
      <w:r>
        <w:rPr>
          <w:rFonts w:eastAsia="Times New Roman" w:cs="Times New Roman" w:ascii="Times New Roman" w:hAnsi="Times New Roman"/>
          <w:b/>
          <w:color w:val="000000"/>
          <w:sz w:val="26"/>
        </w:rPr>
        <w:t>4.8.4. Mục đích và giá trị của dịch vụ.</w:t>
      </w:r>
    </w:p>
    <w:p>
      <w:pPr>
        <w:pStyle w:val="Normal"/>
        <w:spacing w:lineRule="auto" w:line="312" w:before="0" w:after="120"/>
        <w:ind w:firstLine="567"/>
        <w:jc w:val="both"/>
        <w:rPr/>
      </w:pPr>
      <w:r>
        <w:rPr>
          <w:rFonts w:eastAsia="Times New Roman" w:cs="Times New Roman"/>
          <w:color w:val="000000"/>
          <w:sz w:val="26"/>
        </w:rPr>
        <w:t>Thứ nhất, dịch vụ bảo đảm mô hình hợp tác được đặt đúng trong ranh giới pháp luật về ví điện tử. Việc mô tả chính xác đối tượng hợp đồng giúp nhà đầu tư nhận biết đâu là hoạt động công nghệ, đâu là hoạt động trung gian thanh toán có điều kiện và chủ thể nào chịu trách nhiệm. Đây là nền tảng để tránh rủi ro cung ứng vượt giấy phép hoặc chuyển giao trái phép chức năng cốt lõi cho đối tác.</w:t>
      </w:r>
    </w:p>
    <w:p>
      <w:pPr>
        <w:pStyle w:val="Normal"/>
        <w:spacing w:lineRule="auto" w:line="312" w:before="0" w:after="120"/>
        <w:ind w:firstLine="567"/>
        <w:jc w:val="both"/>
        <w:rPr/>
      </w:pPr>
      <w:r>
        <w:rPr>
          <w:rFonts w:eastAsia="Times New Roman" w:cs="Times New Roman"/>
          <w:color w:val="000000"/>
          <w:sz w:val="26"/>
        </w:rPr>
        <w:t>Thứ hai, hợp đồng bảo vệ tiền, dữ liệu và quyền lợi của chủ ví bằng cơ chế kiểm soát có thể kiểm chứng. Các quy định về trạng thái giao dịch, nhật ký hệ thống, KYC, AML, tài khoản đảm bảo, hoàn tiền, tra soát và bảo mật tạo ra chuỗi chứng cứ rõ ràng. Khi có sự cố, doanh nghiệp không phải xử lý theo phán đoán mà có sẵn quy trình, đầu mối, thời hạn và nguyên tắc chịu trách nhiệm.</w:t>
      </w:r>
    </w:p>
    <w:p>
      <w:pPr>
        <w:pStyle w:val="Normal"/>
        <w:spacing w:lineRule="auto" w:line="312" w:before="0" w:after="120"/>
        <w:ind w:firstLine="567"/>
        <w:jc w:val="both"/>
        <w:rPr/>
      </w:pPr>
      <w:r>
        <w:rPr>
          <w:rFonts w:eastAsia="Times New Roman" w:cs="Times New Roman"/>
          <w:color w:val="000000"/>
          <w:sz w:val="26"/>
        </w:rPr>
        <w:t>Thứ ba, hợp đồng chuẩn hóa việc mở rộng mạng lưới thương nhân. Một bộ hợp đồng lõi và các phụ lục mô-đun giúp chúng tôi kết nối nhiều đối tác mà không phải đàm phán lại toàn bộ cấu trúc pháp lý cho từng dự án. Doanh nghiệp có thể hình thành các gói cơ bản, nâng cao và chuyên biệt: gói cơ bản cung cấp thanh toán, hoàn tiền và đối soát; gói nâng cao bổ sung chống gian lận, dashboard, báo cáo đa chi nhánh và SLA cao hơn; gói chuyên biệt bổ sung hỗ trợ tích hợp, giám sát và đầu mối vận hành riêng.</w:t>
      </w:r>
    </w:p>
    <w:p>
      <w:pPr>
        <w:pStyle w:val="Normal"/>
        <w:spacing w:lineRule="auto" w:line="312" w:before="0" w:after="120"/>
        <w:ind w:firstLine="567"/>
        <w:jc w:val="both"/>
        <w:rPr/>
      </w:pPr>
      <w:r>
        <w:rPr>
          <w:rFonts w:eastAsia="Times New Roman" w:cs="Times New Roman"/>
          <w:color w:val="000000"/>
          <w:sz w:val="26"/>
        </w:rPr>
        <w:t>Thứ tư, dịch vụ tạo cơ sở cho doanh thu lặp lại nhưng không đánh đổi tuân thủ. Hợp đồng cho phép thiết kế phí khởi tạo, phí nền tảng, phí giao dịch và phí mô-đun bổ sung một cách minh bạch, đồng thời tách bạch doanh thu dịch vụ với tiền của chủ ví. Đối với nhà đầu tư, giá trị không chỉ nằm ở số lượng kết nối API mà còn ở chất lượng doanh thu, khả năng giữ chân thương nhân, mức độ sử dụng lại và chi phí rủi ro trên mỗi giao dịch.</w:t>
      </w:r>
    </w:p>
    <w:p>
      <w:pPr>
        <w:pStyle w:val="Normal"/>
        <w:spacing w:lineRule="auto" w:line="312" w:before="0" w:after="120"/>
        <w:ind w:firstLine="567"/>
        <w:jc w:val="both"/>
        <w:rPr/>
      </w:pPr>
      <w:r>
        <w:rPr>
          <w:rFonts w:eastAsia="Times New Roman" w:cs="Times New Roman"/>
          <w:color w:val="000000"/>
          <w:sz w:val="26"/>
        </w:rPr>
        <w:t>Thứ năm, hồ sơ hợp đồng đầy đủ nâng cao khả năng thẩm định và gọi vốn. Nhà đầu tư có thể kiểm tra giấy phép, quyền sở hữu công nghệ, quyền sử dụng dữ liệu, trách nhiệm với ngân hàng hợp tác, cơ chế xử lý sự cố và nghĩa vụ tài chính thông qua một hệ thống tài liệu nhất quán. Điều này làm giảm rủi ro pháp lý tiềm ẩn, rút ngắn quá trình thẩm định và cho thấy doanh nghiệp có năng lực tăng trưởng có kiểm soát.</w:t>
      </w:r>
    </w:p>
    <w:p>
      <w:pPr>
        <w:pStyle w:val="Normal"/>
        <w:spacing w:lineRule="auto" w:line="312" w:before="0" w:after="120"/>
        <w:ind w:firstLine="567"/>
        <w:jc w:val="both"/>
        <w:rPr/>
      </w:pPr>
      <w:r>
        <w:rPr>
          <w:rFonts w:eastAsia="Times New Roman" w:cs="Times New Roman"/>
          <w:color w:val="000000"/>
          <w:sz w:val="26"/>
        </w:rPr>
        <w:t>Giá trị cốt lõi của dịch vụ vì vậy không phải là tạo ra một bản hợp đồng dài, mà là chuyển mô hình Ví Thịnh Vượng thành các quyền, nghĩa vụ, giới hạn và quy trình có thể thực hiện, đo lường và chứng minh. API tạo khả năng mở rộng về công nghệ; hợp đồng đúng luật tạo khả năng mở rộng bền vững về thương mại và đầu tư.</w:t>
      </w:r>
    </w:p>
    <w:p>
      <w:pPr>
        <w:pStyle w:val="Heading2"/>
        <w:keepNext w:val="true"/>
        <w:spacing w:before="120" w:after="100"/>
        <w:rPr/>
      </w:pPr>
      <w:r>
        <w:rPr>
          <w:rFonts w:eastAsia="Times New Roman" w:cs="Times New Roman" w:ascii="Times New Roman" w:hAnsi="Times New Roman"/>
          <w:b/>
          <w:color w:val="000000"/>
          <w:sz w:val="26"/>
        </w:rPr>
        <w:t>4.9. Hợp đồng sử dụng dịch vụ ví điện tử liên kết ngân hàng (*).</w:t>
      </w:r>
    </w:p>
    <w:p>
      <w:pPr>
        <w:pStyle w:val="Heading3"/>
        <w:keepNext w:val="true"/>
        <w:spacing w:before="120" w:after="100"/>
        <w:rPr/>
      </w:pPr>
      <w:r>
        <w:rPr>
          <w:rFonts w:eastAsia="Times New Roman" w:cs="Times New Roman" w:ascii="Times New Roman" w:hAnsi="Times New Roman"/>
          <w:b/>
          <w:color w:val="000000"/>
          <w:sz w:val="26"/>
        </w:rPr>
        <w:t>4.9.1. Giới thiệu dịch vụ.</w:t>
      </w:r>
    </w:p>
    <w:p>
      <w:pPr>
        <w:pStyle w:val="Normal"/>
        <w:spacing w:lineRule="auto" w:line="312" w:before="0" w:after="120"/>
        <w:ind w:firstLine="567"/>
        <w:jc w:val="both"/>
        <w:rPr/>
      </w:pPr>
      <w:r>
        <w:rPr>
          <w:rFonts w:eastAsia="Times New Roman" w:cs="Times New Roman"/>
          <w:color w:val="000000"/>
          <w:sz w:val="26"/>
        </w:rPr>
        <w:t>Hợp đồng sử dụng dịch vụ ví điện tử liên kết ngân hàng là một trong những văn bản pháp lý cơ bản, quan trọng cần phải có ở doanh nghiệp hoạt động trong lĩnh vực cung cấp dịch vụ ví điện tử để giải quyết những rủi ro phát sinh như khiếu nại hoàn tiền, giao dịch trái phép, tranh chấp phí, trách nhiệm khi hệ thống lỗi,...Về bản chất, đây là thỏa thuận giữa bên cung ứng là doanh nghiệp được phép cung ứng dịch vụ ví điện tử, bên sử dụng là khách hàng mở và sử dụng ví điện tử và ngân hàng liên kết - ngân hàng nơi khách hàng có tài khoản đồng Việt Nam hoặc thẻ ghi nợ được liên kết với ví. Có thể hình dung đây là quan hệ pháp lý giữa doanh nghiệp cung ứng ví điện tử với khách hàng sử dụng dịch vụ và giữa doanh nghiệp với ngân hàng liên kết.</w:t>
      </w:r>
    </w:p>
    <w:p>
      <w:pPr>
        <w:pStyle w:val="Normal"/>
        <w:spacing w:lineRule="auto" w:line="312" w:before="0" w:after="120"/>
        <w:ind w:firstLine="567"/>
        <w:jc w:val="both"/>
        <w:rPr/>
      </w:pPr>
      <w:r>
        <w:rPr>
          <w:rFonts w:eastAsia="Times New Roman" w:cs="Times New Roman"/>
          <w:color w:val="000000"/>
          <w:sz w:val="26"/>
        </w:rPr>
        <w:t>Căn cứ vào Nghị định 52/2024/NĐ-CP: Quy định chung về hoạt động thanh toán không dùng tiền mặt, Thông tư 40/2024/TT-NHNN, sửa đổi bổ sung bởi Thông tư 41/2025/TT-NHNN và Văn bản hợp nhất số 29/VBHN-NHNN năm 2025 về hoạt động cung ứng dịch vụ trung gian thanh toán, Thông tư 17/2024/TT-NHNN, sửa đổi bổ sung bởi Thông tư 25/2025/TT-NHNN về việc mở và sử dụng tài khoản thanh toán tại tổ chức cung ứng dịch vụ và thanh toán để xây dựng bộ điều khoản yêu cầu thỏa thuận tối thiểu trong hợp đồng.</w:t>
      </w:r>
    </w:p>
    <w:p>
      <w:pPr>
        <w:pStyle w:val="Heading3"/>
        <w:keepNext w:val="true"/>
        <w:spacing w:before="120" w:after="100"/>
        <w:rPr/>
      </w:pPr>
      <w:r>
        <w:rPr>
          <w:rFonts w:eastAsia="Times New Roman" w:cs="Times New Roman" w:ascii="Times New Roman" w:hAnsi="Times New Roman"/>
          <w:b/>
          <w:color w:val="000000"/>
          <w:sz w:val="26"/>
        </w:rPr>
        <w:t>4.9.2. Nội dung dịch vụ.</w:t>
      </w:r>
    </w:p>
    <w:p>
      <w:pPr>
        <w:pStyle w:val="Normal"/>
        <w:spacing w:lineRule="auto" w:line="312" w:before="0" w:after="120"/>
        <w:ind w:firstLine="567"/>
        <w:jc w:val="both"/>
        <w:rPr/>
      </w:pPr>
      <w:r>
        <w:rPr>
          <w:rFonts w:eastAsia="Times New Roman" w:cs="Times New Roman"/>
          <w:color w:val="000000"/>
          <w:sz w:val="26"/>
        </w:rPr>
        <w:t>Trước hết, hợp đồng xác lập quyền của khách hàng được sử dụng hệ thống ví điện tử của doanh nghiệp theo quy định của Nghị định 52/2024/NĐ-CP: Quy định chung về hoạt động thanh toán không dùng tiền mặt, bao gồm những điều khoản quy định về phương thức nạp tiền và rút tiền, phương thức thanh toán cũng như điều kiện nạp tiền, rút tiền ra khỏi ví, hạn mức, các giao dịch bị cấm và hạn chế,...</w:t>
      </w:r>
    </w:p>
    <w:p>
      <w:pPr>
        <w:pStyle w:val="Normal"/>
        <w:spacing w:lineRule="auto" w:line="312" w:before="0" w:after="120"/>
        <w:ind w:firstLine="567"/>
        <w:jc w:val="both"/>
        <w:rPr/>
      </w:pPr>
      <w:r>
        <w:rPr>
          <w:rFonts w:eastAsia="Times New Roman" w:cs="Times New Roman"/>
          <w:color w:val="000000"/>
          <w:sz w:val="26"/>
        </w:rPr>
        <w:t>Tiếp theo, căn cứ vào Thông tư 40/2024/TT-NHNN, sửa đổi bổ sung bởi Thông tư 41/2025/TT-NHNN và Văn bản hợp nhất số 29/VBHN-NHNN năm 2025 về hoạt động cung ứng dịch vụ trung gian thanh toán để xây dựng quyền và nghĩa vụ của hai bên. Theo đó, doanh nghiệp phải có nghĩa vụ cam kết về duy trì bảo đảm hệ thống an toàn, bảo mật, cung cấp dịch vụ thông tin về số dư và giao dịch, cung cấp dịch vụ theo đúng phạm vị được phép, tiếp nhận và xử lý lỗi hệ thống, khiếu nại, xác thực khách hàng,... Trong trường hợp tài khoản bị xâm nhập, nghi ngờ gian lận giao dịch, phát hiện giao dịch bất thường hay vi phạm điều kiện sử dụng hợp đồng sẽ quy định điều khoản cho phép doanh nghiệp can thiệp xử lý. Đồng thời, khách hàng cũng cần phải cung cấp thông tin tài khoản ngân hàng liên kết chính xác, cập nhật thông tin khi có thay đổi, sử dụng ví đúng mục đích không thực hiện giao dịch trái phép, tuân thủ hạn mức, nộp phí (nếu có),... Ngoài ra, hợp đồng cũng bao gồm những điều khoản khi liên kết ngân hàng về điều kiện liên kết, phương thức xác thực, trường hợp hủy liên kết hay thay đổi tài khoản ngân hàng, giao dịch qua tài khoản liên kết và trách nhiệm khi ngân hàng hoặc ví xảy ra sự cố gián đoạn trong lúc đang thực hiện giao dịch,...Quy định về xác thực thông tin khách hàng qua quy trình xác minh danh tính, thông tin định danh, thiết bị, tài khoản, OTP, xác thực sinh trắc học,…</w:t>
      </w:r>
    </w:p>
    <w:p>
      <w:pPr>
        <w:pStyle w:val="Heading3"/>
        <w:keepNext w:val="true"/>
        <w:spacing w:before="120" w:after="100"/>
        <w:rPr/>
      </w:pPr>
      <w:r>
        <w:rPr>
          <w:rFonts w:eastAsia="Times New Roman" w:cs="Times New Roman" w:ascii="Times New Roman" w:hAnsi="Times New Roman"/>
          <w:b/>
          <w:color w:val="000000"/>
          <w:sz w:val="26"/>
        </w:rPr>
        <w:t>4.9.3. Phạm vi dịch vụ.</w:t>
      </w:r>
    </w:p>
    <w:p>
      <w:pPr>
        <w:pStyle w:val="Normal"/>
        <w:spacing w:lineRule="auto" w:line="312" w:before="0" w:after="120"/>
        <w:ind w:firstLine="567"/>
        <w:jc w:val="both"/>
        <w:rPr/>
      </w:pPr>
      <w:r>
        <w:rPr>
          <w:rFonts w:eastAsia="Times New Roman" w:cs="Times New Roman"/>
          <w:color w:val="000000"/>
          <w:sz w:val="26"/>
        </w:rPr>
        <w:t>Hợp đồng được áp dụng đối với khách hàng có nhu cầu đăng ký, mở, liên kết, sử dụng và quản lý ví điện tử do doanh nghiệp cung ứng trên cơ sở liên kết với tài khoản thanh toán/thẻ của khách hàng tại ngân hàng. Trong đó, gồm ba bên: Bên cung ứng dịch vụ (doanh nghiệp), khách hàng (cá nhân hoặc tổ chức đáp ứng điều kiện mở và sử dụng ví điện tử theo quy định pháp luật và quy định của doanh nghiệp), ngân hàng liên kết (tham gia kết nối với ví điện tử để thực hiện việc nạp tiền, rút tiền, chuyển tiền, thanh toán).</w:t>
      </w:r>
    </w:p>
    <w:p>
      <w:pPr>
        <w:pStyle w:val="Normal"/>
        <w:spacing w:lineRule="auto" w:line="312" w:before="0" w:after="120"/>
        <w:ind w:firstLine="567"/>
        <w:jc w:val="both"/>
        <w:rPr/>
      </w:pPr>
      <w:r>
        <w:rPr>
          <w:rFonts w:eastAsia="Times New Roman" w:cs="Times New Roman"/>
          <w:color w:val="000000"/>
          <w:sz w:val="26"/>
        </w:rPr>
        <w:t>Hợp đồng có hiệu lực từ ngày ký và được lập thành văn bản. Nếu doanh nghiệp sử dụng hợp đồng điện tử, nên quy định rõ thời điểm khách hàng nhấn “Đồng ý” chấp nhận tất cả các điều khoản của hợp đồng, xác nhận bằng OTP, chữ ký điện tử hoặc phương thức xác thực hợp lệ khác. Hợp đồng sẽ chấm dứt trong các trường hợp sau: khách hàng yêu cầu đóng tài khoản ví điện tử bằng thanh toán liên kết ngân hàng, doanh nghiệp ngừng cung cấp dịch vụ ví điện tử sau khi thông báo trước ít nhất (số ngày)ngày, theo quy định của pháp luật hoặc yêu cầu của các bên. Khi chấm dứt hợp đồng, số dư trong ví được hoàn trả vào tài khoản ngân hàng liên kết.</w:t>
      </w:r>
    </w:p>
    <w:p>
      <w:pPr>
        <w:pStyle w:val="Normal"/>
        <w:spacing w:lineRule="auto" w:line="312" w:before="0" w:after="120"/>
        <w:ind w:firstLine="567"/>
        <w:jc w:val="both"/>
        <w:rPr/>
      </w:pPr>
      <w:r>
        <w:rPr>
          <w:rFonts w:eastAsia="Times New Roman" w:cs="Times New Roman"/>
          <w:color w:val="000000"/>
          <w:sz w:val="26"/>
        </w:rPr>
        <w:t>Việc khách hàng sử dụng dịch vụ ví điện tử liên kết ngân hàng phải được thực hiện trong phạm vi giấy phép hoạt động cung ứng dịch vụ trung gian thanh toán của doanh nghiệp, quy định của Ngân hàng Nhà nước và pháp luật Việt Nam có liên quan. Theo đó, doanh nghiệp phải từ chối cung cấp dịch vụ cho khách hàng trong các trường hợp được quy định tại Điều 24 Thông tư 40/2024/TT-NHNN, sửa đổi bổ sung bởi Thông tư 41/2025/TT-NHNN và Văn bản hợp nhất số 29/VBHN-NHNN năm 2025 và khách hàng phải tuân thủ các quy định sử dụng ví điện tử tại Điều 25, hạn mức tại Điều 26 thông tư này.</w:t>
      </w:r>
    </w:p>
    <w:p>
      <w:pPr>
        <w:pStyle w:val="Normal"/>
        <w:spacing w:lineRule="auto" w:line="312" w:before="0" w:after="120"/>
        <w:ind w:firstLine="567"/>
        <w:jc w:val="both"/>
        <w:rPr/>
      </w:pPr>
      <w:r>
        <w:rPr>
          <w:rFonts w:eastAsia="Times New Roman" w:cs="Times New Roman"/>
          <w:color w:val="000000"/>
          <w:sz w:val="26"/>
        </w:rPr>
        <w:t>Phạm vi dịch vụ không bao gồm việc doanh nghiệp cung cấp thay cho ngân hàng về nhận tiền gửi, phát hành thẻ ngân hàng, tín dụng, cho vay, kinh doanh ngoại hối, các dịch vụ khác không được phép hoạt động. Công ty không cam kết mọi giao dịch của khách hàng đều được thực hiện thành công trong mọi trường hợp, giao dịch có thể bị từ chối, tạm dừng xuất phát từ những nguyên nhân như: lỗi kết nối ngân hàng, tài khoản liên kết không đủ điều kiện, vượt hạn mức,…</w:t>
      </w:r>
    </w:p>
    <w:p>
      <w:pPr>
        <w:pStyle w:val="Heading3"/>
        <w:keepNext w:val="true"/>
        <w:spacing w:before="120" w:after="100"/>
        <w:rPr/>
      </w:pPr>
      <w:r>
        <w:rPr>
          <w:rFonts w:eastAsia="Times New Roman" w:cs="Times New Roman" w:ascii="Times New Roman" w:hAnsi="Times New Roman"/>
          <w:b/>
          <w:color w:val="000000"/>
          <w:sz w:val="26"/>
        </w:rPr>
        <w:t>4.9.4. Mục đích dịch vụ.</w:t>
      </w:r>
    </w:p>
    <w:p>
      <w:pPr>
        <w:pStyle w:val="Normal"/>
        <w:spacing w:lineRule="auto" w:line="312" w:before="0" w:after="120"/>
        <w:ind w:firstLine="567"/>
        <w:jc w:val="both"/>
        <w:rPr/>
      </w:pPr>
      <w:r>
        <w:rPr>
          <w:rFonts w:eastAsia="Times New Roman" w:cs="Times New Roman"/>
          <w:color w:val="000000"/>
          <w:sz w:val="26"/>
        </w:rPr>
        <w:t>Hợp đồng sử dụng dịch vụ ví điện tử liên kết ngân hàng giúp doanh nghiệp giải quyết những rủi ro phát sinh giữa doanh nghiệp, khách hàng và ngân hàng liên kết đồng thời hợp đồng giúp doanh nghiệp xây dựng trước phương án xử lý các tình huống xấu, thay vì chỉ xử lý khi tranh chấp xảy ra.</w:t>
      </w:r>
    </w:p>
    <w:p>
      <w:pPr>
        <w:pStyle w:val="Normal"/>
        <w:spacing w:lineRule="auto" w:line="312" w:before="0" w:after="120"/>
        <w:ind w:firstLine="567"/>
        <w:jc w:val="both"/>
        <w:rPr/>
      </w:pPr>
      <w:r>
        <w:rPr>
          <w:rFonts w:eastAsia="Times New Roman" w:cs="Times New Roman"/>
          <w:color w:val="000000"/>
          <w:sz w:val="26"/>
        </w:rPr>
        <w:t>Thứ nhất, là cơ sở để xác định quyền và nghĩa vụ của mỗi bên trong những trường hợp như: khách hàng được sử dụng những dịch vụ nào, quyền khiếu nại, phải trả những loại phí gì và nếu không trả thì sao, quá trình giao dịch của khách hàng gặp gián đoạn thì trách nhiệm thuộc về hệ thống ví hay của ngân hàng, quyền tạm khóa ví, yêu cầu xác thực nếu hệ thống của ngân hàng và ví từ chối giao dịch bất thường khi có nghi ngờ gian lận, giả mạo,…</w:t>
      </w:r>
    </w:p>
    <w:p>
      <w:pPr>
        <w:pStyle w:val="Normal"/>
        <w:spacing w:lineRule="auto" w:line="312" w:before="0" w:after="120"/>
        <w:ind w:firstLine="567"/>
        <w:jc w:val="both"/>
        <w:rPr/>
      </w:pPr>
      <w:r>
        <w:rPr>
          <w:rFonts w:eastAsia="Times New Roman" w:cs="Times New Roman"/>
          <w:color w:val="000000"/>
          <w:sz w:val="26"/>
        </w:rPr>
        <w:t>Thứ hai, là căn cứ để bảo vệ khách hàng nếu như thông tin của mình bị lộ lọt bởi hệ thống ví hoặc ngân hàng thì khách hàng có thể khiếu nại hoặc yêu cầu bồi thường. Đồng thời, cũng là căn cứ để bảo vệ doanh nghiệp nếu như khách hàng lợi dụng ví điện tử để thực hiện hành vi trái phép như rửa tiền, tài trợ khủng bố,…gây nên tổn thất tài chính, uy tín của doanh nghiệp khi đó cơ quan nhà nước sẽ kiểm tra và ảnh hưởng đến giấy phép hoạt động kinh doanh của doanh nghiệp thì nếu như điều này đã được dự liệu sẵn trong điều khoản của hợp đồng thì trách nhiệm thuộc sẽ thuộc về khách hàng, giảm tổn thất cho doanh nghiệp.</w:t>
      </w:r>
    </w:p>
    <w:p>
      <w:pPr>
        <w:pStyle w:val="Normal"/>
        <w:spacing w:lineRule="auto" w:line="312" w:before="0" w:after="120"/>
        <w:ind w:firstLine="567"/>
        <w:jc w:val="both"/>
        <w:rPr/>
      </w:pPr>
      <w:r>
        <w:rPr>
          <w:rFonts w:eastAsia="Times New Roman" w:cs="Times New Roman"/>
          <w:color w:val="000000"/>
          <w:sz w:val="26"/>
        </w:rPr>
        <w:t>Thứ ba, là công cụ ràng buộc để các bên tuân thủ. Doanh nghiệp hoạt động trong lĩnh vực cung ứng ví điện tử chịu sự quản lý chặt chẽ của Ngân hàng Nhà nước đặt ra nhiều yêu cầu về cấp phép, vận hành, liên kết ngân hàng, quản lý rủi ro, xác minh khách hàng, an toàn dịch vụ và luôn tiềm ẩn rủi ro. Do đó, hợp đồng phải được thiết kế đúng pháp luật một cách chặt chẽ để các bên tuân thủ giảm thiểu rủi ro và đảm bảo an toàn hệ thống ví cho doanh nghiệp.</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5. TƯ VẤN TUÂN THỦ VÀ QUẢN TRỊ RỦI RO PHÁP LÝ.</w:t>
      </w:r>
    </w:p>
    <w:p>
      <w:pPr>
        <w:pStyle w:val="Heading2"/>
        <w:keepNext w:val="true"/>
        <w:spacing w:before="120" w:after="100"/>
        <w:rPr/>
      </w:pPr>
      <w:r>
        <w:rPr>
          <w:rFonts w:eastAsia="Times New Roman" w:cs="Times New Roman" w:ascii="Times New Roman" w:hAnsi="Times New Roman"/>
          <w:b/>
          <w:color w:val="000000"/>
          <w:sz w:val="26"/>
        </w:rPr>
        <w:t>5.1. Chính sách bảo vệ dữ liệu cá nhân (*).</w:t>
      </w:r>
    </w:p>
    <w:p>
      <w:pPr>
        <w:pStyle w:val="Heading3"/>
        <w:keepNext w:val="true"/>
        <w:spacing w:before="120" w:after="100"/>
        <w:rPr/>
      </w:pPr>
      <w:r>
        <w:rPr>
          <w:rFonts w:eastAsia="Times New Roman" w:cs="Times New Roman" w:ascii="Times New Roman" w:hAnsi="Times New Roman"/>
          <w:b/>
          <w:color w:val="000000"/>
          <w:sz w:val="26"/>
        </w:rPr>
        <w:t>5.1.1. Giới thiệu dịch vụ.</w:t>
      </w:r>
    </w:p>
    <w:p>
      <w:pPr>
        <w:pStyle w:val="Normal"/>
        <w:spacing w:lineRule="auto" w:line="312" w:before="0" w:after="120"/>
        <w:ind w:firstLine="567"/>
        <w:jc w:val="both"/>
        <w:rPr/>
      </w:pPr>
      <w:r>
        <w:rPr>
          <w:rFonts w:eastAsia="Times New Roman" w:cs="Times New Roman"/>
          <w:color w:val="000000"/>
          <w:sz w:val="26"/>
        </w:rPr>
        <w:t>Chính sách bảo vệ dữ liệu cá nhân là văn bản pháp lý quy định chi tiết toàn bộ quá trình xử lý dữ liệu của Ví điện tử, bao gồm các bước thu thập, lưu trữ, sử dụng, phân tích, mã hóa và chia sẻ thông tin người dùng. Trong mô hình kinh doanh Fintech cung ứng dịch vụ trung gian thanh toán, hệ thống dữ liệu tục có sự truyền tải, đối soát thông tin qua lại với nhiều bên thứ ba như tổ chức cung cấp giải pháp eKYC, nhà cung cấp dịch vụ máy chủ đám mây và các đơn vị chấp nhận thanh toán. Về bản chất, dữ liệu mà nền tảng Ví điện tử tiếp nhận và quản lý thuộc nhóm dữ liệu cá nhân nhạy cảm, có ảnh hưởng trực tiếp đến an ninh tài chính của người dùng. Các trường thông tin cơ bản bao gồm ảnh chụp căn cước công dân, dữ liệu sinh trắc học khuôn mặt, thông tin tài khoản ngân hàng liên kết, biến động số dư và chi tiết lịch sử giao dịch. Bất kỳ một sự can thiệp trái phép hay lỗ hổng nào trong quá trình lưu trữ đều xâm phạm trực tiếp đến quyền nhân thân và tạo cơ hội cho các hành vi gian lận tài chính. Việc xây dựng một chính sách bảo vệ dữ liệu toàn diện giúp doanh nghiệp thiết lập kỷ luật vận hành nội bộ, hợp pháp hóa hoạt động thu thập thông tin người dùng theo quy định tại Luật Bảo vệ dữ liệu cá nhân số 91/2025/QH15 và Nghị định 356/2025/NĐ-CP và xây dựng nền tảng niềm tin vững chắc với khách hàng khi sử dụng dịch vụ cũng như đáp ứng tiêu chuẩn của các đối tác tài chính, ngân hàng.</w:t>
      </w:r>
    </w:p>
    <w:p>
      <w:pPr>
        <w:pStyle w:val="Heading3"/>
        <w:keepNext w:val="true"/>
        <w:spacing w:before="120" w:after="100"/>
        <w:rPr/>
      </w:pPr>
      <w:r>
        <w:rPr>
          <w:rFonts w:eastAsia="Times New Roman" w:cs="Times New Roman" w:ascii="Times New Roman" w:hAnsi="Times New Roman"/>
          <w:b/>
          <w:color w:val="000000"/>
          <w:sz w:val="26"/>
        </w:rPr>
        <w:t>5.1.2. Nội dung dịch vụ.</w:t>
      </w:r>
    </w:p>
    <w:p>
      <w:pPr>
        <w:pStyle w:val="Normal"/>
        <w:spacing w:lineRule="auto" w:line="312" w:before="0" w:after="120"/>
        <w:ind w:firstLine="567"/>
        <w:jc w:val="both"/>
        <w:rPr/>
      </w:pPr>
      <w:r>
        <w:rPr>
          <w:rFonts w:eastAsia="Times New Roman" w:cs="Times New Roman"/>
          <w:color w:val="000000"/>
          <w:sz w:val="26"/>
        </w:rPr>
        <w:t>Thứ nhất, soạn thảo bản Chính sách Bảo vệ dữ liệu cá nhân chuẩn chỉnh, minh bạch để hiển thị công khai trên giao diện (App và Website). Chính sách quy định rõ mục đích thu thập, phạm vi dữ liệu, thời gian lưu trữ và cơ chế để người dùng thực hiện các quyền (truy cập, chỉnh sửa, xóa dữ liệu, rút lại sự đồng ý). Đồng thời, tư vấn chuẩn hóa luồng hiển thị (UI/UX) trên ứng dụng để việc thu thập sự đồng ý hợp pháp được thực hiện.</w:t>
      </w:r>
    </w:p>
    <w:p>
      <w:pPr>
        <w:pStyle w:val="Normal"/>
        <w:spacing w:lineRule="auto" w:line="312" w:before="0" w:after="120"/>
        <w:ind w:firstLine="567"/>
        <w:jc w:val="both"/>
        <w:rPr/>
      </w:pPr>
      <w:r>
        <w:rPr>
          <w:rFonts w:eastAsia="Times New Roman" w:cs="Times New Roman"/>
          <w:color w:val="000000"/>
          <w:sz w:val="26"/>
        </w:rPr>
        <w:t>Thứ hai, tư vấn và soạn thảo các điều khoản ràng buộc trách nhiệm pháp lý với các bên thứ ba tham gia vào luồng xử lý dữ liệu (nhà cung cấp máy chủ đám mây, đối tác giải pháp eKYC, các đơn vị chấp nhận thanh toán và tổ chức tín dụng liên kết).</w:t>
      </w:r>
    </w:p>
    <w:p>
      <w:pPr>
        <w:pStyle w:val="Normal"/>
        <w:spacing w:lineRule="auto" w:line="312" w:before="0" w:after="120"/>
        <w:ind w:firstLine="567"/>
        <w:jc w:val="both"/>
        <w:rPr/>
      </w:pPr>
      <w:r>
        <w:rPr>
          <w:rFonts w:eastAsia="Times New Roman" w:cs="Times New Roman"/>
          <w:color w:val="000000"/>
          <w:sz w:val="26"/>
        </w:rPr>
        <w:t>Thứ ba, xây dựng các quy chế bảo mật thông tin và cơ chế phân quyền truy cập dữ liệu nội bộ rõ ràng cho từng phòng ban, đảm bảo an toàn cho các dữ liệu quan trọng như hồ sơ KYC, lịch sử giao dịch.</w:t>
      </w:r>
    </w:p>
    <w:p>
      <w:pPr>
        <w:pStyle w:val="Normal"/>
        <w:spacing w:lineRule="auto" w:line="312" w:before="0" w:after="120"/>
        <w:ind w:firstLine="567"/>
        <w:jc w:val="both"/>
        <w:rPr/>
      </w:pPr>
      <w:r>
        <w:rPr>
          <w:rFonts w:eastAsia="Times New Roman" w:cs="Times New Roman"/>
          <w:color w:val="000000"/>
          <w:sz w:val="26"/>
        </w:rPr>
        <w:t>Thứ tư, cung cấp biểu mẫu, rà soát pháp lý và hỗ trợ chuẩn hóa Hồ sơ Đánh giá tác động xử lý dữ liệu cá nhân (bao gồm cả hồ sơ chuyển dữ liệu ra nước ngoài) để doanh nghiệp nộp cho cơ quan nhà nước, kèm theo quy trình hướng dẫn gửi thông báo khi xảy ra sự cố rò rỉ.</w:t>
      </w:r>
    </w:p>
    <w:p>
      <w:pPr>
        <w:pStyle w:val="Heading3"/>
        <w:keepNext w:val="true"/>
        <w:spacing w:before="120" w:after="100"/>
        <w:rPr/>
      </w:pPr>
      <w:r>
        <w:rPr>
          <w:rFonts w:eastAsia="Times New Roman" w:cs="Times New Roman" w:ascii="Times New Roman" w:hAnsi="Times New Roman"/>
          <w:b/>
          <w:color w:val="000000"/>
          <w:sz w:val="26"/>
        </w:rPr>
        <w:t>5.1.3. Phạm vi dịch vụ.</w:t>
      </w:r>
    </w:p>
    <w:p>
      <w:pPr>
        <w:pStyle w:val="Normal"/>
        <w:spacing w:lineRule="auto" w:line="312" w:before="0" w:after="120"/>
        <w:ind w:firstLine="567"/>
        <w:jc w:val="both"/>
        <w:rPr/>
      </w:pPr>
      <w:r>
        <w:rPr>
          <w:rFonts w:eastAsia="Times New Roman" w:cs="Times New Roman"/>
          <w:color w:val="000000"/>
          <w:sz w:val="26"/>
        </w:rPr>
        <w:t>Trọng tâm cốt lõi của dịch vụ là việc soạn thảo bản Chính sách bảo vệ dữ liệu cá nhân chuẩn chỉnh, minh bạch và đáp ứng tuyệt đối các yêu cầu của pháp luật. Song song với đó, đối với nền tảng giao diện người dùng, dịch vụ hỗ trợ trực tiếp làm việc với đội ngũ IT/Product để tư vấn tối ưu luồng hiển thị (UI/UX) trên ứng dụng. Việc tối ưu các bước hiển thị như pop-up, checkbox giúp cơ chế lấy sự đồng ý của khách hàng diễn ra hợp pháp, loại bỏ các giao diện gây hiểu lầm dẫn đến rủi ro thanh tra. Đồng thời, dịch vụ cung cấp hướng dẫn cách gửi thông báo hợp lệ cho người dùng khi chính sách có sự thay đổi hoặc khi xảy ra sự cố.</w:t>
      </w:r>
    </w:p>
    <w:p>
      <w:pPr>
        <w:pStyle w:val="Normal"/>
        <w:spacing w:lineRule="auto" w:line="312" w:before="0" w:after="120"/>
        <w:ind w:firstLine="567"/>
        <w:jc w:val="both"/>
        <w:rPr/>
      </w:pPr>
      <w:r>
        <w:rPr>
          <w:rFonts w:eastAsia="Times New Roman" w:cs="Times New Roman"/>
          <w:color w:val="000000"/>
          <w:sz w:val="26"/>
        </w:rPr>
        <w:t>Bên cạnh các chính sách hướng tới người dùng và các điều khoản ràng buộc pháp lý với đối tác thứ ba, dịch vụ còn thiết lập các quy chế bảo mật thông tin và cơ chế phân quyền truy cập dữ liệu nội bộ rõ ràng cho từng phòng ban. Việc này đảm bảo nguyên tắc chỉ những cá nhân có thẩm quyền mới được phép tiếp cận các đối tượng dữ liệu quan trọng của khách hàng như hồ sơ KYC, lịch sử giao dịch.</w:t>
      </w:r>
    </w:p>
    <w:p>
      <w:pPr>
        <w:pStyle w:val="Normal"/>
        <w:spacing w:lineRule="auto" w:line="312" w:before="0" w:after="120"/>
        <w:ind w:firstLine="567"/>
        <w:jc w:val="both"/>
        <w:rPr/>
      </w:pPr>
      <w:r>
        <w:rPr>
          <w:rFonts w:eastAsia="Times New Roman" w:cs="Times New Roman"/>
          <w:color w:val="000000"/>
          <w:sz w:val="26"/>
        </w:rPr>
        <w:t>Đặc biệt, đối với Hồ sơ Đánh giá tác động xử lý dữ liệu cá nhân (DPIA), bao gồm cả hồ sơ chuyển dữ liệu ra nước ngoài nếu sử dụng máy chủ quốc tế, dịch vụ chỉ đóng vai trò hỗ trợ pháp lý: cung cấp biểu mẫu chuẩn định, xây dựng các lập luận pháp lý, đồng thời hướng dẫn và chuẩn hóa các dữ liệu kỹ thuật do bộ phận IT của quý công ty cung cấp để tổng hợp thành một bộ hồ sơ hoàn chỉnh. Toàn bộ bản Chính sách bảo vệ dữ liệu, quy chế vận hành và bộ hồ sơ DPIA đều được xây dựng dựa trên sự tuân thủ nghiêm ngặt khuôn khổ của Luật Bảo vệ dữ liệu cá nhân số 91/2025/QH15 và Nghị định 356/2025/NĐ-CP, Luật An toàn thông tin mạng và các quy định bảo mật chuyên ngành của Ngân hàng Nhà nước, qua đó chuẩn bị sẵn sàng để quý công ty tự thực hiện thủ tục nộp lên Cục An ninh mạng và phòng, chống tội phạm sử dụng công nghệ cao (Bộ Công an) theo yêu cầu tại Khoản 4 Điều 24 Nghị định.</w:t>
      </w:r>
    </w:p>
    <w:p>
      <w:pPr>
        <w:pStyle w:val="Normal"/>
        <w:spacing w:lineRule="auto" w:line="312" w:before="0" w:after="120"/>
        <w:ind w:firstLine="567"/>
        <w:jc w:val="both"/>
        <w:rPr/>
      </w:pPr>
      <w:r>
        <w:rPr>
          <w:rFonts w:eastAsia="Times New Roman" w:cs="Times New Roman"/>
          <w:color w:val="000000"/>
          <w:sz w:val="26"/>
        </w:rPr>
        <w:t>Về thời điểm áp dụng, lộ trình cung cấp dịch vụ được xây dựng liên tục, trải dài từ khâu thẩm định hiện trạng, soạn thảo Chính sách bảo vệ dữ liệu cá nhân, đến việc tư vấn tối ưu luồng giao diện trên ứng dụng và kéo dài cho tới khi hoàn tất nghiệm thu, bàn giao bộ hồ sơ DPIA. Sau các mốc này, dịch vụ vẫn tiếp tục duy trì cơ chế tư vấn thường trực nhằm hướng dẫn quy trình thông báo khẩn cấp khi phát sinh sự cố rò rỉ thông tin trong suốt thời hạn hiệu lực của hợp đồng.</w:t>
      </w:r>
    </w:p>
    <w:p>
      <w:pPr>
        <w:pStyle w:val="Normal"/>
        <w:spacing w:lineRule="auto" w:line="312" w:before="0" w:after="120"/>
        <w:ind w:firstLine="567"/>
        <w:jc w:val="both"/>
        <w:rPr/>
      </w:pPr>
      <w:r>
        <w:rPr>
          <w:rFonts w:eastAsia="Times New Roman" w:cs="Times New Roman"/>
          <w:color w:val="000000"/>
          <w:sz w:val="26"/>
        </w:rPr>
        <w:t>Phạm vi dịch vụ không bao gồm việc đại diện doanh nghiệp trực tiếp nộp hồ sơ hay giải trình với Cục An ninh mạng và phòng, chống tội phạm sử dụng công nghệ cao (Bộ Công an). Dịch vụ cũng không đi vào thẩm định sâu vào kiến trúc cơ sở dữ liệu (backend) hay mã nguồn hệ thống; toàn bộ tư vấn sẽ được thực hiện dựa trên các mô tả kỹ thuật do quý công ty chủ động cung cấp. Cuối cùng, dịch vụ không bao gồm việc đại diện tham gia làm việc với Cơ quan điều tra nếu sự cố rò rỉ dữ liệu chuyển biến thành vụ án hình sự và không chịu trách nhiệm liên đới đối với các quyết định xử phạt vi phạm hành chính hay bồi thường thiệt hại nếu sự cố xuất phát từ việc công ty vận hành sai lệch, không tuân thủ đúng các khuyến nghị pháp lý đã được tư vấn.</w:t>
      </w:r>
    </w:p>
    <w:p>
      <w:pPr>
        <w:pStyle w:val="Heading3"/>
        <w:keepNext w:val="true"/>
        <w:spacing w:before="120" w:after="100"/>
        <w:rPr/>
      </w:pPr>
      <w:r>
        <w:rPr>
          <w:rFonts w:eastAsia="Times New Roman" w:cs="Times New Roman" w:ascii="Times New Roman" w:hAnsi="Times New Roman"/>
          <w:b/>
          <w:color w:val="000000"/>
          <w:sz w:val="26"/>
        </w:rPr>
        <w:t>5.1.4. Mục đích dịch vụ.</w:t>
      </w:r>
    </w:p>
    <w:p>
      <w:pPr>
        <w:pStyle w:val="Normal"/>
        <w:spacing w:lineRule="auto" w:line="312" w:before="0" w:after="120"/>
        <w:ind w:firstLine="567"/>
        <w:jc w:val="both"/>
        <w:rPr/>
      </w:pPr>
      <w:r>
        <w:rPr>
          <w:rFonts w:eastAsia="Times New Roman" w:cs="Times New Roman"/>
          <w:color w:val="000000"/>
          <w:sz w:val="26"/>
        </w:rPr>
        <w:t>Việc xây dựng một hệ thống chính sách chuẩn mực giúp doanh nghiệp của nhà đầu tư có thể chủ động kiểm soát và giảm thiểu tối đa các rủi ro pháp lý nghiêm trọng. Thiếu sót trong bảo vệ dữ liệu có thể dẫn đến hậu quả như bị phạt tiền nặng, đình chỉ hoạt động xử lý dữ liệu, thu hồi giấy phép hoạt động hoặc thậm chí truy cứu trách nhiệm hình sự theo Nghị định 13 khi xảy ra sự cố rò rỉ.</w:t>
      </w:r>
    </w:p>
    <w:p>
      <w:pPr>
        <w:pStyle w:val="Normal"/>
        <w:spacing w:lineRule="auto" w:line="312" w:before="0" w:after="120"/>
        <w:ind w:firstLine="567"/>
        <w:jc w:val="both"/>
        <w:rPr/>
      </w:pPr>
      <w:r>
        <w:rPr>
          <w:rFonts w:eastAsia="Times New Roman" w:cs="Times New Roman"/>
          <w:color w:val="000000"/>
          <w:sz w:val="26"/>
        </w:rPr>
        <w:t>Ở góc độ chiến lược kinh doanh, việc sở hữu quy trình bảo mật và khung pháp lý xử lý dữ liệu cá nhân chặt chẽ sẽ giải quyết bài toán hội nhập hạ tầng tài chính. Đây là điều kiện thiết yếu giúp doanh nghiệp dễ dàng vượt qua các vòng thẩm định kỹ thuật và pháp lý khi kết nối API sâu vào hệ thống Core Banking của các ngân hàng thương mại hay các đối tác cung cấp dịch vụ đám mây quốc tế. Đồng thời, sự minh bạch trong việc bảo vệ dữ liệu là minh chứng rõ nét nhất cho năng lực quản trị rủi ro chuyên nghiệp, tạo lợi thế đàm phán cực lớn để nâng cao định giá công ty khi có nhu cầu gọi vốn từ các quỹ đầu tư quốc tế.</w:t>
      </w:r>
    </w:p>
    <w:p>
      <w:pPr>
        <w:pStyle w:val="Heading2"/>
        <w:keepNext w:val="true"/>
        <w:spacing w:before="120" w:after="100"/>
        <w:rPr/>
      </w:pPr>
      <w:r>
        <w:rPr>
          <w:rFonts w:eastAsia="Times New Roman" w:cs="Times New Roman" w:ascii="Times New Roman" w:hAnsi="Times New Roman"/>
          <w:b/>
          <w:color w:val="000000"/>
          <w:sz w:val="26"/>
        </w:rPr>
        <w:t>5.2. Quy trình xử lý khiếu nại và tra soát (*).</w:t>
      </w:r>
    </w:p>
    <w:p>
      <w:pPr>
        <w:pStyle w:val="Heading3"/>
        <w:keepNext w:val="true"/>
        <w:spacing w:before="120" w:after="100"/>
        <w:rPr/>
      </w:pPr>
      <w:r>
        <w:rPr>
          <w:rFonts w:eastAsia="Times New Roman" w:cs="Times New Roman" w:ascii="Times New Roman" w:hAnsi="Times New Roman"/>
          <w:b/>
          <w:color w:val="000000"/>
          <w:sz w:val="26"/>
        </w:rPr>
        <w:t>5.2.1. Giới thiệu dịch vụ.</w:t>
      </w:r>
    </w:p>
    <w:p>
      <w:pPr>
        <w:pStyle w:val="Normal"/>
        <w:spacing w:lineRule="auto" w:line="312" w:before="0" w:after="120"/>
        <w:ind w:firstLine="567"/>
        <w:jc w:val="both"/>
        <w:rPr/>
      </w:pPr>
      <w:r>
        <w:rPr>
          <w:rFonts w:eastAsia="Times New Roman" w:cs="Times New Roman"/>
          <w:color w:val="000000"/>
          <w:sz w:val="26"/>
        </w:rPr>
        <w:t>Trong quá trình vận hành, doanh nghiệp không chỉ cần luật sư khi đã có tranh chấp, bị thanh tra, bị đối tác chậm thanh toán hoặc phát sinh khiếu nại lao động. Đây là dịch vụ tư vấn thường xuyên, đồng hành cùng công ty trong suốt quá trình tiếp nhận, xử lý khiếu nại và giải quyết các sự cố phát sinh của ví điện tử (e-wallet). Ví điện tử là sản phẩm trung gian thanh toán chịu sự quản lý chặt chẽ của Ngân hàng Nhà nước (NHNN) và nhiều quy định pháp luật liên ngành (bảo vệ quyền lợi người tiêu dùng, phòng chống rửa tiền, an ninh mạng...), nên đòi hỏi tư vấn có chuyên môn sâu và cập nhật liên tục, thay vì tư vấn một lần. Thay vì chỉ xử lý pháp lý theo từng vụ việc riêng lẻ, doanh nghiệp có thể có một đầu mối pháp lý đồng hành định kỳ, hiểu mô hình hoạt động, nắm hồ sơ, theo sát giao dịch và hỗ trợ ban lãnh đạo kiểm soát rủi ro trong quá trình kinh doanh.</w:t>
      </w:r>
    </w:p>
    <w:p>
      <w:pPr>
        <w:pStyle w:val="Heading3"/>
        <w:keepNext w:val="true"/>
        <w:spacing w:before="120" w:after="100"/>
        <w:rPr/>
      </w:pPr>
      <w:r>
        <w:rPr>
          <w:rFonts w:eastAsia="Times New Roman" w:cs="Times New Roman" w:ascii="Times New Roman" w:hAnsi="Times New Roman"/>
          <w:b/>
          <w:color w:val="000000"/>
          <w:sz w:val="26"/>
        </w:rPr>
        <w:t>5.2.2. Nội dung dịch vụ.</w:t>
      </w:r>
    </w:p>
    <w:p>
      <w:pPr>
        <w:pStyle w:val="Normal"/>
        <w:spacing w:lineRule="auto" w:line="312" w:before="0" w:after="120"/>
        <w:ind w:firstLine="567"/>
        <w:jc w:val="both"/>
        <w:rPr/>
      </w:pPr>
      <w:r>
        <w:rPr>
          <w:rFonts w:eastAsia="Times New Roman" w:cs="Times New Roman"/>
          <w:color w:val="000000"/>
          <w:sz w:val="26"/>
        </w:rPr>
        <w:t>Tầng 1: Tiếp nhận, Phân loại &amp; Xử lý Tuyến đầu Xây dựng Bộ Quy tắc Bán hàng &amp; Ứng xử để đóng gói kịch bản phản hồi cho bộ phận CSKH/Telesales, đảm bảo từng câu từ không phát sinh nghĩa vụ pháp lý ngoài ý muốn hoặc vi phạm quy định về quảng cáo dịch vụ tài chính. Đồng thời, thực hiện phân loại rủi ro lập tức thành Nhóm A (Lỗi hệ thống/Kỹ thuật: treo tiền, hạch toán trùng, không gạch nợ), Nhóm B (Tranh chấp Thương mại: người mua không nhận được hàng từ Merchant, khiếu nại dịch vụ bên thứ ba) và Nhóm C (Nghi vấn Gian lận/Tội phạm: nghi ngờ hack tài khoản, lừa đảo chuyển tiền, KYC giả). Thiết lập hệ thống thời gian phản hồi chuẩn hóa (Legal SLA) cam kết các mốc thời gian tiếp nhận và xử lý sự cố chuẩn pháp lý (ví dụ: phản hồi trong 24h, tra soát tối đa 30-45 ngày làm việc theo quy định NHNN).</w:t>
      </w:r>
    </w:p>
    <w:p>
      <w:pPr>
        <w:pStyle w:val="Normal"/>
        <w:spacing w:lineRule="auto" w:line="312" w:before="0" w:after="120"/>
        <w:ind w:firstLine="567"/>
        <w:jc w:val="both"/>
        <w:rPr/>
      </w:pPr>
      <w:r>
        <w:rPr>
          <w:rFonts w:eastAsia="Times New Roman" w:cs="Times New Roman"/>
          <w:color w:val="000000"/>
          <w:sz w:val="26"/>
        </w:rPr>
        <w:t>Tầng 2: Thẩm định &amp; Xử lý Chuyên sâu Thiết lập cơ chế phong tỏa và tạm dừng giao dịch, xây dựng quy trình vận hành chuẩn cho phép bộ phận Pháp chế/Rủi ro tạm khóa tài khoản hoặc phong tỏa số dư nghi vấn đúng căn cứ pháp lý để tránh bị người dùng kiện ngược về hành vi "chiếm dụng tài sản trái phép". Xây dựng quy trình phối hợp xử lý đa bên, bao gồm phối hợp với Ngân hàng liên kết và Trung tâm chuyển mạch để tra soát dòng tiền, cũng như phối hợp với Đơn vị chấp nhận thanh toán trong việc giữ lại tiền thanh toán khi có khiếu nại gian lận.</w:t>
      </w:r>
    </w:p>
    <w:p>
      <w:pPr>
        <w:pStyle w:val="Normal"/>
        <w:spacing w:lineRule="auto" w:line="312" w:before="0" w:after="120"/>
        <w:ind w:firstLine="567"/>
        <w:jc w:val="both"/>
        <w:rPr/>
      </w:pPr>
      <w:r>
        <w:rPr>
          <w:rFonts w:eastAsia="Times New Roman" w:cs="Times New Roman"/>
          <w:color w:val="000000"/>
          <w:sz w:val="26"/>
        </w:rPr>
        <w:t>Tầng 3: Xử lý Tranh chấp Bậc cao &amp; Đại diện Pháp lý Xây dựng quy trình báo cáo, giải trình chuyên nghiệp (Giải trình Pháp lý với cơ quan có thẩm quyền) khi người dùng nộp đơn khiếu nại lên Cục Cạnh tranh và Bảo vệ người tiêu dùng hoặc Thanh tra NHNN.</w:t>
      </w:r>
    </w:p>
    <w:p>
      <w:pPr>
        <w:pStyle w:val="Heading3"/>
        <w:keepNext w:val="true"/>
        <w:spacing w:before="120" w:after="100"/>
        <w:rPr/>
      </w:pPr>
      <w:r>
        <w:rPr>
          <w:rFonts w:eastAsia="Times New Roman" w:cs="Times New Roman" w:ascii="Times New Roman" w:hAnsi="Times New Roman"/>
          <w:b/>
          <w:color w:val="000000"/>
          <w:sz w:val="26"/>
        </w:rPr>
        <w:t>5.2.3. Phạm vi dịch vụ.</w:t>
      </w:r>
    </w:p>
    <w:p>
      <w:pPr>
        <w:pStyle w:val="Normal"/>
        <w:spacing w:lineRule="auto" w:line="312" w:before="0" w:after="120"/>
        <w:ind w:firstLine="567"/>
        <w:jc w:val="both"/>
        <w:rPr/>
      </w:pPr>
      <w:r>
        <w:rPr>
          <w:rFonts w:eastAsia="Times New Roman" w:cs="Times New Roman"/>
          <w:color w:val="000000"/>
          <w:sz w:val="26"/>
        </w:rPr>
        <w:t>Phạm vi dịch vụ bao gồm tiếp nhận, phân loại, theo dõi và phối hợp xử lý khiếu nại, tra soát liên quan đến giao dịch ví điện tử; không thay thế thẩm quyền giải quyết của cơ quan nhà nước, cơ quan tài phán hoặc nghĩa vụ kỹ thuật của đơn vị vận hành hệ thống.</w:t>
      </w:r>
    </w:p>
    <w:p>
      <w:pPr>
        <w:pStyle w:val="Heading3"/>
        <w:keepNext w:val="true"/>
        <w:spacing w:before="120" w:after="100"/>
        <w:rPr/>
      </w:pPr>
      <w:r>
        <w:rPr>
          <w:rFonts w:eastAsia="Times New Roman" w:cs="Times New Roman" w:ascii="Times New Roman" w:hAnsi="Times New Roman"/>
          <w:b/>
          <w:color w:val="000000"/>
          <w:sz w:val="26"/>
        </w:rPr>
        <w:t>5.2.4. Mục đích dịch vụ.</w:t>
      </w:r>
    </w:p>
    <w:p>
      <w:pPr>
        <w:pStyle w:val="Normal"/>
        <w:spacing w:lineRule="auto" w:line="312" w:before="0" w:after="120"/>
        <w:ind w:firstLine="567"/>
        <w:jc w:val="both"/>
        <w:rPr/>
      </w:pPr>
      <w:r>
        <w:rPr>
          <w:rFonts w:eastAsia="Times New Roman" w:cs="Times New Roman"/>
          <w:color w:val="000000"/>
          <w:sz w:val="26"/>
        </w:rPr>
        <w:t>Dịch vụ giúp doanh nghiệp tránh rủi ro bị xử phạt hành chính hoặc bị kiện tụng kéo dài do xử lý khiếu nại sai quy trình hoặc vi phạm thời hạn luật định. Việc chậm trễ giải quyết tra soát hoặc tự ý phong tỏa tài sản khách hàng không đúng căn cứ có thể dẫn đến việc doanh nghiệp bị khiếu kiện, xử phạt theo quy định pháp luật về bảo vệ quyền lợi người tiêu dùng và hoạt động trung gian thanh toán; việc được tư vấn chuẩn hóa quy trình giúp doanh nghiệp ứng phó minh bạch, đúng luật.</w:t>
      </w:r>
    </w:p>
    <w:p>
      <w:pPr>
        <w:pStyle w:val="Normal"/>
        <w:spacing w:lineRule="auto" w:line="312" w:before="0" w:after="120"/>
        <w:ind w:firstLine="567"/>
        <w:jc w:val="both"/>
        <w:rPr/>
      </w:pPr>
      <w:r>
        <w:rPr>
          <w:rFonts w:eastAsia="Times New Roman" w:cs="Times New Roman"/>
          <w:color w:val="000000"/>
          <w:sz w:val="26"/>
        </w:rPr>
        <w:t>Giảm thời gian xử lý sự cố và khủng hoảng truyền thông nhờ chúng tôi cung cấp sẵn bộ playbook biểu mẫu chuẩn hóa và kịch bản ứng phó chi tiết. Điều này đặc biệt có ý nghĩa khi xảy ra sự cố kỹ thuật diện rộng hoặc rò rỉ dữ liệu đòi hỏi phải phản ứng nhanh trong vòng 24 đến 72 giờ, giúp ngăn chặn sự cố leo thang gây tổn hại nghiêm trọng đến uy tín thương hiệu và giá trị định giá với nhà đầu tư.</w:t>
      </w:r>
    </w:p>
    <w:p>
      <w:pPr>
        <w:pStyle w:val="Normal"/>
        <w:spacing w:lineRule="auto" w:line="312" w:before="0" w:after="120"/>
        <w:ind w:firstLine="567"/>
        <w:jc w:val="both"/>
        <w:rPr/>
      </w:pPr>
      <w:r>
        <w:rPr>
          <w:rFonts w:eastAsia="Times New Roman" w:cs="Times New Roman"/>
          <w:color w:val="000000"/>
          <w:sz w:val="26"/>
        </w:rPr>
        <w:t>Kiểm soát rủi ro pháp lý liên quan đến tội phạm tài chính, rửa tiền và tuân thủ dữ liệu cá nhân - những vấn đề cốt lõi quyết định sự sống còn của một dự án fintech. Việc tư vấn thường xuyên giúp doanh nghiệp thiết lập chặt chẽ quy trình phối hợp với cơ quan công an (A05/C05) và tuân thủ nghiêm ngặt Luật Bảo vệ dữ liệu cá nhân số 91/2025/QH15 và Nghị định 356/2025/NĐ-CP về bảo vệ dữ liệu, tránh rơi vào các khoản phạt khổng lồ hoặc bị đình chỉ hoạt động do lộ thông tin người dùng.</w:t>
      </w:r>
    </w:p>
    <w:p>
      <w:pPr>
        <w:pStyle w:val="Normal"/>
        <w:spacing w:lineRule="auto" w:line="312" w:before="0" w:after="120"/>
        <w:ind w:firstLine="567"/>
        <w:jc w:val="both"/>
        <w:rPr/>
      </w:pPr>
      <w:r>
        <w:rPr>
          <w:rFonts w:eastAsia="Times New Roman" w:cs="Times New Roman"/>
          <w:color w:val="000000"/>
          <w:sz w:val="26"/>
        </w:rPr>
        <w:t>Hỗ trợ đội ngũ pháp chế/tuân thủ nội bộ của doanh nghiệp vốn thường có nguồn lực mỏng, xử lý khối lượng công việc tranh chấp lớn khi lượng người dùng tăng trưởng nhanh. Với tính chất của một mô hình kinh doanh công nghệ có tần suất phát sinh sự cố vận hành cao, doanh nghiệp thường khó bố trí đủ nhân sự pháp lý chuyên sâu để xử lý đồng thời các vấn đề về khiếu nại, kỹ thuật và hình sự; chúng tôi đóng vai trò như bộ phận pháp chế mở rộng, giúp san sẻ áp lực này.</w:t>
      </w:r>
    </w:p>
    <w:p>
      <w:pPr>
        <w:pStyle w:val="Normal"/>
        <w:spacing w:lineRule="auto" w:line="312" w:before="0" w:after="120"/>
        <w:ind w:firstLine="567"/>
        <w:jc w:val="both"/>
        <w:rPr/>
      </w:pPr>
      <w:r>
        <w:rPr>
          <w:rFonts w:eastAsia="Times New Roman" w:cs="Times New Roman"/>
          <w:color w:val="000000"/>
          <w:sz w:val="26"/>
        </w:rPr>
        <w:t>Tạo niềm tin tuyệt đối với nhà đầu tư và cơ quan quản lý (NHNN, Bộ Công an), nhờ hệ thống quản trị rủi ro vận hành được thiết kế bài bản, chuyên nghiệp và có năng lực ứng phó khủng hoảng thực chiến. Một doanh nghiệp sở hữu khung quy trình 3 tầng và bộ playbook tình huống hoàn chỉnh sẽ chứng minh được năng lực kiểm soát rủi ro vững chắc, giúp nhà đầu tư hoàn toàn yên tâm rót vốn và đồng hành dài hạn.</w:t>
      </w:r>
    </w:p>
    <w:p>
      <w:pPr>
        <w:pStyle w:val="Heading2"/>
        <w:keepNext w:val="true"/>
        <w:spacing w:before="120" w:after="100"/>
        <w:rPr/>
      </w:pPr>
      <w:r>
        <w:rPr>
          <w:rFonts w:eastAsia="Times New Roman" w:cs="Times New Roman" w:ascii="Times New Roman" w:hAnsi="Times New Roman"/>
          <w:b/>
          <w:color w:val="000000"/>
          <w:sz w:val="26"/>
        </w:rPr>
        <w:t>5.3. Dịch vụ cập nhật pháp lý định kỳ.</w:t>
      </w:r>
    </w:p>
    <w:p>
      <w:pPr>
        <w:pStyle w:val="Heading3"/>
        <w:keepNext w:val="true"/>
        <w:spacing w:before="120" w:after="100"/>
        <w:rPr/>
      </w:pPr>
      <w:r>
        <w:rPr>
          <w:rFonts w:eastAsia="Times New Roman" w:cs="Times New Roman" w:ascii="Times New Roman" w:hAnsi="Times New Roman"/>
          <w:b/>
          <w:color w:val="000000"/>
          <w:sz w:val="26"/>
        </w:rPr>
        <w:t>5.3.1. Giới thiệu dịch vụ.</w:t>
      </w:r>
    </w:p>
    <w:p>
      <w:pPr>
        <w:pStyle w:val="Normal"/>
        <w:spacing w:lineRule="auto" w:line="312" w:before="0" w:after="120"/>
        <w:ind w:firstLine="567"/>
        <w:jc w:val="both"/>
        <w:rPr/>
      </w:pPr>
      <w:r>
        <w:rPr>
          <w:rFonts w:eastAsia="Times New Roman" w:cs="Times New Roman"/>
          <w:color w:val="000000"/>
          <w:sz w:val="26"/>
        </w:rPr>
        <w:t>Lĩnh vực Fintech nói chung và dịch vụ ví điện tử nói riêng chịu sự điều chỉnh của hệ thống pháp luật vô cùng phức tạp và liên tục biến động. Các quy định về trung gian thanh toán, phòng chống rửa tiền, an toàn - bảo mật hệ thống công nghệ thông tin, định danh khách hàng điện tử (eKYC) cũng như bảo vệ dữ liệu cá nhân thường xuyên được Ngân hàng Nhà nước và các cơ quan quản lý ban hành mới, sửa đổi hoặc bổ sung. Trong bối cảnh đó, nếu doanh nghiệp chỉ tiếp cận tư vấn pháp lý theo từng vụ việc phát sinh, nguy cơ đối mặt với các rủi ro tuân thủ là rất lớn do cập nhật không kịp thời hoặc áp dụng sai quy định. Dịch vụ tư vấn thường xuyên thuộc nhánh cập nhật pháp lý định kỳ được thiết kế như một giải pháp cảnh báo sớm và chủ động, đồng hành cùng doanh nghiệp trong việc theo dõi, phân tích và thích ứng với những thay đổi chính sách, bảo đảm mọi hoạt động vận hành của ví điện tử luôn duy trì trạng thái tuân thủ pháp luật liên tục và an toàn.</w:t>
      </w:r>
    </w:p>
    <w:p>
      <w:pPr>
        <w:pStyle w:val="Heading3"/>
        <w:keepNext w:val="true"/>
        <w:spacing w:before="120" w:after="100"/>
        <w:rPr/>
      </w:pPr>
      <w:r>
        <w:rPr>
          <w:rFonts w:eastAsia="Times New Roman" w:cs="Times New Roman" w:ascii="Times New Roman" w:hAnsi="Times New Roman"/>
          <w:b/>
          <w:color w:val="000000"/>
          <w:sz w:val="26"/>
        </w:rPr>
        <w:t>5.3.2. Nội dung dịch vụ.</w:t>
      </w:r>
    </w:p>
    <w:p>
      <w:pPr>
        <w:pStyle w:val="Normal"/>
        <w:spacing w:lineRule="auto" w:line="312" w:before="0" w:after="120"/>
        <w:ind w:firstLine="567"/>
        <w:jc w:val="both"/>
        <w:rPr/>
      </w:pPr>
      <w:r>
        <w:rPr>
          <w:rFonts w:eastAsia="Times New Roman" w:cs="Times New Roman"/>
          <w:color w:val="000000"/>
          <w:sz w:val="26"/>
        </w:rPr>
        <w:t>Nội dung dịch vụ được triển khai thông qua quy trình bốn bước chuyên sâu nhằm bảo đảm tính kịp thời và chính xác trong suốt thời gian hợp đồng:</w:t>
      </w:r>
    </w:p>
    <w:p>
      <w:pPr>
        <w:pStyle w:val="Normal"/>
        <w:spacing w:lineRule="auto" w:line="312" w:before="0" w:after="120"/>
        <w:ind w:firstLine="567"/>
        <w:jc w:val="both"/>
        <w:rPr/>
      </w:pPr>
      <w:r>
        <w:rPr>
          <w:rFonts w:eastAsia="Times New Roman" w:cs="Times New Roman"/>
          <w:color w:val="000000"/>
          <w:sz w:val="26"/>
        </w:rPr>
        <w:t>Thứ nhất, chúng tôi thực hiện theo dõi và thu thập định kỳ toàn bộ các văn bản quy phạm pháp luật, văn bản chỉ đạo, dự thảo chính sách mới ban hành từ Ngân hàng Nhà nước Việt Nam, Bộ Thông tin và Truyền thông, Bộ Công an và các cơ quan có thẩm quyền liên quan trực tiếp đến hoạt động cung ứng dịch vụ trung gian thanh toán, ngân hàng số và giao dịch điện tử.</w:t>
      </w:r>
    </w:p>
    <w:p>
      <w:pPr>
        <w:pStyle w:val="Normal"/>
        <w:spacing w:lineRule="auto" w:line="312" w:before="0" w:after="120"/>
        <w:ind w:firstLine="567"/>
        <w:jc w:val="both"/>
        <w:rPr/>
      </w:pPr>
      <w:r>
        <w:rPr>
          <w:rFonts w:eastAsia="Times New Roman" w:cs="Times New Roman"/>
          <w:color w:val="000000"/>
          <w:sz w:val="26"/>
        </w:rPr>
        <w:t>Thứ hai, chúng tôi tiến hành phân tích chuyên sâu nội dung thay đổi của văn bản luật, đối chiếu trực tiếp với mô hình vận hành, các tính năng sản phẩm và quy trình nghiệp vụ hiện tại của doanh nghiệp. Qua đó, chúng tôi xác định cụ thể các mốc thời hạn áp dụng, nghĩa vụ pháp lý mới phát sinh, các điểm chưa tuân thủ hoặc nguy cơ rủi ro mà doanh nghiệp có thể gặp phải nếu không điều chỉnh kịp thời.</w:t>
      </w:r>
    </w:p>
    <w:p>
      <w:pPr>
        <w:pStyle w:val="Normal"/>
        <w:spacing w:lineRule="auto" w:line="312" w:before="0" w:after="120"/>
        <w:ind w:firstLine="567"/>
        <w:jc w:val="both"/>
        <w:rPr/>
      </w:pPr>
      <w:r>
        <w:rPr>
          <w:rFonts w:eastAsia="Times New Roman" w:cs="Times New Roman"/>
          <w:color w:val="000000"/>
          <w:sz w:val="26"/>
        </w:rPr>
        <w:t>Thứ ba, sau bước phân tích, chúng tôi tổng hợp thông tin để xây dựng và gửi cho doanh nghiệp Báo cáo cập nhật pháp lý định kỳ (theo tháng hoặc quý). Báo cáo này không chỉ tóm tắt các điểm mới của văn bản luật mà còn đi kèm các khuyến nghị hành động chi tiết, giúp Ban Điều hành và bộ phận pháp chế nội bộ dễ dàng nắm bắt bản chất vấn đề và chủ động đề ra kế hoạch điều chỉnh phù hợp.</w:t>
      </w:r>
    </w:p>
    <w:p>
      <w:pPr>
        <w:pStyle w:val="Normal"/>
        <w:spacing w:lineRule="auto" w:line="312" w:before="0" w:after="120"/>
        <w:ind w:firstLine="567"/>
        <w:jc w:val="both"/>
        <w:rPr/>
      </w:pPr>
      <w:r>
        <w:rPr>
          <w:rFonts w:eastAsia="Times New Roman" w:cs="Times New Roman"/>
          <w:color w:val="000000"/>
          <w:sz w:val="26"/>
        </w:rPr>
        <w:t>Thứ tư, chúng tôi phối hợp tổ chức các buổi tham vấn trực tiếp hoặc tập huấn nội bộ cho đội ngũ quản lý và các phòng ban liên quan (kỹ thuật, vận hành, kiểm soát rủi ro). Tại các buổi trao đổi này, chúng tôi giải đáp trực tiếp các vướng mắc phát sinh trong quá trình triển khai quy định mới, đồng thời hỗ trợ rà soát và chỉnh sửa các quy chế, quy trình nội bộ nhằm đảm bảo sự tương thích hoàn toàn với hành lang pháp lý hiện hành.</w:t>
      </w:r>
    </w:p>
    <w:p>
      <w:pPr>
        <w:pStyle w:val="Heading3"/>
        <w:keepNext w:val="true"/>
        <w:spacing w:before="120" w:after="100"/>
        <w:rPr/>
      </w:pPr>
      <w:r>
        <w:rPr>
          <w:rFonts w:eastAsia="Times New Roman" w:cs="Times New Roman" w:ascii="Times New Roman" w:hAnsi="Times New Roman"/>
          <w:b/>
          <w:color w:val="000000"/>
          <w:sz w:val="26"/>
        </w:rPr>
        <w:t>5.3.3. Phạm vi dịch vụ.</w:t>
      </w:r>
    </w:p>
    <w:p>
      <w:pPr>
        <w:pStyle w:val="Normal"/>
        <w:spacing w:lineRule="auto" w:line="312" w:before="0" w:after="120"/>
        <w:ind w:firstLine="567"/>
        <w:jc w:val="both"/>
        <w:rPr/>
      </w:pPr>
      <w:r>
        <w:rPr>
          <w:rFonts w:eastAsia="Times New Roman" w:cs="Times New Roman"/>
          <w:color w:val="000000"/>
          <w:sz w:val="26"/>
        </w:rPr>
        <w:t>Phạm vi của nhánh tư vấn cập nhật pháp lý định kỳ tập trung vào các lĩnh vực pháp luật chuyên ngành ảnh hưởng trực tiếp đến sự tồn tại và phát triển của doanh nghiệp ví điện tử. Lĩnh vực rà soát bao gồm pháp luật về trung gian thanh toán (như Nghị định 52/2024/NĐ-CP và các Thông tư hướng dẫn), pháp luật về phòng chống rửa tiền và tài trợ khủng bố, an toàn an ninh mạng, giao dịch điện tử, chữ ký số, cũng như các quy định về bảo vệ dữ liệu cá nhân và người tiêu dùng.</w:t>
      </w:r>
    </w:p>
    <w:p>
      <w:pPr>
        <w:pStyle w:val="Normal"/>
        <w:spacing w:lineRule="auto" w:line="312" w:before="0" w:after="120"/>
        <w:ind w:firstLine="567"/>
        <w:jc w:val="both"/>
        <w:rPr/>
      </w:pPr>
      <w:r>
        <w:rPr>
          <w:rFonts w:eastAsia="Times New Roman" w:cs="Times New Roman"/>
          <w:color w:val="000000"/>
          <w:sz w:val="26"/>
        </w:rPr>
        <w:t>Về thời gian và tần suất cung cấp, dịch vụ được duy trì liên tục trong suốt thời hạn hiệu lực của hợp đồng tư vấn thường xuyên. Báo cáo đánh giá và bản tin pháp lý sẽ được chuyển giao định kỳ theo kế hoạch đã thỏa thuận (hàng tháng hoặc hàng quý). Đáng chú ý, trong trường hợp cơ quan nhà nước ban hành các quy định khẩn cấp hoặc văn bản quy phạm pháp luật có tác động lớn, thay đổi đột ngột đến mô hình kinh doanh ví điện tử, chúng tôi sẽ phát hành Bản cảnh báo pháp lý đột xuất để doanh nghiệp kịp thời ứng phó.</w:t>
      </w:r>
    </w:p>
    <w:p>
      <w:pPr>
        <w:pStyle w:val="Normal"/>
        <w:spacing w:lineRule="auto" w:line="312" w:before="0" w:after="120"/>
        <w:ind w:firstLine="567"/>
        <w:jc w:val="both"/>
        <w:rPr/>
      </w:pPr>
      <w:r>
        <w:rPr>
          <w:rFonts w:eastAsia="Times New Roman" w:cs="Times New Roman"/>
          <w:color w:val="000000"/>
          <w:sz w:val="26"/>
        </w:rPr>
        <w:t>Tuy nhiên, phạm vi dịch vụ có giới hạn rõ ràng nhằm bảo đảm hiệu quả công việc. Dịch vụ không bao gồm việc đại diện doanh nghiệp tham gia tố tụng, giải quyết tranh chấp tại Tòa án hay Trọng tài, không bao gồm thực hiện các thủ tục hành chính xin cấp mới hoặc sửa đổi Giấy phép trung gian thanh toán, và không thay thế công việc kiểm toán kỹ thuật, kiểm toán an toàn thông tin hạ tầng công nghệ của các đơn vị độc lập, trừ khi các nội dung này được hai bên thỏa thuận bổ sung bằng hợp đồng dịch vụ riêng biệt.</w:t>
      </w:r>
    </w:p>
    <w:p>
      <w:pPr>
        <w:pStyle w:val="Heading3"/>
        <w:keepNext w:val="true"/>
        <w:spacing w:before="120" w:after="100"/>
        <w:rPr/>
      </w:pPr>
      <w:r>
        <w:rPr>
          <w:rFonts w:eastAsia="Times New Roman" w:cs="Times New Roman" w:ascii="Times New Roman" w:hAnsi="Times New Roman"/>
          <w:b/>
          <w:color w:val="000000"/>
          <w:sz w:val="26"/>
        </w:rPr>
        <w:t>5.3.4. Mục đích dịch vụ.</w:t>
      </w:r>
    </w:p>
    <w:p>
      <w:pPr>
        <w:pStyle w:val="Normal"/>
        <w:spacing w:lineRule="auto" w:line="312" w:before="0" w:after="120"/>
        <w:ind w:firstLine="567"/>
        <w:jc w:val="both"/>
        <w:rPr/>
      </w:pPr>
      <w:r>
        <w:rPr>
          <w:rFonts w:eastAsia="Times New Roman" w:cs="Times New Roman"/>
          <w:color w:val="000000"/>
          <w:sz w:val="26"/>
        </w:rPr>
        <w:t>Dịch vụ tư vấn cập nhật pháp lý định kỳ mang lại giá trị cốt lõi trong việc giúp doanh nghiệp triệt tiêu nguy cơ vi phạm pháp luật do thiếu hụt thông tin hoặc hiểu sai quy định chuyên ngành. Nhờ việc phát hiện sớm các điểm không tương thích, doanh nghiệp chủ động loại bỏ rủi ro bị xử phạt hành chính, bị tạm đình chỉ dịch vụ hoặc nghiêm trọng hơn là bị thu hồi Giấy phép hoạt động cung ứng dịch vụ trung gian thanh toán.</w:t>
      </w:r>
    </w:p>
    <w:p>
      <w:pPr>
        <w:pStyle w:val="Normal"/>
        <w:spacing w:lineRule="auto" w:line="312" w:before="0" w:after="120"/>
        <w:ind w:firstLine="567"/>
        <w:jc w:val="both"/>
        <w:rPr/>
      </w:pPr>
      <w:r>
        <w:rPr>
          <w:rFonts w:eastAsia="Times New Roman" w:cs="Times New Roman"/>
          <w:color w:val="000000"/>
          <w:sz w:val="26"/>
        </w:rPr>
        <w:t>Bên cạnh đó, dịch vụ giúp doanh nghiệp tối ưu hóa chi phí tuân thủ và tiết kiệm thời gian vận hành. Việc nắm bắt trước các xu hướng thay đổi chính sách từ giai đoạn dự thảo giúp Ban Điều hành có đủ thời gian chuẩn bị về hạ tầng kỹ thuật, tài chính và nhân sự, tránh tình trạng bị động hay phải tạm ngừng cung ứng dịch vụ để nâng cấp hệ thống khi văn bản pháp luật chính thức có hiệu lực.</w:t>
      </w:r>
    </w:p>
    <w:p>
      <w:pPr>
        <w:pStyle w:val="Normal"/>
        <w:spacing w:lineRule="auto" w:line="312" w:before="0" w:after="120"/>
        <w:ind w:firstLine="567"/>
        <w:jc w:val="both"/>
        <w:rPr/>
      </w:pPr>
      <w:r>
        <w:rPr>
          <w:rFonts w:eastAsia="Times New Roman" w:cs="Times New Roman"/>
          <w:color w:val="000000"/>
          <w:sz w:val="26"/>
        </w:rPr>
        <w:t>Cuối cùng, việc duy trì một cơ chế cập nhật pháp lý thường xuyên và bài bản góp phần củng cố năng lực cho đội ngũ pháp chế nội bộ vốn thường mỏng về nhân sự chuyên sâu trong lĩnh vực Fintech. Đồng thời, hình ảnh một doanh nghiệp luôn tuân thủ chuẩn mực và cập nhật kịp thời quy định pháp luật sẽ nâng cao uy tín, tạo niềm tin vững chắc đối với Ngân hàng Nhà nước, các ngân hàng hợp tác liên kết và đông đảo người sử dụng dịch vụ ví điện tử.</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6. TƯ VẤN XỬ LÝ CÁC VẤN ĐỀ PHÁT SINH.</w:t>
      </w:r>
    </w:p>
    <w:p>
      <w:pPr>
        <w:pStyle w:val="Normal"/>
        <w:spacing w:lineRule="auto" w:line="312" w:before="0" w:after="120"/>
        <w:ind w:firstLine="567"/>
        <w:jc w:val="both"/>
        <w:rPr/>
      </w:pPr>
      <w:r>
        <w:rPr>
          <w:rFonts w:eastAsia="Times New Roman" w:cs="Times New Roman"/>
          <w:color w:val="000000"/>
          <w:sz w:val="26"/>
        </w:rPr>
        <w:t>Các văn bản/hồ sơ xử lý tùy tình huống cụ thể</w:t>
      </w:r>
    </w:p>
    <w:p>
      <w:pPr>
        <w:pStyle w:val="Heading2"/>
        <w:keepNext w:val="true"/>
        <w:spacing w:before="120" w:after="100"/>
        <w:rPr/>
      </w:pPr>
      <w:r>
        <w:rPr>
          <w:rFonts w:eastAsia="Times New Roman" w:cs="Times New Roman" w:ascii="Times New Roman" w:hAnsi="Times New Roman"/>
          <w:b/>
          <w:color w:val="000000"/>
          <w:sz w:val="26"/>
        </w:rPr>
        <w:t>6.1. Giới thiệu dịch vụ.</w:t>
      </w:r>
    </w:p>
    <w:p>
      <w:pPr>
        <w:pStyle w:val="Normal"/>
        <w:spacing w:lineRule="auto" w:line="312" w:before="0" w:after="120"/>
        <w:ind w:firstLine="567"/>
        <w:jc w:val="both"/>
        <w:rPr/>
      </w:pPr>
      <w:r>
        <w:rPr>
          <w:rFonts w:eastAsia="Times New Roman" w:cs="Times New Roman"/>
          <w:color w:val="000000"/>
          <w:sz w:val="26"/>
        </w:rPr>
        <w:t>Trong quá trình vận hành, doanh nghiệp không chỉ cần luật sư khi đã có tranh chấp, bị thanh tra, bị đối tác chậm thanh toán hoặc phát sinh khiếu nại lao động. Đây là dịch vụ đồng hành cùng công ty trong suốt quá trình xây dựng, hoàn thiện và sử dụng các biểu mẫu, văn bản pháp lý để xử lý các sự cố phát sinh của ví điện tử (e-wallet). Doanh nghiệp có thể có một đầu mối pháp lý đồng hành định kỳ, hiểu mô hình hoạt động, nắm hồ sơ, theo sát giao dịch và hỗ trợ ban lãnh đạo kiểm soát rủi ro trong quá trình kinh doanh.</w:t>
      </w:r>
    </w:p>
    <w:p>
      <w:pPr>
        <w:pStyle w:val="Heading2"/>
        <w:keepNext w:val="true"/>
        <w:spacing w:before="120" w:after="100"/>
        <w:rPr/>
      </w:pPr>
      <w:r>
        <w:rPr>
          <w:rFonts w:eastAsia="Times New Roman" w:cs="Times New Roman" w:ascii="Times New Roman" w:hAnsi="Times New Roman"/>
          <w:b/>
          <w:color w:val="000000"/>
          <w:sz w:val="26"/>
        </w:rPr>
        <w:t>6.2. Nội dung dịch vụ.</w:t>
      </w:r>
    </w:p>
    <w:p>
      <w:pPr>
        <w:pStyle w:val="Normal"/>
        <w:spacing w:lineRule="auto" w:line="312" w:before="0" w:after="120"/>
        <w:ind w:firstLine="567"/>
        <w:jc w:val="both"/>
        <w:rPr/>
      </w:pPr>
      <w:r>
        <w:rPr>
          <w:rFonts w:eastAsia="Times New Roman" w:cs="Times New Roman"/>
          <w:color w:val="000000"/>
          <w:sz w:val="26"/>
        </w:rPr>
        <w:t>Thứ nhất, nhóm Hồ sơ Xử lý Lừa đảo, Tội phạm Tài chính &amp; Rửa tiền.</w:t>
      </w:r>
    </w:p>
    <w:p>
      <w:pPr>
        <w:pStyle w:val="Normal"/>
        <w:spacing w:lineRule="auto" w:line="312" w:before="0" w:after="120"/>
        <w:ind w:hanging="0" w:start="0"/>
        <w:jc w:val="both"/>
        <w:rPr/>
      </w:pPr>
      <w:r>
        <w:rPr>
          <w:rFonts w:eastAsia="Times New Roman" w:cs="Times New Roman"/>
          <w:color w:val="000000"/>
          <w:sz w:val="26"/>
        </w:rPr>
        <w:t>- Văn bản Thông báo Tạm dừng/Đơn phương Tạm khóa Dịch vụ: Dùng để căn cứ đúng Nghị định 52/2024/NĐ-CP và Điều khoản dịch vụ nhằm tiến hành dừng hoặc khóa tạm thời dịch vụ của khách hàng khi cần thiết.</w:t>
      </w:r>
    </w:p>
    <w:p>
      <w:pPr>
        <w:pStyle w:val="Normal"/>
        <w:spacing w:lineRule="auto" w:line="312" w:before="0" w:after="120"/>
        <w:ind w:hanging="0" w:start="0"/>
        <w:jc w:val="both"/>
        <w:rPr/>
      </w:pPr>
      <w:r>
        <w:rPr>
          <w:rFonts w:eastAsia="Times New Roman" w:cs="Times New Roman"/>
          <w:color w:val="000000"/>
          <w:sz w:val="26"/>
        </w:rPr>
        <w:t>-  Công văn Yêu cầu Cung cấp Thông tin/Giải trình KYC: Dùng để gửi tới khách hàng có các giao dịch bất thường nhằm phục vụ cho công tác phòng, chống rửa tiền.</w:t>
      </w:r>
    </w:p>
    <w:p>
      <w:pPr>
        <w:pStyle w:val="Normal"/>
        <w:spacing w:lineRule="auto" w:line="312" w:before="0" w:after="120"/>
        <w:ind w:hanging="0" w:start="0"/>
        <w:jc w:val="both"/>
        <w:rPr/>
      </w:pPr>
      <w:r>
        <w:rPr>
          <w:rFonts w:eastAsia="Times New Roman" w:cs="Times New Roman"/>
          <w:color w:val="000000"/>
          <w:sz w:val="26"/>
        </w:rPr>
        <w:t>- Hồ sơ Chuyển giao Thông tin &amp; Báo cáo Tội phạm: Dùng làm văn bản báo cáo các nghi vấn hành vi vi phạm pháp luật để gửi cho Cục An ninh mạng và phòng chống tội phạm sử dụng công nghệ cao (A05/C05) hoặc gửi Công an cấp Tỉnh/Thành phố.</w:t>
      </w:r>
    </w:p>
    <w:p>
      <w:pPr>
        <w:pStyle w:val="Normal"/>
        <w:spacing w:lineRule="auto" w:line="312" w:before="0" w:after="120"/>
        <w:ind w:hanging="0" w:start="0"/>
        <w:jc w:val="both"/>
        <w:rPr/>
      </w:pPr>
      <w:r>
        <w:rPr>
          <w:rFonts w:eastAsia="Times New Roman" w:cs="Times New Roman"/>
          <w:color w:val="000000"/>
          <w:sz w:val="26"/>
        </w:rPr>
        <w:t>- Hồ sơ Xử lý Lệnh Phong tỏa Khẩn cấp từ Cơ quan Điều tra: Dùng để thực hiện quy trình tiếp nhận, xác minh tính hợp pháp của Lệnh phong tỏa nhận được từ Công an hoặc Tòa án, đồng thời làm văn bản phản hồi kết quả thực hiện.</w:t>
      </w:r>
    </w:p>
    <w:p>
      <w:pPr>
        <w:pStyle w:val="Normal"/>
        <w:spacing w:lineRule="auto" w:line="312" w:before="0" w:after="120"/>
        <w:ind w:hanging="0" w:start="0"/>
        <w:jc w:val="both"/>
        <w:rPr/>
      </w:pPr>
      <w:r>
        <w:rPr>
          <w:rFonts w:eastAsia="Times New Roman" w:cs="Times New Roman"/>
          <w:color w:val="000000"/>
          <w:sz w:val="26"/>
        </w:rPr>
        <w:t>- Thứ hai, nhóm Hồ sơ Xử lý Sự cố Kỹ thuật &amp; Tranh chấp Tài chính.</w:t>
      </w:r>
    </w:p>
    <w:p>
      <w:pPr>
        <w:pStyle w:val="Normal"/>
        <w:spacing w:lineRule="auto" w:line="312" w:before="0" w:after="120"/>
        <w:ind w:hanging="0" w:start="0"/>
        <w:jc w:val="both"/>
        <w:rPr/>
      </w:pPr>
      <w:r>
        <w:rPr>
          <w:rFonts w:eastAsia="Times New Roman" w:cs="Times New Roman"/>
          <w:color w:val="000000"/>
          <w:sz w:val="26"/>
        </w:rPr>
        <w:t>- Văn bản Thỏa thuận Miễn trừ Trách nhiệm &amp; Bồi thường: Sử dụng khi xảy ra sự cố sập hệ thống ảnh hưởng đến hàng loạt người dùng, giúp khoanh vùng nghĩa vụ bồi thường và chấm dứt tranh chấp.</w:t>
      </w:r>
    </w:p>
    <w:p>
      <w:pPr>
        <w:pStyle w:val="Normal"/>
        <w:spacing w:lineRule="auto" w:line="312" w:before="0" w:after="120"/>
        <w:ind w:hanging="0" w:start="0"/>
        <w:jc w:val="both"/>
        <w:rPr/>
      </w:pPr>
      <w:r>
        <w:rPr>
          <w:rFonts w:eastAsia="Times New Roman" w:cs="Times New Roman"/>
          <w:color w:val="000000"/>
          <w:sz w:val="26"/>
        </w:rPr>
        <w:t>- Hồ sơ Truy thu &amp; Tra soát Tài chính: Bộ văn bản gửi Ngân hàng liên kết, Napas hoặc Merchant để hoàn trả tiền do lỗi hạch toán trùng hoặc chuyển tiền nhầm.</w:t>
      </w:r>
    </w:p>
    <w:p>
      <w:pPr>
        <w:pStyle w:val="Normal"/>
        <w:spacing w:lineRule="auto" w:line="312" w:before="0" w:after="120"/>
        <w:ind w:hanging="0" w:start="0"/>
        <w:jc w:val="both"/>
        <w:rPr/>
      </w:pPr>
      <w:r>
        <w:rPr>
          <w:rFonts w:eastAsia="Times New Roman" w:cs="Times New Roman"/>
          <w:color w:val="000000"/>
          <w:sz w:val="26"/>
        </w:rPr>
        <w:t>- Thỏa thuận Bảo mật Thông tin &amp; Đền bù Khủng hoảng: Sử dụng trong các trường hợp thương lượng đền bù riêng lẻ với người dùng cá nhân để tránh lộ thông tin ra truyền thông.</w:t>
      </w:r>
    </w:p>
    <w:p>
      <w:pPr>
        <w:pStyle w:val="Normal"/>
        <w:spacing w:lineRule="auto" w:line="312" w:before="0" w:after="120"/>
        <w:ind w:firstLine="567"/>
        <w:jc w:val="both"/>
        <w:rPr/>
      </w:pPr>
      <w:r>
        <w:rPr>
          <w:rFonts w:eastAsia="Times New Roman" w:cs="Times New Roman"/>
          <w:color w:val="000000"/>
          <w:sz w:val="26"/>
        </w:rPr>
        <w:t>Thứ ba, nhóm Hồ sơ Bảo vệ Dữ liệu Cá nhân &amp; An ninh mạng.</w:t>
      </w:r>
    </w:p>
    <w:p>
      <w:pPr>
        <w:pStyle w:val="Normal"/>
        <w:spacing w:lineRule="auto" w:line="312" w:before="0" w:after="120"/>
        <w:ind w:hanging="0" w:start="0"/>
        <w:jc w:val="both"/>
        <w:rPr/>
      </w:pPr>
      <w:r>
        <w:rPr>
          <w:rFonts w:eastAsia="Times New Roman" w:cs="Times New Roman"/>
          <w:color w:val="000000"/>
          <w:sz w:val="26"/>
        </w:rPr>
        <w:t>- Hồ sơ Thông báo Sự cố Rò rỉ Dữ liệu: Văn bản thông báo khẩn cấp trong vòng 72 giờ gửi Cục An ninh mạng (Bộ Công an) khi phát hiện hệ thống bị Hack hoặc rò rỉ dữ liệu người dùng.</w:t>
      </w:r>
    </w:p>
    <w:p>
      <w:pPr>
        <w:pStyle w:val="Normal"/>
        <w:spacing w:lineRule="auto" w:line="312" w:before="0" w:after="120"/>
        <w:ind w:hanging="0" w:start="0"/>
        <w:jc w:val="both"/>
        <w:rPr/>
      </w:pPr>
      <w:r>
        <w:rPr>
          <w:rFonts w:eastAsia="Times New Roman" w:cs="Times New Roman"/>
          <w:color w:val="000000"/>
          <w:sz w:val="26"/>
        </w:rPr>
        <w:t>- Mẫu Phản hồi Yêu cầu của Chủ thể Dữ liệu: Văn bản xử lý các quyền của người dùng như quyền truy cập, quyền xóa dữ liệu, quyền rút lại sự đồng ý hoặc quyền khiếu nại.</w:t>
      </w:r>
    </w:p>
    <w:p>
      <w:pPr>
        <w:pStyle w:val="Normal"/>
        <w:spacing w:lineRule="auto" w:line="312" w:before="0" w:after="120"/>
        <w:ind w:hanging="0" w:start="0"/>
        <w:jc w:val="both"/>
        <w:rPr/>
      </w:pPr>
      <w:r>
        <w:rPr>
          <w:rFonts w:eastAsia="Times New Roman" w:cs="Times New Roman"/>
          <w:color w:val="000000"/>
          <w:sz w:val="26"/>
        </w:rPr>
        <w:t>- Hồ sơ Đánh giá Tác động Xử lý Dữ liệu Cá nhân: Bộ hồ sơ hoàn chỉnh phục vụ việc nộp báo cáo tuân thủ bắt buộc cho Bộ Công an.</w:t>
      </w:r>
    </w:p>
    <w:p>
      <w:pPr>
        <w:pStyle w:val="Heading2"/>
        <w:keepNext w:val="true"/>
        <w:spacing w:before="120" w:after="100"/>
        <w:rPr/>
      </w:pPr>
      <w:r>
        <w:rPr>
          <w:rFonts w:eastAsia="Times New Roman" w:cs="Times New Roman" w:ascii="Times New Roman" w:hAnsi="Times New Roman"/>
          <w:b/>
          <w:color w:val="000000"/>
          <w:sz w:val="26"/>
        </w:rPr>
        <w:t>6.3. Phạm vi dịch vụ.</w:t>
      </w:r>
    </w:p>
    <w:p>
      <w:pPr>
        <w:pStyle w:val="Normal"/>
        <w:spacing w:lineRule="auto" w:line="312" w:before="0" w:after="120"/>
        <w:ind w:firstLine="567"/>
        <w:jc w:val="both"/>
        <w:rPr/>
      </w:pPr>
      <w:r>
        <w:rPr>
          <w:rFonts w:eastAsia="Times New Roman" w:cs="Times New Roman"/>
          <w:color w:val="000000"/>
          <w:sz w:val="26"/>
        </w:rPr>
        <w:t>Phạm vi dịch vụ áp dụng đối với sự cố, khiếu nại, tranh chấp và yêu cầu khẩn cấp phát sinh trong quá trình vận hành ví điện tử; việc đại diện tố tụng, giám định kỹ thuật và làm việc ngoài phạm vi ủy quyền chỉ được thực hiện khi có thỏa thuận riêng.</w:t>
      </w:r>
    </w:p>
    <w:p>
      <w:pPr>
        <w:pStyle w:val="Heading2"/>
        <w:keepNext w:val="true"/>
        <w:spacing w:before="120" w:after="100"/>
        <w:rPr/>
      </w:pPr>
      <w:r>
        <w:rPr>
          <w:rFonts w:eastAsia="Times New Roman" w:cs="Times New Roman" w:ascii="Times New Roman" w:hAnsi="Times New Roman"/>
          <w:b/>
          <w:color w:val="000000"/>
          <w:sz w:val="26"/>
        </w:rPr>
        <w:t>6.4. Mục đích dịch vụ.</w:t>
      </w:r>
    </w:p>
    <w:p>
      <w:pPr>
        <w:pStyle w:val="Normal"/>
        <w:spacing w:lineRule="auto" w:line="312" w:before="0" w:after="120"/>
        <w:ind w:firstLine="567"/>
        <w:jc w:val="both"/>
        <w:rPr/>
      </w:pPr>
      <w:r>
        <w:rPr>
          <w:rFonts w:eastAsia="Times New Roman" w:cs="Times New Roman"/>
          <w:color w:val="000000"/>
          <w:sz w:val="26"/>
        </w:rPr>
        <w:t>Dịch vụ giúp doanh nghiệp tránh rủi ro bị mất quyền chủ động pháp lý hoặc bị xử phạt do sử dụng sai văn bản, sai thẩm quyền khi xử lý các sự cố khẩn cấp. Việc ban hành văn bản tạm khóa, thông báo xử lý vi phạm hay báo cáo cơ quan chức năng không đúng chuẩn pháp lý có thể khiến doanh nghiệp bị người dùng khiếu kiện ngược hoặc bị cơ quan quản lý phạt hành chính; việc sở hữu bộ biểu mẫu chuẩn hóa giúp doanh nghiệp xử lý nhanh, đúng căn cứ pháp luật.</w:t>
      </w:r>
    </w:p>
    <w:p>
      <w:pPr>
        <w:pStyle w:val="Normal"/>
        <w:spacing w:lineRule="auto" w:line="312" w:before="0" w:after="120"/>
        <w:ind w:firstLine="567"/>
        <w:jc w:val="both"/>
        <w:rPr/>
      </w:pPr>
      <w:r>
        <w:rPr>
          <w:rFonts w:eastAsia="Times New Roman" w:cs="Times New Roman"/>
          <w:color w:val="000000"/>
          <w:sz w:val="26"/>
        </w:rPr>
        <w:t>Giảm thời gian xử lý khủng hoảng nhờ doanh nghiệp đã có sẵn kho văn bản để sử dụng, chỉ cần điền thông tin và ban hành ngay khi sự cố xảy ra. Điều này đặc biệt có ý nghĩa trong các tình huống nhạy cảm như sự cố sập hệ thống diện rộng hoặc lộ dữ liệu trong vòng 72 giờ, giúp ngăn chặn việc thông tin lan truyền tiêu cực trên truyền thông và bảo vệ uy tín thương hiệu trước nhà đầu tư.</w:t>
      </w:r>
    </w:p>
    <w:p>
      <w:pPr>
        <w:pStyle w:val="Normal"/>
        <w:spacing w:lineRule="auto" w:line="312" w:before="0" w:after="120"/>
        <w:ind w:firstLine="567"/>
        <w:jc w:val="both"/>
        <w:rPr/>
      </w:pPr>
      <w:r>
        <w:rPr>
          <w:rFonts w:eastAsia="Times New Roman" w:cs="Times New Roman"/>
          <w:color w:val="000000"/>
          <w:sz w:val="26"/>
        </w:rPr>
        <w:t>Kiểm soát chặt chẽ rủi ro liên quan đến tội phạm tài chính, rửa tiền và tuân thủ bảo mật dữ liệu - những yếu tố sống còn quyết định sự thành bại của một dự án fintech. Bộ biểu mẫu được thiết kế chuyên biệt giúp doanh nghiệp thực hiện đúng trình tự phối hợp với cơ quan công an (A05/C05) và tuân thủ nghiêm ngặt Luật Bảo vệ dữ liệu cá nhân số 91/2025/QH15 và Nghị định 356/2025/NĐ-CP, triệt tiêu nguy cơ bị đình chỉ hoạt động do vi phạm pháp luật an ninh mạng.</w:t>
      </w:r>
    </w:p>
    <w:p>
      <w:pPr>
        <w:pStyle w:val="Normal"/>
        <w:spacing w:lineRule="auto" w:line="312" w:before="0" w:after="120"/>
        <w:ind w:firstLine="567"/>
        <w:jc w:val="both"/>
        <w:rPr/>
      </w:pPr>
      <w:r>
        <w:rPr>
          <w:rFonts w:eastAsia="Times New Roman" w:cs="Times New Roman"/>
          <w:color w:val="000000"/>
          <w:sz w:val="26"/>
        </w:rPr>
        <w:t>Hỗ trợ đội ngũ pháp chế/tuân thủ nội bộ của doanh nghiệp vốn thường có nguồn lực mỏng, giải quyết nhanh chóng khối lượng văn bản hành chính - pháp lý lớn phát sinh liên tục trong quá trình vận hành. Thay vì mất nhiều thời gian tự soạn thảo từng văn bản cho mỗi sự cố riêng lẻ, đội ngũ nội bộ có thể sử dụng ngay bộ Playbook chuẩn hóa, giúp tối ưu hóa hiệu suất làm việc và giảm tải áp lực cho bộ máy nhân sự.</w:t>
      </w:r>
    </w:p>
    <w:p>
      <w:pPr>
        <w:pStyle w:val="Normal"/>
        <w:spacing w:lineRule="auto" w:line="312" w:before="0" w:after="120"/>
        <w:ind w:firstLine="567"/>
        <w:jc w:val="both"/>
        <w:rPr/>
      </w:pPr>
      <w:r>
        <w:rPr>
          <w:rFonts w:eastAsia="Times New Roman" w:cs="Times New Roman"/>
          <w:color w:val="000000"/>
          <w:sz w:val="26"/>
        </w:rPr>
        <w:t>Tạo niềm tin tuyệt đối với nhà đầu tư và các đối tác tài chính (ngân hàng liên kết, tổ chức trung gian), nhờ doanh nghiệp sở hữu một hệ thống quản trị rủi ro bằng văn bản bài bản, minh bạch và chuyên nghiệp. Sự chuẩn chỉ trong từng bộ hồ sơ xử lý sự cố chính là bảo chứng mạnh mẽ nhất cho năng lực vận hành an toàn, giúp nhà đầu tư yên tâm tuyệt đối khi rót vốn vào dự án.</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7. HAI SẢN PHẨM DEMO.</w:t>
      </w:r>
    </w:p>
    <w:p>
      <w:pPr>
        <w:pStyle w:val="Heading2"/>
        <w:keepNext w:val="true"/>
        <w:spacing w:before="120" w:after="100"/>
        <w:rPr/>
      </w:pPr>
      <w:r>
        <w:rPr>
          <w:rFonts w:eastAsia="Times New Roman" w:cs="Times New Roman" w:ascii="Times New Roman" w:hAnsi="Times New Roman"/>
          <w:b/>
          <w:color w:val="000000"/>
          <w:sz w:val="26"/>
        </w:rPr>
        <w:t>7.1. Demo Điều lệ công ty cổ phần cung ứng dịch vụ ví điện tử.</w:t>
      </w:r>
    </w:p>
    <w:p>
      <w:pPr>
        <w:pStyle w:val="Heading3"/>
        <w:keepNext w:val="true"/>
        <w:spacing w:before="120" w:after="100"/>
        <w:rPr/>
      </w:pPr>
      <w:r>
        <w:rPr>
          <w:rFonts w:eastAsia="Times New Roman" w:cs="Times New Roman" w:ascii="Times New Roman" w:hAnsi="Times New Roman"/>
          <w:b/>
          <w:color w:val="000000"/>
          <w:sz w:val="26"/>
        </w:rPr>
        <w:t>7.1.1. Mục đích lựa chọn sản phẩm demo.</w:t>
      </w:r>
    </w:p>
    <w:p>
      <w:pPr>
        <w:pStyle w:val="Normal"/>
        <w:spacing w:lineRule="auto" w:line="312" w:before="0" w:after="120"/>
        <w:ind w:firstLine="567"/>
        <w:jc w:val="both"/>
        <w:rPr/>
      </w:pPr>
      <w:r>
        <w:rPr>
          <w:rFonts w:eastAsia="Times New Roman" w:cs="Times New Roman"/>
          <w:color w:val="000000"/>
          <w:sz w:val="26"/>
        </w:rPr>
        <w:t>Điều lệ được lựa chọn làm sản phẩm demo thứ nhất vì đây là văn bản quản trị nền tảng của công ty cổ phần dự kiến cung ứng dịch vụ ví điện tử. Sản phẩm thể hiện cách nhóm tư vấn chuyển các yêu cầu của Luật Doanh nghiệp và pháp luật chuyên ngành thành cơ chế phân quyền, kiểm soát vốn, quản trị người điều hành, bảo vệ dữ liệu và quản lý tài sản công nghệ.</w:t>
      </w:r>
    </w:p>
    <w:p>
      <w:pPr>
        <w:pStyle w:val="Heading3"/>
        <w:keepNext w:val="true"/>
        <w:spacing w:before="120" w:after="100"/>
        <w:rPr/>
      </w:pPr>
      <w:r>
        <w:rPr>
          <w:rFonts w:eastAsia="Times New Roman" w:cs="Times New Roman" w:ascii="Times New Roman" w:hAnsi="Times New Roman"/>
          <w:b/>
          <w:color w:val="000000"/>
          <w:sz w:val="26"/>
        </w:rPr>
        <w:t>7.1.2. Nội dung trình diễn.</w:t>
      </w:r>
    </w:p>
    <w:p>
      <w:pPr>
        <w:pStyle w:val="Normal"/>
        <w:spacing w:lineRule="auto" w:line="312" w:before="0" w:after="120"/>
        <w:ind w:firstLine="567"/>
        <w:jc w:val="both"/>
        <w:rPr/>
      </w:pPr>
      <w:r>
        <w:rPr>
          <w:rFonts w:eastAsia="Times New Roman" w:cs="Times New Roman"/>
          <w:color w:val="000000"/>
          <w:sz w:val="26"/>
        </w:rPr>
        <w:t>Bản demo tập trung vào cơ cấu năm cổ đông sáng lập; vốn điều lệ, loại cổ phần và thời hạn góp vốn; thẩm quyền của Đại hội đồng cổ đông, Hội đồng quản trị và Giám đốc hoặc Tổng giám đốc; cơ chế tiếp nhận nhà đầu tư mới; quản lý xung đột lợi ích; bảo vệ mã nguồn, dữ liệu và hệ thống; cùng nguyên tắc ra quyết định đối với giấy phép hoạt động cung ứng dịch vụ trung gian thanh toán.</w:t>
      </w:r>
    </w:p>
    <w:p>
      <w:pPr>
        <w:pStyle w:val="Heading3"/>
        <w:keepNext w:val="true"/>
        <w:spacing w:before="120" w:after="100"/>
        <w:rPr/>
      </w:pPr>
      <w:r>
        <w:rPr>
          <w:rFonts w:eastAsia="Times New Roman" w:cs="Times New Roman" w:ascii="Times New Roman" w:hAnsi="Times New Roman"/>
          <w:b/>
          <w:color w:val="000000"/>
          <w:sz w:val="26"/>
        </w:rPr>
        <w:t>7.1.3. Phương án thuyết trình.</w:t>
      </w:r>
    </w:p>
    <w:p>
      <w:pPr>
        <w:pStyle w:val="Normal"/>
        <w:spacing w:lineRule="auto" w:line="312" w:before="0" w:after="120"/>
        <w:ind w:firstLine="567"/>
        <w:jc w:val="both"/>
        <w:rPr/>
      </w:pPr>
      <w:r>
        <w:rPr>
          <w:rFonts w:eastAsia="Times New Roman" w:cs="Times New Roman"/>
          <w:color w:val="000000"/>
          <w:sz w:val="26"/>
        </w:rPr>
        <w:t>Khi demo, nhóm trình bày sơ đồ cơ cấu quản trị, lựa chọn một tình huống giả định về tiếp nhận nhà đầu tư mới và minh họa cách Điều lệ phân định thẩm quyền thông qua nghị quyết. Phần trình diễn phải làm rõ rằng Giấy chứng nhận đăng ký doanh nghiệp và Điều lệ không thay thế giấy phép chuyên ngành do Ngân hàng Nhà nước cấp.</w:t>
      </w:r>
    </w:p>
    <w:p>
      <w:pPr>
        <w:pStyle w:val="Heading3"/>
        <w:keepNext w:val="true"/>
        <w:spacing w:before="120" w:after="100"/>
        <w:rPr/>
      </w:pPr>
      <w:r>
        <w:rPr>
          <w:rFonts w:eastAsia="Times New Roman" w:cs="Times New Roman" w:ascii="Times New Roman" w:hAnsi="Times New Roman"/>
          <w:b/>
          <w:color w:val="000000"/>
          <w:sz w:val="26"/>
        </w:rPr>
        <w:t>7.1.4. Giá trị đối với nhà đầu tư.</w:t>
      </w:r>
    </w:p>
    <w:p>
      <w:pPr>
        <w:pStyle w:val="Normal"/>
        <w:spacing w:lineRule="auto" w:line="312" w:before="0" w:after="120"/>
        <w:ind w:firstLine="567"/>
        <w:jc w:val="both"/>
        <w:rPr/>
      </w:pPr>
      <w:r>
        <w:rPr>
          <w:rFonts w:eastAsia="Times New Roman" w:cs="Times New Roman"/>
          <w:color w:val="000000"/>
          <w:sz w:val="26"/>
        </w:rPr>
        <w:t>Điều lệ giúp nhà đầu tư nhìn thấy cơ chế kiểm soát quyền lực, bảo vệ vốn góp, xử lý bế tắc và duy trì tính liên tục của hoạt động. Văn bản quản trị rõ ràng còn tạo thuận lợi cho quá trình thẩm định pháp lý, gọi vốn và giải trình về năng lực quản trị của doanh nghiệp ví điện tử.</w:t>
      </w:r>
    </w:p>
    <w:p>
      <w:pPr>
        <w:pStyle w:val="Heading2"/>
        <w:keepNext w:val="true"/>
        <w:spacing w:before="120" w:after="100"/>
        <w:rPr/>
      </w:pPr>
      <w:r>
        <w:rPr>
          <w:rFonts w:eastAsia="Times New Roman" w:cs="Times New Roman" w:ascii="Times New Roman" w:hAnsi="Times New Roman"/>
          <w:b/>
          <w:color w:val="000000"/>
          <w:sz w:val="26"/>
        </w:rPr>
        <w:t>7.2. Demo Hợp đồng mở và sử dụng ví điện tử.</w:t>
      </w:r>
    </w:p>
    <w:p>
      <w:pPr>
        <w:pStyle w:val="Heading3"/>
        <w:keepNext w:val="true"/>
        <w:spacing w:before="120" w:after="100"/>
        <w:rPr/>
      </w:pPr>
      <w:r>
        <w:rPr>
          <w:rFonts w:eastAsia="Times New Roman" w:cs="Times New Roman" w:ascii="Times New Roman" w:hAnsi="Times New Roman"/>
          <w:b/>
          <w:color w:val="000000"/>
          <w:sz w:val="26"/>
        </w:rPr>
        <w:t>7.2.1. Mục đích lựa chọn sản phẩm demo.</w:t>
      </w:r>
    </w:p>
    <w:p>
      <w:pPr>
        <w:pStyle w:val="Normal"/>
        <w:spacing w:lineRule="auto" w:line="312" w:before="0" w:after="120"/>
        <w:ind w:firstLine="567"/>
        <w:jc w:val="both"/>
        <w:rPr/>
      </w:pPr>
      <w:r>
        <w:rPr>
          <w:rFonts w:eastAsia="Times New Roman" w:cs="Times New Roman"/>
          <w:color w:val="000000"/>
          <w:sz w:val="26"/>
        </w:rPr>
        <w:t>Hợp đồng mở và sử dụng ví điện tử được lựa chọn làm sản phẩm demo thứ hai vì đây là tài liệu trực tiếp điều chỉnh quan hệ giữa doanh nghiệp cung ứng ví và người sử dụng. Sản phẩm thể hiện khả năng chuyển yêu cầu pháp luật về thanh toán, bảo vệ người tiêu dùng, dữ liệu cá nhân và phòng, chống rửa tiền thành điều khoản có thể áp dụng trong vận hành.</w:t>
      </w:r>
    </w:p>
    <w:p>
      <w:pPr>
        <w:pStyle w:val="Heading3"/>
        <w:keepNext w:val="true"/>
        <w:spacing w:before="120" w:after="100"/>
        <w:rPr/>
      </w:pPr>
      <w:r>
        <w:rPr>
          <w:rFonts w:eastAsia="Times New Roman" w:cs="Times New Roman" w:ascii="Times New Roman" w:hAnsi="Times New Roman"/>
          <w:b/>
          <w:color w:val="000000"/>
          <w:sz w:val="26"/>
        </w:rPr>
        <w:t>7.2.2. Nội dung trình diễn.</w:t>
      </w:r>
    </w:p>
    <w:p>
      <w:pPr>
        <w:pStyle w:val="Normal"/>
        <w:spacing w:lineRule="auto" w:line="312" w:before="0" w:after="120"/>
        <w:ind w:firstLine="567"/>
        <w:jc w:val="both"/>
        <w:rPr/>
      </w:pPr>
      <w:r>
        <w:rPr>
          <w:rFonts w:eastAsia="Times New Roman" w:cs="Times New Roman"/>
          <w:color w:val="000000"/>
          <w:sz w:val="26"/>
        </w:rPr>
        <w:t>Bản demo bao quát điều kiện mở ví; nhận biết và xác minh khách hàng; liên kết tài khoản hoặc thẻ ngân hàng; nạp, rút, chuyển tiền và thanh toán; hạn mức và phí; xác thực giao dịch; bảo mật; tra soát, khiếu nại và hoàn tiền; tạm khóa, phong tỏa, đóng ví; trách nhiệm khi có giao dịch gian lận hoặc sự cố hệ thống; cùng nguyên tắc xử lý dữ liệu cá nhân.</w:t>
      </w:r>
    </w:p>
    <w:p>
      <w:pPr>
        <w:pStyle w:val="Heading3"/>
        <w:keepNext w:val="true"/>
        <w:spacing w:before="120" w:after="100"/>
        <w:rPr/>
      </w:pPr>
      <w:r>
        <w:rPr>
          <w:rFonts w:eastAsia="Times New Roman" w:cs="Times New Roman" w:ascii="Times New Roman" w:hAnsi="Times New Roman"/>
          <w:b/>
          <w:color w:val="000000"/>
          <w:sz w:val="26"/>
        </w:rPr>
        <w:t>7.2.3. Phương án thuyết trình.</w:t>
      </w:r>
    </w:p>
    <w:p>
      <w:pPr>
        <w:pStyle w:val="Normal"/>
        <w:spacing w:lineRule="auto" w:line="312" w:before="0" w:after="120"/>
        <w:ind w:firstLine="567"/>
        <w:jc w:val="both"/>
        <w:rPr/>
      </w:pPr>
      <w:r>
        <w:rPr>
          <w:rFonts w:eastAsia="Times New Roman" w:cs="Times New Roman"/>
          <w:color w:val="000000"/>
          <w:sz w:val="26"/>
        </w:rPr>
        <w:t>Nhóm sử dụng một tình huống giả định về giao dịch thanh toán không thành công nhưng tài khoản đã bị trừ tiền. Qua tình huống này, nhóm minh họa cách hợp đồng xác định trạng thái giao dịch, nguồn dữ liệu đối soát, thời hạn tra soát, trách nhiệm thông báo, hoàn tiền và bảo toàn chứng cứ điện tử.</w:t>
      </w:r>
    </w:p>
    <w:p>
      <w:pPr>
        <w:pStyle w:val="Heading3"/>
        <w:keepNext w:val="true"/>
        <w:spacing w:before="120" w:after="100"/>
        <w:rPr/>
      </w:pPr>
      <w:r>
        <w:rPr>
          <w:rFonts w:eastAsia="Times New Roman" w:cs="Times New Roman" w:ascii="Times New Roman" w:hAnsi="Times New Roman"/>
          <w:b/>
          <w:color w:val="000000"/>
          <w:sz w:val="26"/>
        </w:rPr>
        <w:t>7.2.4. Giá trị đối với nhà đầu tư.</w:t>
      </w:r>
    </w:p>
    <w:p>
      <w:pPr>
        <w:pStyle w:val="Normal"/>
        <w:spacing w:lineRule="auto" w:line="312" w:before="0" w:after="120"/>
        <w:ind w:firstLine="567"/>
        <w:jc w:val="both"/>
        <w:rPr/>
      </w:pPr>
      <w:r>
        <w:rPr>
          <w:rFonts w:eastAsia="Times New Roman" w:cs="Times New Roman"/>
          <w:color w:val="000000"/>
          <w:sz w:val="26"/>
        </w:rPr>
        <w:t>Hợp đồng giúp tiêu chuẩn hóa hành trình khách hàng và giảm rủi ro tranh chấp, xử phạt hoặc tổn thất uy tín. Đối với nhà đầu tư, sản phẩm demo cho thấy dự án đã gắn nghĩa vụ pháp lý với quy trình vận hành thực tế, qua đó tăng khả năng kiểm soát rủi ro và mở rộng quy mô dịch vụ.</w:t>
      </w:r>
    </w:p>
    <w:p>
      <w:pPr>
        <w:pStyle w:val="Heading1"/>
        <w:keepNext w:val="true"/>
        <w:spacing w:before="160" w:after="100"/>
        <w:jc w:val="center"/>
        <w:rPr/>
      </w:pPr>
      <w:r>
        <w:rPr>
          <w:rFonts w:eastAsia="Times New Roman" w:cs="Times New Roman" w:ascii="Times New Roman" w:hAnsi="Times New Roman"/>
          <w:b/>
          <w:color w:val="000000"/>
          <w:sz w:val="26"/>
        </w:rPr>
        <w:t>KẾT LUẬN VÀ KIẾN NGHỊ.</w:t>
      </w:r>
    </w:p>
    <w:p>
      <w:pPr>
        <w:pStyle w:val="Normal"/>
        <w:spacing w:lineRule="auto" w:line="312" w:before="0" w:after="120"/>
        <w:ind w:firstLine="567"/>
        <w:jc w:val="both"/>
        <w:rPr/>
      </w:pPr>
      <w:r>
        <w:rPr>
          <w:rFonts w:eastAsia="Times New Roman" w:cs="Times New Roman"/>
          <w:color w:val="000000"/>
          <w:sz w:val="26"/>
        </w:rPr>
        <w:t>Chương trình sáu nhóm dịch vụ của chúng tôi cung cấp cho nhà đầu tư một lộ trình pháp lý xuyên suốt từ ý tưởng đến vận hành và xử lý sự cố. Lợi ích không chỉ nằm ở việc có đủ văn bản, mà ở sự thống nhất giữa mô hình kinh doanh, cơ cấu quản trị, giấy phép, hợp đồng, quy trình dữ liệu và cơ chế kiểm soát rủi ro.</w:t>
      </w:r>
    </w:p>
    <w:p>
      <w:pPr>
        <w:pStyle w:val="Normal"/>
        <w:spacing w:lineRule="auto" w:line="312" w:before="0" w:after="120"/>
        <w:ind w:firstLine="567"/>
        <w:jc w:val="both"/>
        <w:rPr/>
      </w:pPr>
      <w:r>
        <w:rPr>
          <w:rFonts w:eastAsia="Times New Roman" w:cs="Times New Roman"/>
          <w:color w:val="000000"/>
          <w:sz w:val="26"/>
        </w:rPr>
        <w:t>Nhà đầu tư nên triển khai trước gói cơ bản để thẩm định mô hình, sau đó thực hiện gói tối thiểu đồng thời với quá trình thành lập và chuẩn bị cấp phép. Gói nâng cao được triển khai trước khi ra mắt chính thức và duy trì trong quá trình mở rộng đối tác. Mỗi giai đoạn cần có biên bản chốt phạm vi, danh mục hồ sơ đầu vào, sản phẩm bàn giao và người có thẩm quyền phê duyệt để tránh hiểu sai trách nhiệm giữa chúng tôi và khách hàng.</w:t>
      </w:r>
    </w:p>
    <w:p>
      <w:pPr>
        <w:pStyle w:val="Heading1"/>
        <w:keepNext w:val="true"/>
        <w:spacing w:before="160" w:after="100"/>
        <w:jc w:val="center"/>
        <w:rPr/>
      </w:pPr>
      <w:r>
        <w:rPr>
          <w:rFonts w:eastAsia="Times New Roman" w:cs="Times New Roman" w:ascii="Times New Roman" w:hAnsi="Times New Roman"/>
          <w:b/>
          <w:color w:val="000000"/>
          <w:sz w:val="26"/>
        </w:rPr>
        <w:t>DANH MỤC CĂN CỨ PHÁP LÝ CẬP NHẬT.</w:t>
      </w:r>
    </w:p>
    <w:p>
      <w:pPr>
        <w:pStyle w:val="ListNumber"/>
        <w:numPr>
          <w:ilvl w:val="0"/>
          <w:numId w:val="4"/>
        </w:numPr>
        <w:ind w:hanging="0" w:start="360"/>
        <w:rPr/>
      </w:pPr>
      <w:r>
        <w:rPr>
          <w:rFonts w:eastAsia="Times New Roman" w:cs="Times New Roman"/>
          <w:color w:val="000000"/>
          <w:sz w:val="26"/>
        </w:rPr>
        <w:t>Bộ luật Dân sự số 91/2015/QH13.</w:t>
      </w:r>
    </w:p>
    <w:p>
      <w:pPr>
        <w:pStyle w:val="ListNumber"/>
        <w:numPr>
          <w:ilvl w:val="0"/>
          <w:numId w:val="4"/>
        </w:numPr>
        <w:ind w:hanging="0" w:start="360"/>
        <w:rPr/>
      </w:pPr>
      <w:r>
        <w:rPr>
          <w:rFonts w:eastAsia="Times New Roman" w:cs="Times New Roman"/>
          <w:color w:val="000000"/>
          <w:sz w:val="26"/>
        </w:rPr>
        <w:t>Bộ luật Lao động số 45/2019/QH14.</w:t>
      </w:r>
    </w:p>
    <w:p>
      <w:pPr>
        <w:pStyle w:val="ListNumber"/>
        <w:numPr>
          <w:ilvl w:val="0"/>
          <w:numId w:val="4"/>
        </w:numPr>
        <w:ind w:hanging="0" w:start="360"/>
        <w:rPr/>
      </w:pPr>
      <w:r>
        <w:rPr>
          <w:rFonts w:eastAsia="Times New Roman" w:cs="Times New Roman"/>
          <w:color w:val="000000"/>
          <w:sz w:val="26"/>
        </w:rPr>
        <w:t>Luật Doanh nghiệp số 59/2020/QH14, được sửa đổi, bổ sung bởi Luật số 76/2025/QH15.</w:t>
      </w:r>
    </w:p>
    <w:p>
      <w:pPr>
        <w:pStyle w:val="ListNumber"/>
        <w:numPr>
          <w:ilvl w:val="0"/>
          <w:numId w:val="4"/>
        </w:numPr>
        <w:ind w:hanging="0" w:start="360"/>
        <w:rPr/>
      </w:pPr>
      <w:r>
        <w:rPr>
          <w:rFonts w:eastAsia="Times New Roman" w:cs="Times New Roman"/>
          <w:color w:val="000000"/>
          <w:sz w:val="26"/>
        </w:rPr>
        <w:t>Luật Phòng, chống rửa tiền số 14/2022/QH15.</w:t>
      </w:r>
    </w:p>
    <w:p>
      <w:pPr>
        <w:pStyle w:val="ListNumber"/>
        <w:numPr>
          <w:ilvl w:val="0"/>
          <w:numId w:val="4"/>
        </w:numPr>
        <w:ind w:hanging="0" w:start="360"/>
        <w:rPr/>
      </w:pPr>
      <w:r>
        <w:rPr>
          <w:rFonts w:eastAsia="Times New Roman" w:cs="Times New Roman"/>
          <w:color w:val="000000"/>
          <w:sz w:val="26"/>
        </w:rPr>
        <w:t>Luật Giao dịch điện tử số 20/2023/QH15.</w:t>
      </w:r>
    </w:p>
    <w:p>
      <w:pPr>
        <w:pStyle w:val="ListNumber"/>
        <w:numPr>
          <w:ilvl w:val="0"/>
          <w:numId w:val="4"/>
        </w:numPr>
        <w:ind w:hanging="0" w:start="360"/>
        <w:rPr/>
      </w:pPr>
      <w:r>
        <w:rPr>
          <w:rFonts w:eastAsia="Times New Roman" w:cs="Times New Roman"/>
          <w:color w:val="000000"/>
          <w:sz w:val="26"/>
        </w:rPr>
        <w:t>Luật Bảo vệ quyền lợi người tiêu dùng số 19/2023/QH15.</w:t>
      </w:r>
    </w:p>
    <w:p>
      <w:pPr>
        <w:pStyle w:val="ListNumber"/>
        <w:numPr>
          <w:ilvl w:val="0"/>
          <w:numId w:val="4"/>
        </w:numPr>
        <w:ind w:hanging="0" w:start="360"/>
        <w:rPr/>
      </w:pPr>
      <w:r>
        <w:rPr>
          <w:rFonts w:eastAsia="Times New Roman" w:cs="Times New Roman"/>
          <w:color w:val="000000"/>
          <w:sz w:val="26"/>
        </w:rPr>
        <w:t>Luật Dữ liệu số 60/2024/QH15.</w:t>
      </w:r>
    </w:p>
    <w:p>
      <w:pPr>
        <w:pStyle w:val="ListNumber"/>
        <w:numPr>
          <w:ilvl w:val="0"/>
          <w:numId w:val="4"/>
        </w:numPr>
        <w:ind w:hanging="0" w:start="360"/>
        <w:rPr/>
      </w:pPr>
      <w:r>
        <w:rPr>
          <w:rFonts w:eastAsia="Times New Roman" w:cs="Times New Roman"/>
          <w:color w:val="000000"/>
          <w:sz w:val="26"/>
        </w:rPr>
        <w:t>Luật Bảo vệ dữ liệu cá nhân số 91/2025/QH15 và Nghị định số 356/2025/NĐ-CP.</w:t>
      </w:r>
    </w:p>
    <w:p>
      <w:pPr>
        <w:pStyle w:val="ListNumber"/>
        <w:numPr>
          <w:ilvl w:val="0"/>
          <w:numId w:val="4"/>
        </w:numPr>
        <w:ind w:hanging="0" w:start="360"/>
        <w:rPr/>
      </w:pPr>
      <w:r>
        <w:rPr>
          <w:rFonts w:eastAsia="Times New Roman" w:cs="Times New Roman"/>
          <w:color w:val="000000"/>
          <w:sz w:val="26"/>
        </w:rPr>
        <w:t>Nghị định số 52/2024/NĐ-CP về thanh toán không dùng tiền mặt.</w:t>
      </w:r>
    </w:p>
    <w:p>
      <w:pPr>
        <w:pStyle w:val="ListNumber"/>
        <w:numPr>
          <w:ilvl w:val="0"/>
          <w:numId w:val="4"/>
        </w:numPr>
        <w:spacing w:before="0" w:after="120"/>
        <w:ind w:hanging="0" w:start="360"/>
        <w:contextualSpacing/>
        <w:rPr/>
      </w:pPr>
      <w:r>
        <w:rPr>
          <w:rFonts w:eastAsia="Times New Roman" w:cs="Times New Roman"/>
          <w:color w:val="000000"/>
          <w:sz w:val="26"/>
        </w:rPr>
        <w:t>Văn bản hợp nhất số 29/VBHN-NHNN ngày 08/12/2025 quy định về hoạt động cung ứng dịch vụ trung gian thanh toán.</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701" w:right="1134" w:gutter="0" w:header="567" w:top="1134"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0</w:t>
    </w:r>
    <w:r>
      <w:rPr>
        <w:rFonts w:eastAsia="Times New Roman" w:cs="Times New Roman"/>
        <w:color w:val="000000"/>
        <w:sz w:val="2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5</w:t>
    </w:r>
    <w:r>
      <w:rPr>
        <w:rFonts w:eastAsia="Times New Roman" w:cs="Times New Roman"/>
        <w:color w:val="000000"/>
        <w:sz w:val="2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5</w:t>
    </w:r>
    <w:r>
      <w:rPr>
        <w:rFonts w:eastAsia="Times New Roman" w:cs="Times New Roman"/>
        <w:color w:val="000000"/>
        <w:sz w:val="2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12" w:before="0" w:after="120"/>
      <w:ind w:firstLine="567"/>
      <w:jc w:val="both"/>
    </w:pPr>
    <w:rPr>
      <w:rFonts w:ascii="Times New Roman" w:hAnsi="Times New Roman" w:eastAsia="Times New Roman" w:cs="Times New Roman"/>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60"/>
      <w:ind w:hanging="0"/>
      <w:jc w:val="start"/>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ind w:hanging="0"/>
      <w:jc w:val="start"/>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ind w:hanging="0"/>
      <w:jc w:val="start"/>
      <w:outlineLvl w:val="2"/>
    </w:pPr>
    <w:rPr>
      <w:rFonts w:ascii="Calibri" w:hAnsi="Calibri" w:eastAsia=""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sz w:val="26"/>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sz w:val="26"/>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sz w:val="26"/>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sz w:val="26"/>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6"/>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6"/>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customStyle="1">
    <w:name w:val="Heading"/>
    <w:basedOn w:val="Normal"/>
    <w:next w:val="BodyText"/>
    <w:qFormat/>
    <w:pPr>
      <w:keepNext w:val="true"/>
      <w:spacing w:before="240" w:after="120"/>
    </w:pPr>
    <w:rPr>
      <w:rFonts w:ascii="Times New Roman" w:hAnsi="Times New Roman" w:eastAsia="Times New Roman" w:cs="Times New Roman"/>
      <w:color w:val="000000"/>
      <w:sz w:val="26"/>
      <w:szCs w:val="28"/>
    </w:rPr>
  </w:style>
  <w:style w:type="paragraph" w:styleId="BodyText">
    <w:name w:val="Body Text"/>
    <w:basedOn w:val="Normal"/>
    <w:link w:val="BodyTextChar"/>
    <w:uiPriority w:val="99"/>
    <w:unhideWhenUsed/>
    <w:rsid w:val="00aa1d8d"/>
    <w:pPr/>
    <w:rPr>
      <w:rFonts w:ascii="Times New Roman" w:hAnsi="Times New Roman" w:eastAsia="Times New Roman" w:cs="Times New Roman"/>
      <w:color w:val="000000"/>
      <w:sz w:val="26"/>
    </w:rPr>
  </w:style>
  <w:style w:type="paragraph" w:styleId="List">
    <w:name w:val="List"/>
    <w:basedOn w:val="Normal"/>
    <w:uiPriority w:val="99"/>
    <w:unhideWhenUsed/>
    <w:rsid w:val="00aa1d8d"/>
    <w:pPr>
      <w:spacing w:before="0" w:after="120"/>
      <w:ind w:hanging="360" w:start="360"/>
      <w:contextualSpacing/>
    </w:pPr>
    <w:rPr>
      <w:rFonts w:ascii="Times New Roman" w:hAnsi="Times New Roman" w:eastAsia="Times New Roman" w:cs="Times New Roman"/>
      <w:color w:val="000000"/>
      <w:sz w:val="26"/>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cs="Times New Roman"/>
      <w:b/>
      <w:bCs/>
      <w:color w:val="000000"/>
      <w:sz w:val="26"/>
      <w:szCs w:val="18"/>
    </w:rPr>
  </w:style>
  <w:style w:type="paragraph" w:styleId="Index" w:customStyle="1">
    <w:name w:val="Index"/>
    <w:basedOn w:val="Normal"/>
    <w:qFormat/>
    <w:pPr>
      <w:suppressLineNumbers/>
    </w:pPr>
    <w:rPr>
      <w:rFonts w:ascii="Times New Roman" w:hAnsi="Times New Roman" w:eastAsia="Times New Roman" w:cs="Times New Roman"/>
      <w:color w:val="000000"/>
      <w:sz w:val="26"/>
    </w:rPr>
  </w:style>
  <w:style w:type="paragraph" w:styleId="HeaderandFooter" w:customStyle="1">
    <w:name w:val="Header and Footer"/>
    <w:basedOn w:val="Normal"/>
    <w:qFormat/>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000000"/>
      <w:kern w:val="0"/>
      <w:sz w:val="26"/>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00"/>
      <w:ind w:hanging="0"/>
      <w:contextualSpacing/>
      <w:jc w:val="start"/>
    </w:pPr>
    <w:rPr>
      <w:rFonts w:ascii="Calibri" w:hAnsi="Calibri" w:eastAsia="" w:cs="" w:asciiTheme="majorHAnsi" w:cstheme="majorBidi" w:eastAsiaTheme="majorEastAsia" w:hAnsiTheme="majorHAnsi"/>
      <w:b/>
      <w:color w:val="000000"/>
      <w:spacing w:val="5"/>
      <w:kern w:val="2"/>
      <w:sz w:val="2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6"/>
      <w:szCs w:val="24"/>
    </w:rPr>
  </w:style>
  <w:style w:type="paragraph" w:styleId="ListParagraph">
    <w:name w:val="List Paragraph"/>
    <w:basedOn w:val="Normal"/>
    <w:uiPriority w:val="34"/>
    <w:qFormat/>
    <w:rsid w:val="00fc693f"/>
    <w:pPr>
      <w:spacing w:before="0" w:after="120"/>
      <w:ind w:start="720"/>
      <w:contextualSpacing/>
    </w:pPr>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qFormat/>
    <w:rsid w:val="00aa1d8d"/>
    <w:pPr>
      <w:spacing w:lineRule="auto" w:line="480"/>
    </w:pPr>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qFormat/>
    <w:rsid w:val="00aa1d8d"/>
    <w:pPr/>
    <w:rPr>
      <w:rFonts w:ascii="Times New Roman" w:hAnsi="Times New Roman" w:eastAsia="Times New Roman" w:cs="Times New Roman"/>
      <w:color w:val="000000"/>
      <w:sz w:val="26"/>
      <w:szCs w:val="16"/>
    </w:rPr>
  </w:style>
  <w:style w:type="paragraph" w:styleId="List2">
    <w:name w:val="List 2"/>
    <w:basedOn w:val="Normal"/>
    <w:uiPriority w:val="99"/>
    <w:unhideWhenUsed/>
    <w:qFormat/>
    <w:rsid w:val="00326f90"/>
    <w:pPr>
      <w:spacing w:before="0" w:after="120"/>
      <w:ind w:hanging="360" w:start="720"/>
      <w:contextualSpacing/>
    </w:pPr>
    <w:rPr>
      <w:rFonts w:ascii="Times New Roman" w:hAnsi="Times New Roman" w:eastAsia="Times New Roman" w:cs="Times New Roman"/>
      <w:color w:val="000000"/>
      <w:sz w:val="26"/>
    </w:rPr>
  </w:style>
  <w:style w:type="paragraph" w:styleId="List3">
    <w:name w:val="List 3"/>
    <w:basedOn w:val="Normal"/>
    <w:uiPriority w:val="99"/>
    <w:unhideWhenUsed/>
    <w:qFormat/>
    <w:rsid w:val="00326f90"/>
    <w:pPr>
      <w:spacing w:before="0" w:after="120"/>
      <w:ind w:hanging="360" w:start="108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ilvl w:val="0"/>
        <w:numId w:val="1"/>
      </w:numPr>
      <w:spacing w:before="0" w:after="12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ilvl w:val="0"/>
        <w:numId w:val="2"/>
      </w:numPr>
      <w:spacing w:before="0" w:after="120"/>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ilvl w:val="0"/>
        <w:numId w:val="3"/>
      </w:numPr>
      <w:spacing w:before="0" w:after="120"/>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ilvl w:val="0"/>
        <w:numId w:val="4"/>
      </w:numPr>
      <w:spacing w:before="0" w:after="12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ilvl w:val="0"/>
        <w:numId w:val="5"/>
      </w:numPr>
      <w:spacing w:before="0" w:after="120"/>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ilvl w:val="0"/>
        <w:numId w:val="6"/>
      </w:numPr>
      <w:spacing w:before="0" w:after="120"/>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before="0" w:after="120"/>
      <w:ind w:star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before="0" w:after="120"/>
      <w:ind w:star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before="0" w:after="120"/>
      <w:ind w:star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Times New Roman" w:hAnsi="Times New Roman" w:eastAsia="" w:cs="" w:cstheme="minorBidi" w:eastAsiaTheme="minorEastAsia"/>
      <w:color w:val="000000"/>
      <w:kern w:val="0"/>
      <w:sz w:val="26"/>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Times New Roman" w:hAnsi="Times New Roman" w:eastAsia="Times New Roman" w:cs="Times New Roman"/>
      <w:b/>
      <w:bCs/>
      <w:i/>
      <w:iCs/>
      <w:color w:val="000000"/>
      <w:sz w:val="26"/>
    </w:rPr>
  </w:style>
  <w:style w:type="paragraph" w:styleId="IndexHeading">
    <w:name w:val="index heading"/>
    <w:basedOn w:val="Heading"/>
    <w:pPr/>
    <w:rPr>
      <w:rFonts w:ascii="Times New Roman" w:hAnsi="Times New Roman" w:eastAsia="Times New Roman" w:cs="Times New Roman"/>
      <w:color w:val="000000"/>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paragraph" w:styleId="TOC1" w:customStyle="1">
    <w:name w:val="toc 1"/>
    <w:pPr>
      <w:widowControl/>
      <w:suppressAutoHyphens w:val="true"/>
      <w:bidi w:val="0"/>
      <w:spacing w:lineRule="auto" w:line="240" w:before="0" w:after="20"/>
      <w:ind w:hanging="0" w:start="0"/>
      <w:jc w:val="start"/>
    </w:pPr>
    <w:rPr>
      <w:rFonts w:ascii="Times New Roman" w:hAnsi="Times New Roman" w:eastAsia="Times New Roman" w:cs="Times New Roman"/>
      <w:b/>
      <w:color w:val="000000"/>
      <w:kern w:val="0"/>
      <w:sz w:val="26"/>
      <w:szCs w:val="22"/>
      <w:lang w:val="en-US" w:eastAsia="en-US" w:bidi="ar-SA"/>
    </w:rPr>
  </w:style>
  <w:style w:type="paragraph" w:styleId="TOC2" w:customStyle="1">
    <w:name w:val="toc 2"/>
    <w:pPr>
      <w:widowControl/>
      <w:suppressAutoHyphens w:val="true"/>
      <w:bidi w:val="0"/>
      <w:spacing w:lineRule="auto" w:line="240" w:before="0" w:after="20"/>
      <w:ind w:hanging="0" w:start="397"/>
      <w:jc w:val="start"/>
    </w:pPr>
    <w:rPr>
      <w:rFonts w:ascii="Times New Roman" w:hAnsi="Times New Roman" w:eastAsia="Times New Roman" w:cs="Times New Roman"/>
      <w:b w:val="false"/>
      <w:color w:val="000000"/>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Application>LibreOffice/26.2.4.2$MacOSX_AARCH64 LibreOffice_project/0229ac93fcf0d7cbc6376066c6f35021cef002dc</Application>
  <AppVersion>15.0000</AppVersion>
  <Pages>82</Pages>
  <Words>41339</Words>
  <Characters>146998</Characters>
  <CharactersWithSpaces>187555</CharactersWithSpaces>
  <Paragraphs>779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13</dc:creator>
  <dc:description>generated by python-docx</dc:description>
  <dc:language>en-US</dc:language>
  <cp:lastModifiedBy/>
  <dcterms:modified xsi:type="dcterms:W3CDTF">2026-09-09T01:12:03Z</dcterms:modified>
  <cp:revision>8</cp:revision>
  <dc:subject>Môn Thực hành nghề luật</dc:subject>
  <dc:title>Báo cáo tổng hợp dịch vụ pháp lý ví điện tử</dc:title>
</cp:coreProperties>
</file>

<file path=docProps/custom.xml><?xml version="1.0" encoding="utf-8"?>
<Properties xmlns="http://schemas.openxmlformats.org/officeDocument/2006/custom-properties" xmlns:vt="http://schemas.openxmlformats.org/officeDocument/2006/docPropsVTypes"/>
</file>