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header3.xml" ContentType="application/vnd.openxmlformats-officedocument.wordprocessingml.header+xml"/>
  <Override PartName="/word/header9.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9.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header7.xml" ContentType="application/vnd.openxmlformats-officedocument.wordprocessingml.header+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12" w:before="520" w:after="120"/>
        <w:ind w:hanging="0" w:start="0"/>
        <w:jc w:val="center"/>
        <w:rPr/>
      </w:pPr>
      <w:r>
        <w:rPr/>
        <w:drawing>
          <wp:inline distT="0" distB="0" distL="0" distR="0">
            <wp:extent cx="1417320" cy="16516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417320" cy="1651635"/>
                    </a:xfrm>
                    <a:prstGeom prst="rect">
                      <a:avLst/>
                    </a:prstGeom>
                    <a:noFill/>
                  </pic:spPr>
                </pic:pic>
              </a:graphicData>
            </a:graphic>
          </wp:inline>
        </w:drawing>
      </w:r>
    </w:p>
    <w:p>
      <w:pPr>
        <w:pStyle w:val="Normal"/>
        <w:spacing w:lineRule="auto" w:line="312" w:before="0" w:after="120"/>
        <w:ind w:hanging="0" w:start="0"/>
        <w:jc w:val="center"/>
        <w:rPr/>
      </w:pPr>
      <w:r>
        <w:drawing>
          <wp:anchor distT="0" distB="0" distL="0" distR="0" simplePos="0" relativeHeight="3" behindDoc="1" locked="0" layoutInCell="0" allowOverlap="1">
            <wp:simplePos x="0" y="0"/>
            <wp:positionH relativeFrom="page">
              <wp:posOffset>0</wp:posOffset>
            </wp:positionH>
            <wp:positionV relativeFrom="page">
              <wp:posOffset>0</wp:posOffset>
            </wp:positionV>
            <wp:extent cx="7560310" cy="10692130"/>
            <wp:effectExtent l="0" t="0" r="0" b="0"/>
            <wp:wrapNone/>
            <wp:docPr id="2" name="Khung viền bìa hoa văn Học viện Ngân hàng" descr="Khung viền trang trí màu xanh trên trang bì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hung viền bìa hoa văn Học viện Ngân hàng" descr="Khung viền trang trí màu xanh trên trang bìa"/>
                    <pic:cNvPicPr>
                      <a:picLocks noChangeAspect="1" noChangeArrowheads="1"/>
                    </pic:cNvPicPr>
                  </pic:nvPicPr>
                  <pic:blipFill>
                    <a:blip r:embed="rId3"/>
                    <a:stretch>
                      <a:fillRect/>
                    </a:stretch>
                  </pic:blipFill>
                  <pic:spPr bwMode="auto">
                    <a:xfrm>
                      <a:off x="0" y="0"/>
                      <a:ext cx="7560310" cy="10692130"/>
                    </a:xfrm>
                    <a:prstGeom prst="rect">
                      <a:avLst/>
                    </a:prstGeom>
                    <a:noFill/>
                  </pic:spPr>
                </pic:pic>
              </a:graphicData>
            </a:graphic>
          </wp:anchor>
        </w:drawing>
      </w:r>
      <w:r>
        <w:rPr>
          <w:rFonts w:eastAsia="Times New Roman" w:cs="Times New Roman"/>
          <w:b/>
          <w:color w:val="000000"/>
          <w:sz w:val="30"/>
        </w:rPr>
        <w:t>HỌC VIỆN NGÂN HÀNG</w:t>
      </w:r>
    </w:p>
    <w:p>
      <w:pPr>
        <w:pStyle w:val="Normal"/>
        <w:spacing w:lineRule="auto" w:line="312" w:before="0" w:after="120"/>
        <w:ind w:hanging="0" w:start="0"/>
        <w:jc w:val="center"/>
        <w:rPr/>
      </w:pPr>
      <w:r>
        <w:rPr>
          <w:rFonts w:eastAsia="Times New Roman" w:cs="Times New Roman"/>
          <w:b/>
          <w:color w:val="000000"/>
          <w:sz w:val="28"/>
        </w:rPr>
        <w:t>MÔN THỰC HÀNH NGHỀ LUẬT</w:t>
      </w:r>
    </w:p>
    <w:p>
      <w:pPr>
        <w:pStyle w:val="Normal"/>
        <w:spacing w:lineRule="auto" w:line="312" w:before="0" w:after="120"/>
        <w:ind w:hanging="0" w:start="0"/>
        <w:jc w:val="center"/>
        <w:rPr/>
      </w:pPr>
      <w:r>
        <w:rPr>
          <w:rFonts w:eastAsia="Times New Roman" w:cs="Times New Roman"/>
          <w:b/>
          <w:color w:val="000000"/>
          <w:sz w:val="40"/>
        </w:rPr>
        <w:t>BÁO CÁO TỔNG HỢP</w:t>
      </w:r>
    </w:p>
    <w:p>
      <w:pPr>
        <w:pStyle w:val="Normal"/>
        <w:spacing w:lineRule="auto" w:line="312" w:before="0" w:after="120"/>
        <w:ind w:hanging="0" w:start="0"/>
        <w:jc w:val="center"/>
        <w:rPr>
          <w:rFonts w:eastAsia="Times New Roman" w:cs="Times New Roman"/>
          <w:b/>
          <w:color w:val="000000"/>
          <w:sz w:val="28"/>
        </w:rPr>
      </w:pPr>
      <w:r>
        <w:rPr>
          <w:rFonts w:eastAsia="Times New Roman" w:cs="Times New Roman"/>
          <w:b/>
          <w:color w:val="000000"/>
          <w:sz w:val="28"/>
        </w:rPr>
        <w:t>DỊCH VỤ PHÁP LÝ HỖ TRỢ THÀNH LẬP VÀ VẬN HÀNH</w:t>
      </w:r>
    </w:p>
    <w:p>
      <w:pPr>
        <w:pStyle w:val="Normal"/>
        <w:spacing w:lineRule="auto" w:line="312" w:before="0" w:after="120"/>
        <w:ind w:hanging="0" w:start="0"/>
        <w:jc w:val="center"/>
        <w:rPr>
          <w:rFonts w:eastAsia="Times New Roman" w:cs="Times New Roman"/>
          <w:b/>
          <w:color w:val="000000"/>
          <w:sz w:val="28"/>
        </w:rPr>
      </w:pPr>
      <w:r>
        <w:rPr>
          <w:rFonts w:eastAsia="Times New Roman" w:cs="Times New Roman"/>
          <w:b/>
          <w:color w:val="000000"/>
          <w:sz w:val="28"/>
        </w:rPr>
        <w:t>DOANH NGHIỆP CUNG ỨNG VÍ ĐIỆN TỬ</w:t>
      </w:r>
    </w:p>
    <w:p>
      <w:pPr>
        <w:pStyle w:val="Normal"/>
        <w:spacing w:lineRule="auto" w:line="312" w:before="0" w:after="120"/>
        <w:ind w:hanging="0" w:start="0"/>
        <w:jc w:val="center"/>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1134" w:gutter="0" w:header="634" w:top="1201" w:footer="634" w:bottom="1201"/>
          <w:pgNumType w:fmt="decimal"/>
          <w:formProt w:val="false"/>
          <w:titlePg/>
          <w:textDirection w:val="lrTb"/>
          <w:docGrid w:type="default" w:linePitch="360" w:charSpace="0"/>
        </w:sectPr>
      </w:pPr>
      <w:r>
        <w:rPr>
          <w:rFonts w:eastAsia="Times New Roman" w:cs="Times New Roman"/>
          <w:b/>
          <w:color w:val="000000"/>
          <w:sz w:val="30"/>
        </w:rPr>
        <w:t>NHÓM 13</w:t>
      </w:r>
    </w:p>
    <w:p>
      <w:pPr>
        <w:pStyle w:val="Normal"/>
        <w:keepNext w:val="true"/>
        <w:spacing w:before="0" w:after="120"/>
        <w:jc w:val="center"/>
        <w:rPr/>
      </w:pPr>
      <w:r>
        <w:rPr>
          <w:rFonts w:eastAsia="Times New Roman" w:cs="Times New Roman"/>
          <w:b/>
          <w:sz w:val="26"/>
        </w:rPr>
        <w:t>BIÊN BẢN HỌP NHÓM 13.</w:t>
      </w:r>
    </w:p>
    <w:p>
      <w:pPr>
        <w:pStyle w:val="Normal"/>
        <w:keepNext w:val="true"/>
        <w:spacing w:before="0" w:after="160"/>
        <w:jc w:val="center"/>
        <w:rPr/>
      </w:pPr>
      <w:r>
        <w:rPr>
          <w:rFonts w:eastAsia="Times New Roman" w:cs="Times New Roman"/>
          <w:b/>
          <w:sz w:val="26"/>
        </w:rPr>
        <w:t>BUỔI 2.</w:t>
      </w:r>
    </w:p>
    <w:tbl>
      <w:tblPr>
        <w:tblW w:w="9582" w:type="dxa"/>
        <w:jc w:val="center"/>
        <w:tblInd w:w="0" w:type="dxa"/>
        <w:tblLayout w:type="fixed"/>
        <w:tblCellMar>
          <w:top w:w="80" w:type="dxa"/>
          <w:start w:w="80" w:type="dxa"/>
          <w:bottom w:w="80" w:type="dxa"/>
          <w:end w:w="80" w:type="dxa"/>
        </w:tblCellMar>
        <w:tblLook w:noHBand="0" w:lastColumn="0" w:firstColumn="1" w:lastRow="0" w:firstRow="1" w:noVBand="1" w:val="04a0"/>
      </w:tblPr>
      <w:tblGrid>
        <w:gridCol w:w="4791"/>
        <w:gridCol w:w="4791"/>
      </w:tblGrid>
      <w:tr>
        <w:trPr/>
        <w:tc>
          <w:tcPr>
            <w:tcW w:w="4791" w:type="dxa"/>
            <w:tcBorders/>
            <w:vAlign w:val="center"/>
          </w:tcPr>
          <w:p>
            <w:pPr>
              <w:pStyle w:val="Normal"/>
              <w:spacing w:lineRule="auto" w:line="240" w:before="0" w:after="0"/>
              <w:jc w:val="center"/>
              <w:rPr/>
            </w:pPr>
            <w:r>
              <w:rPr>
                <w:rFonts w:eastAsia="Times New Roman" w:cs="Times New Roman"/>
                <w:b/>
                <w:sz w:val="26"/>
              </w:rPr>
              <w:t>HỌC VIỆN NGÂN HÀNG</w:t>
            </w:r>
          </w:p>
          <w:p>
            <w:pPr>
              <w:pStyle w:val="Normal"/>
              <w:spacing w:lineRule="auto" w:line="240" w:before="0" w:after="0"/>
              <w:jc w:val="center"/>
              <w:rPr/>
            </w:pPr>
            <w:r>
              <w:rPr>
                <w:rFonts w:eastAsia="Times New Roman" w:cs="Times New Roman"/>
                <w:b/>
                <w:sz w:val="26"/>
              </w:rPr>
              <w:t>LỚP 261LAW61A02</w:t>
            </w:r>
          </w:p>
          <w:p>
            <w:pPr>
              <w:pStyle w:val="Normal"/>
              <w:spacing w:lineRule="auto" w:line="240" w:before="0" w:after="0"/>
              <w:jc w:val="center"/>
              <w:rPr/>
            </w:pPr>
            <w:r>
              <w:rPr>
                <w:rFonts w:eastAsia="Times New Roman" w:cs="Times New Roman"/>
                <w:b/>
                <w:sz w:val="26"/>
              </w:rPr>
              <w:t>NHÓM 13</w:t>
            </w:r>
          </w:p>
        </w:tc>
        <w:tc>
          <w:tcPr>
            <w:tcW w:w="4791" w:type="dxa"/>
            <w:tcBorders/>
            <w:vAlign w:val="center"/>
          </w:tcPr>
          <w:p>
            <w:pPr>
              <w:pStyle w:val="Normal"/>
              <w:spacing w:lineRule="auto" w:line="240" w:before="0" w:after="0"/>
              <w:jc w:val="center"/>
              <w:rPr/>
            </w:pPr>
            <w:r>
              <w:rPr>
                <w:rFonts w:eastAsia="Times New Roman" w:cs="Times New Roman"/>
                <w:b/>
                <w:sz w:val="26"/>
              </w:rPr>
              <w:t>CỘNG HÒA XÃ HỘI CHỦ NGHĨA VIỆT NAM</w:t>
            </w:r>
          </w:p>
          <w:p>
            <w:pPr>
              <w:pStyle w:val="Normal"/>
              <w:spacing w:lineRule="auto" w:line="240" w:before="0" w:after="0"/>
              <w:jc w:val="center"/>
              <w:rPr/>
            </w:pPr>
            <w:r>
              <w:rPr>
                <w:rFonts w:eastAsia="Times New Roman" w:cs="Times New Roman"/>
                <w:b/>
                <w:sz w:val="26"/>
              </w:rPr>
              <w:t>Độc lập - Tự do - Hạnh phúc</w:t>
            </w:r>
          </w:p>
          <w:p>
            <w:pPr>
              <w:pStyle w:val="Normal"/>
              <w:spacing w:lineRule="auto" w:line="240" w:before="0" w:after="0"/>
              <w:jc w:val="center"/>
              <w:rPr/>
            </w:pPr>
            <w:r>
              <w:rPr>
                <w:rFonts w:eastAsia="Times New Roman" w:cs="Times New Roman"/>
                <w:b/>
                <w:sz w:val="26"/>
              </w:rPr>
              <w:t>Ngày 19 tháng 8 năm 2026</w:t>
            </w:r>
          </w:p>
        </w:tc>
      </w:tr>
    </w:tbl>
    <w:p>
      <w:pPr>
        <w:pStyle w:val="Normal"/>
        <w:keepNext w:val="true"/>
        <w:pageBreakBefore w:val="false"/>
        <w:spacing w:before="120" w:after="120"/>
        <w:jc w:val="start"/>
        <w:rPr/>
      </w:pPr>
      <w:r>
        <w:rPr>
          <w:rFonts w:eastAsia="Times New Roman" w:cs="Times New Roman"/>
          <w:b/>
          <w:sz w:val="26"/>
        </w:rPr>
        <w:t>I. Thời gian và địa điểm.</w:t>
      </w:r>
    </w:p>
    <w:p>
      <w:pPr>
        <w:pStyle w:val="Normal"/>
        <w:spacing w:lineRule="auto" w:line="360" w:before="0" w:after="120"/>
        <w:jc w:val="both"/>
        <w:rPr/>
      </w:pPr>
      <w:r>
        <w:rPr>
          <w:rFonts w:eastAsia="Times New Roman" w:cs="Times New Roman"/>
          <w:b w:val="false"/>
          <w:sz w:val="26"/>
        </w:rPr>
        <w:t>Ngày họp: Ngày 19 tháng 8 năm 2026.</w:t>
      </w:r>
    </w:p>
    <w:p>
      <w:pPr>
        <w:pStyle w:val="Normal"/>
        <w:spacing w:lineRule="auto" w:line="360" w:before="0" w:after="120"/>
        <w:jc w:val="both"/>
        <w:rPr/>
      </w:pPr>
      <w:r>
        <w:rPr>
          <w:rFonts w:eastAsia="Times New Roman" w:cs="Times New Roman"/>
          <w:b w:val="false"/>
          <w:sz w:val="26"/>
        </w:rPr>
        <w:t>Thời gian: 10 giờ 00 phút.</w:t>
      </w:r>
    </w:p>
    <w:p>
      <w:pPr>
        <w:pStyle w:val="Normal"/>
        <w:spacing w:lineRule="auto" w:line="360" w:before="0" w:after="120"/>
        <w:jc w:val="both"/>
        <w:rPr/>
      </w:pPr>
      <w:r>
        <w:rPr>
          <w:rFonts w:eastAsia="Times New Roman" w:cs="Times New Roman"/>
          <w:b w:val="false"/>
          <w:sz w:val="26"/>
        </w:rPr>
        <w:t>Địa điểm: Thư viện.</w:t>
      </w:r>
    </w:p>
    <w:p>
      <w:pPr>
        <w:pStyle w:val="Normal"/>
        <w:keepNext w:val="true"/>
        <w:pageBreakBefore w:val="false"/>
        <w:spacing w:before="120" w:after="120"/>
        <w:jc w:val="start"/>
        <w:rPr/>
      </w:pPr>
      <w:r>
        <w:rPr>
          <w:rFonts w:eastAsia="Times New Roman" w:cs="Times New Roman"/>
          <w:b/>
          <w:sz w:val="26"/>
        </w:rPr>
        <w:t>II. Thành phần tham dự.</w:t>
      </w:r>
    </w:p>
    <w:p>
      <w:pPr>
        <w:pStyle w:val="Normal"/>
        <w:spacing w:lineRule="auto" w:line="360" w:before="0" w:after="120"/>
        <w:ind w:firstLine="567"/>
        <w:jc w:val="both"/>
        <w:rPr/>
      </w:pPr>
      <w:r>
        <w:rPr>
          <w:rFonts w:eastAsia="Times New Roman" w:cs="Times New Roman"/>
          <w:b w:val="false"/>
          <w:sz w:val="26"/>
        </w:rPr>
        <w:t>Toàn thể 12 thành viên Nhóm 13 - Lớp 261LAW61A02.</w:t>
      </w:r>
    </w:p>
    <w:p>
      <w:pPr>
        <w:pStyle w:val="Normal"/>
        <w:keepNext w:val="true"/>
        <w:pageBreakBefore w:val="false"/>
        <w:spacing w:before="120" w:after="120"/>
        <w:jc w:val="start"/>
        <w:rPr/>
      </w:pPr>
      <w:r>
        <w:rPr>
          <w:rFonts w:eastAsia="Times New Roman" w:cs="Times New Roman"/>
          <w:b/>
          <w:sz w:val="26"/>
        </w:rPr>
        <w:t>III. Nội dung cuộc họp.</w:t>
      </w:r>
    </w:p>
    <w:p>
      <w:pPr>
        <w:pStyle w:val="Normal"/>
        <w:spacing w:lineRule="auto" w:line="360" w:before="0" w:after="120"/>
        <w:ind w:firstLine="567"/>
        <w:jc w:val="both"/>
        <w:rPr/>
      </w:pPr>
      <w:r>
        <w:rPr>
          <w:rFonts w:eastAsia="Times New Roman" w:cs="Times New Roman"/>
          <w:b w:val="false"/>
          <w:sz w:val="26"/>
        </w:rPr>
        <w:t>Nhóm tiến hành rà soát, phân công và ghi nhận kết quả thực hiện công việc của từng thành viên đối với Báo cáo sơ bộ dịch vụ pháp lý ví điện tử, cụ thể như sau:</w:t>
      </w:r>
    </w:p>
    <w:p>
      <w:pPr>
        <w:pStyle w:val="Normal"/>
        <w:rPr/>
      </w:pPr>
      <w:r>
        <w:rPr/>
      </w:r>
      <w:r>
        <w:br w:type="page"/>
      </w:r>
    </w:p>
    <w:p>
      <w:pPr>
        <w:pStyle w:val="Normal"/>
        <w:keepNext w:val="true"/>
        <w:spacing w:before="0" w:after="120"/>
        <w:jc w:val="start"/>
        <w:rPr/>
      </w:pPr>
      <w:r>
        <w:rPr>
          <w:rFonts w:eastAsia="Times New Roman" w:cs="Times New Roman"/>
          <w:b/>
          <w:sz w:val="26"/>
        </w:rPr>
        <w:t>IV. Bảng phân công công việc và đánh giá đóng góp.</w:t>
      </w:r>
    </w:p>
    <w:tbl>
      <w:tblPr>
        <w:tblW w:w="10193" w:type="dxa"/>
        <w:jc w:val="center"/>
        <w:tblInd w:w="0" w:type="dxa"/>
        <w:tblLayout w:type="fixed"/>
        <w:tblCellMar>
          <w:top w:w="80" w:type="dxa"/>
          <w:start w:w="80" w:type="dxa"/>
          <w:bottom w:w="80" w:type="dxa"/>
          <w:end w:w="80" w:type="dxa"/>
        </w:tblCellMar>
        <w:tblLook w:noHBand="0" w:lastColumn="0" w:firstColumn="1" w:lastRow="0" w:firstRow="1" w:noVBand="1" w:val="04a0"/>
      </w:tblPr>
      <w:tblGrid>
        <w:gridCol w:w="983"/>
        <w:gridCol w:w="2014"/>
        <w:gridCol w:w="1643"/>
        <w:gridCol w:w="4188"/>
        <w:gridCol w:w="1365"/>
      </w:tblGrid>
      <w:tr>
        <w:trPr>
          <w:tblHeader w:val="true"/>
        </w:trPr>
        <w:tc>
          <w:tcPr>
            <w:tcW w:w="98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sz w:val="26"/>
              </w:rPr>
              <w:t>Số TT</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sz w:val="26"/>
              </w:rPr>
              <w:t>Họ và tên</w:t>
            </w:r>
          </w:p>
        </w:tc>
        <w:tc>
          <w:tcPr>
            <w:tcW w:w="164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sz w:val="26"/>
              </w:rPr>
              <w:t>Mã sinh viên</w:t>
            </w:r>
          </w:p>
        </w:tc>
        <w:tc>
          <w:tcPr>
            <w:tcW w:w="41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sz w:val="26"/>
              </w:rPr>
              <w:t>Công việc</w:t>
            </w:r>
          </w:p>
        </w:tc>
        <w:tc>
          <w:tcPr>
            <w:tcW w:w="13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sz w:val="26"/>
              </w:rPr>
              <w:t>Đóng góp</w:t>
            </w:r>
          </w:p>
          <w:p>
            <w:pPr>
              <w:pStyle w:val="Normal"/>
              <w:spacing w:lineRule="auto" w:line="240" w:before="0" w:after="0"/>
              <w:ind w:hanging="0" w:start="0"/>
              <w:jc w:val="center"/>
              <w:rPr/>
            </w:pPr>
            <w:r>
              <w:rPr>
                <w:rFonts w:eastAsia="Times New Roman" w:cs="Times New Roman"/>
                <w:b/>
                <w:sz w:val="26"/>
              </w:rPr>
              <w:t>(10 điểm)</w:t>
            </w:r>
          </w:p>
        </w:tc>
      </w:tr>
      <w:tr>
        <w:trPr>
          <w:cantSplit/>
        </w:trPr>
        <w:tc>
          <w:tcPr>
            <w:tcW w:w="98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1</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Đoàn Anh Phương</w:t>
            </w:r>
          </w:p>
        </w:tc>
        <w:tc>
          <w:tcPr>
            <w:tcW w:w="164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w:t>
            </w:r>
            <w:r>
              <w:rPr>
                <w:rFonts w:eastAsia="Times New Roman" w:cs="Times New Roman"/>
                <w:b w:val="false"/>
                <w:sz w:val="26"/>
              </w:rPr>
              <w:t>6A4062550</w:t>
            </w:r>
          </w:p>
        </w:tc>
        <w:tc>
          <w:tcPr>
            <w:tcW w:w="41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rFonts w:ascii="Times New Roman" w:hAnsi="Times New Roman" w:eastAsia="Times New Roman" w:cs="Times New Roman"/>
                <w:b w:val="false"/>
                <w:sz w:val="26"/>
              </w:rPr>
            </w:pPr>
            <w:r>
              <w:rPr>
                <w:rFonts w:eastAsia="Times New Roman" w:cs="Times New Roman"/>
                <w:b w:val="false"/>
                <w:sz w:val="26"/>
              </w:rPr>
              <w:t>1. Tư vấn xác định mô hình: Tư vấn pháp lý thường xuyên (nhánh thẩm định sản phẩm mới).</w:t>
            </w:r>
          </w:p>
          <w:p>
            <w:pPr>
              <w:pStyle w:val="Normal"/>
              <w:spacing w:lineRule="auto" w:line="240" w:before="0" w:after="0"/>
              <w:ind w:hanging="0" w:start="0"/>
              <w:jc w:val="start"/>
              <w:rPr>
                <w:rFonts w:ascii="Times New Roman" w:hAnsi="Times New Roman" w:eastAsia="Times New Roman" w:cs="Times New Roman"/>
                <w:b w:val="false"/>
                <w:sz w:val="26"/>
              </w:rPr>
            </w:pPr>
            <w:r>
              <w:rPr>
                <w:rFonts w:eastAsia="Times New Roman" w:cs="Times New Roman"/>
                <w:b w:val="false"/>
                <w:sz w:val="26"/>
              </w:rPr>
              <w:t>2. Chỉnh sửa nội dung (Tuần 2 và bản cuối Báo cáo sơ bộ).</w:t>
            </w:r>
          </w:p>
          <w:p>
            <w:pPr>
              <w:pStyle w:val="Normal"/>
              <w:spacing w:lineRule="auto" w:line="240" w:before="0" w:after="0"/>
              <w:ind w:hanging="0" w:start="0"/>
              <w:jc w:val="start"/>
              <w:rPr/>
            </w:pPr>
            <w:r>
              <w:rPr>
                <w:rFonts w:eastAsia="Times New Roman" w:cs="Times New Roman"/>
                <w:b w:val="false"/>
                <w:sz w:val="26"/>
              </w:rPr>
              <w:t>3. Xây dựng định dạng, dàn ý chung của Báo cáo.</w:t>
            </w:r>
          </w:p>
          <w:p>
            <w:pPr>
              <w:pStyle w:val="Normal"/>
              <w:spacing w:lineRule="auto" w:line="240" w:before="0" w:after="0"/>
              <w:ind w:hanging="0" w:start="0"/>
              <w:jc w:val="start"/>
              <w:rPr/>
            </w:pPr>
            <w:r>
              <w:rPr>
                <w:rFonts w:eastAsia="Times New Roman" w:cs="Times New Roman"/>
                <w:b w:val="false"/>
                <w:sz w:val="26"/>
              </w:rPr>
              <w:t>4. Thuyết trình.</w:t>
            </w:r>
          </w:p>
        </w:tc>
        <w:tc>
          <w:tcPr>
            <w:tcW w:w="13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10</w:t>
            </w:r>
          </w:p>
        </w:tc>
      </w:tr>
      <w:tr>
        <w:trPr>
          <w:cantSplit/>
        </w:trPr>
        <w:tc>
          <w:tcPr>
            <w:tcW w:w="98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Lê Thị Hồng Nhung</w:t>
            </w:r>
          </w:p>
        </w:tc>
        <w:tc>
          <w:tcPr>
            <w:tcW w:w="164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26A4062545</w:t>
            </w:r>
          </w:p>
        </w:tc>
        <w:tc>
          <w:tcPr>
            <w:tcW w:w="41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Hợp đồng thuê ngoài dịch vụ công nghệ thông tin.</w:t>
            </w:r>
          </w:p>
          <w:p>
            <w:pPr>
              <w:pStyle w:val="Normal"/>
              <w:spacing w:lineRule="auto" w:line="240" w:before="0" w:after="0"/>
              <w:ind w:hanging="0" w:start="0"/>
              <w:jc w:val="start"/>
              <w:rPr/>
            </w:pPr>
            <w:r>
              <w:rPr>
                <w:rFonts w:eastAsia="Times New Roman" w:cs="Times New Roman"/>
                <w:b w:val="false"/>
                <w:sz w:val="26"/>
              </w:rPr>
              <w:t>- Hợp đồng với đơn vị chấp nhận thanh toán.</w:t>
            </w:r>
          </w:p>
        </w:tc>
        <w:tc>
          <w:tcPr>
            <w:tcW w:w="13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8</w:t>
            </w:r>
          </w:p>
        </w:tc>
      </w:tr>
      <w:tr>
        <w:trPr>
          <w:cantSplit/>
        </w:trPr>
        <w:tc>
          <w:tcPr>
            <w:tcW w:w="98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3</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Vũ Anh Quân</w:t>
            </w:r>
          </w:p>
        </w:tc>
        <w:tc>
          <w:tcPr>
            <w:tcW w:w="164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26A4062552</w:t>
            </w:r>
          </w:p>
        </w:tc>
        <w:tc>
          <w:tcPr>
            <w:tcW w:w="41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 Hợp đồng cung cấp dịch vụ tích hợp API ví điện tử.</w:t>
            </w:r>
          </w:p>
          <w:p>
            <w:pPr>
              <w:pStyle w:val="Normal"/>
              <w:spacing w:lineRule="auto" w:line="240" w:before="0" w:after="0"/>
              <w:ind w:hanging="0" w:start="0"/>
              <w:jc w:val="start"/>
              <w:rPr/>
            </w:pPr>
            <w:r>
              <w:rPr>
                <w:rFonts w:eastAsia="Times New Roman" w:cs="Times New Roman"/>
                <w:b w:val="false"/>
                <w:sz w:val="26"/>
              </w:rPr>
              <w:t>2. Tổng hợp Word: bản đầy đủ và bản tóm tắt.</w:t>
            </w:r>
          </w:p>
          <w:p>
            <w:pPr>
              <w:pStyle w:val="Normal"/>
              <w:spacing w:lineRule="auto" w:line="240" w:before="0" w:after="0"/>
              <w:ind w:hanging="0" w:start="0"/>
              <w:jc w:val="start"/>
              <w:rPr/>
            </w:pPr>
            <w:r>
              <w:rPr>
                <w:rFonts w:eastAsia="Times New Roman" w:cs="Times New Roman"/>
                <w:b w:val="false"/>
                <w:sz w:val="26"/>
              </w:rPr>
              <w:t>3. Xây dựng website.</w:t>
            </w:r>
          </w:p>
        </w:tc>
        <w:tc>
          <w:tcPr>
            <w:tcW w:w="13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10</w:t>
            </w:r>
          </w:p>
        </w:tc>
      </w:tr>
      <w:tr>
        <w:trPr>
          <w:cantSplit/>
        </w:trPr>
        <w:tc>
          <w:tcPr>
            <w:tcW w:w="98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4</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Phạm Văn Quang</w:t>
            </w:r>
          </w:p>
        </w:tc>
        <w:tc>
          <w:tcPr>
            <w:tcW w:w="164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26A4062551</w:t>
            </w:r>
          </w:p>
        </w:tc>
        <w:tc>
          <w:tcPr>
            <w:tcW w:w="41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Hợp đồng bảo mật thông tin.</w:t>
            </w:r>
          </w:p>
          <w:p>
            <w:pPr>
              <w:pStyle w:val="Normal"/>
              <w:spacing w:lineRule="auto" w:line="240" w:before="0" w:after="0"/>
              <w:ind w:hanging="0" w:start="0"/>
              <w:jc w:val="start"/>
              <w:rPr/>
            </w:pPr>
            <w:r>
              <w:rPr>
                <w:rFonts w:eastAsia="Times New Roman" w:cs="Times New Roman"/>
                <w:b w:val="false"/>
                <w:sz w:val="26"/>
              </w:rPr>
              <w:t>- Thỏa thuận sở hữu trí tuệ.</w:t>
            </w:r>
          </w:p>
        </w:tc>
        <w:tc>
          <w:tcPr>
            <w:tcW w:w="13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7,5</w:t>
            </w:r>
          </w:p>
        </w:tc>
      </w:tr>
      <w:tr>
        <w:trPr>
          <w:cantSplit/>
        </w:trPr>
        <w:tc>
          <w:tcPr>
            <w:tcW w:w="98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5</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Nguyễn Huy Thái</w:t>
            </w:r>
          </w:p>
        </w:tc>
        <w:tc>
          <w:tcPr>
            <w:tcW w:w="164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26A4062558</w:t>
            </w:r>
          </w:p>
        </w:tc>
        <w:tc>
          <w:tcPr>
            <w:tcW w:w="41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Quy trình xử lý khiếu nại.</w:t>
            </w:r>
          </w:p>
          <w:p>
            <w:pPr>
              <w:pStyle w:val="Normal"/>
              <w:spacing w:lineRule="auto" w:line="240" w:before="0" w:after="0"/>
              <w:ind w:hanging="0" w:start="0"/>
              <w:jc w:val="start"/>
              <w:rPr/>
            </w:pPr>
            <w:r>
              <w:rPr>
                <w:rFonts w:eastAsia="Times New Roman" w:cs="Times New Roman"/>
                <w:b w:val="false"/>
                <w:sz w:val="26"/>
              </w:rPr>
              <w:t>- Các văn bản, hồ sơ xử lý tình huống.</w:t>
            </w:r>
          </w:p>
        </w:tc>
        <w:tc>
          <w:tcPr>
            <w:tcW w:w="13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8</w:t>
            </w:r>
          </w:p>
        </w:tc>
      </w:tr>
      <w:tr>
        <w:trPr>
          <w:cantSplit/>
        </w:trPr>
        <w:tc>
          <w:tcPr>
            <w:tcW w:w="98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6</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Lê Phương Thảo</w:t>
            </w:r>
          </w:p>
        </w:tc>
        <w:tc>
          <w:tcPr>
            <w:tcW w:w="164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26A4062560</w:t>
            </w:r>
          </w:p>
        </w:tc>
        <w:tc>
          <w:tcPr>
            <w:tcW w:w="41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Hợp đồng lao động.</w:t>
            </w:r>
          </w:p>
          <w:p>
            <w:pPr>
              <w:pStyle w:val="Normal"/>
              <w:spacing w:lineRule="auto" w:line="240" w:before="0" w:after="0"/>
              <w:ind w:hanging="0" w:start="0"/>
              <w:jc w:val="start"/>
              <w:rPr/>
            </w:pPr>
            <w:r>
              <w:rPr>
                <w:rFonts w:eastAsia="Times New Roman" w:cs="Times New Roman"/>
                <w:b w:val="false"/>
                <w:sz w:val="26"/>
              </w:rPr>
              <w:t>- Hợp đồng sử dụng dịch vụ ví điện tử liên kết ngân hàng.</w:t>
            </w:r>
          </w:p>
          <w:p>
            <w:pPr>
              <w:pStyle w:val="Normal"/>
              <w:spacing w:lineRule="auto" w:line="240" w:before="0" w:after="0"/>
              <w:ind w:hanging="0" w:start="0"/>
              <w:jc w:val="start"/>
              <w:rPr/>
            </w:pPr>
            <w:r>
              <w:rPr>
                <w:rFonts w:eastAsia="Times New Roman" w:cs="Times New Roman"/>
                <w:b w:val="false"/>
                <w:sz w:val="26"/>
              </w:rPr>
              <w:t>2. Thuyết trình.</w:t>
            </w:r>
          </w:p>
        </w:tc>
        <w:tc>
          <w:tcPr>
            <w:tcW w:w="13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9</w:t>
            </w:r>
          </w:p>
        </w:tc>
      </w:tr>
      <w:tr>
        <w:trPr>
          <w:cantSplit/>
        </w:trPr>
        <w:tc>
          <w:tcPr>
            <w:tcW w:w="98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7</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Phạm Dạ Thảo</w:t>
            </w:r>
          </w:p>
        </w:tc>
        <w:tc>
          <w:tcPr>
            <w:tcW w:w="1643"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26A4060735</w:t>
            </w:r>
          </w:p>
        </w:tc>
        <w:tc>
          <w:tcPr>
            <w:tcW w:w="418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Dịch vụ tư vấn thành lập công ty cổ phần.</w:t>
            </w:r>
          </w:p>
          <w:p>
            <w:pPr>
              <w:pStyle w:val="Normal"/>
              <w:spacing w:lineRule="auto" w:line="240" w:before="0" w:after="0"/>
              <w:ind w:hanging="0" w:start="0"/>
              <w:jc w:val="start"/>
              <w:rPr/>
            </w:pPr>
            <w:r>
              <w:rPr>
                <w:rFonts w:eastAsia="Times New Roman" w:cs="Times New Roman"/>
                <w:b w:val="false"/>
                <w:sz w:val="26"/>
              </w:rPr>
              <w:t>- Hợp đồng hợp tác kinh doanh.</w:t>
            </w:r>
          </w:p>
        </w:tc>
        <w:tc>
          <w:tcPr>
            <w:tcW w:w="136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8</w:t>
            </w:r>
          </w:p>
        </w:tc>
      </w:tr>
    </w:tbl>
    <w:p>
      <w:pPr>
        <w:pStyle w:val="Normal"/>
        <w:rPr/>
      </w:pPr>
      <w:r>
        <w:rPr/>
      </w:r>
      <w:r>
        <w:br w:type="page"/>
      </w:r>
    </w:p>
    <w:tbl>
      <w:tblPr>
        <w:tblW w:w="10008" w:type="dxa"/>
        <w:jc w:val="center"/>
        <w:tblInd w:w="0" w:type="dxa"/>
        <w:tblLayout w:type="fixed"/>
        <w:tblCellMar>
          <w:top w:w="80" w:type="dxa"/>
          <w:start w:w="80" w:type="dxa"/>
          <w:bottom w:w="80" w:type="dxa"/>
          <w:end w:w="80" w:type="dxa"/>
        </w:tblCellMar>
        <w:tblLook w:noHBand="0" w:lastColumn="0" w:firstColumn="1" w:lastRow="0" w:firstRow="1" w:noVBand="1" w:val="04a0"/>
      </w:tblPr>
      <w:tblGrid>
        <w:gridCol w:w="890"/>
        <w:gridCol w:w="2014"/>
        <w:gridCol w:w="1548"/>
        <w:gridCol w:w="4189"/>
        <w:gridCol w:w="1367"/>
      </w:tblGrid>
      <w:tr>
        <w:trPr>
          <w:tblHeader w:val="true"/>
        </w:trPr>
        <w:tc>
          <w:tcPr>
            <w:tcW w:w="890" w:type="dxa"/>
            <w:tcBorders>
              <w:top w:val="single" w:sz="6" w:space="0" w:color="000000"/>
              <w:start w:val="single" w:sz="6" w:space="0" w:color="000000"/>
              <w:bottom w:val="single" w:sz="6" w:space="0" w:color="000000"/>
              <w:end w:val="single" w:sz="6" w:space="0" w:color="000000"/>
            </w:tcBorders>
            <w:vAlign w:val="center"/>
          </w:tcPr>
          <w:p>
            <w:pPr>
              <w:pStyle w:val="Normal"/>
              <w:pageBreakBefore/>
              <w:spacing w:lineRule="auto" w:line="240" w:before="0" w:after="0"/>
              <w:ind w:hanging="0" w:start="0"/>
              <w:jc w:val="center"/>
              <w:rPr/>
            </w:pPr>
            <w:r>
              <w:rPr>
                <w:rFonts w:eastAsia="Times New Roman" w:cs="Times New Roman"/>
                <w:b/>
                <w:sz w:val="26"/>
              </w:rPr>
              <w:t>Số</w:t>
            </w:r>
          </w:p>
          <w:p>
            <w:pPr>
              <w:pStyle w:val="Normal"/>
              <w:spacing w:lineRule="auto" w:line="240" w:before="0" w:after="0"/>
              <w:ind w:hanging="0" w:start="0"/>
              <w:jc w:val="center"/>
              <w:rPr/>
            </w:pPr>
            <w:r>
              <w:rPr>
                <w:rFonts w:eastAsia="Times New Roman" w:cs="Times New Roman"/>
                <w:b/>
                <w:sz w:val="26"/>
              </w:rPr>
              <w:t>TT</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sz w:val="26"/>
              </w:rPr>
              <w:t>Họ và tên</w:t>
            </w:r>
          </w:p>
        </w:tc>
        <w:tc>
          <w:tcPr>
            <w:tcW w:w="154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sz w:val="26"/>
              </w:rPr>
              <w:t>Mã sinh viên</w:t>
            </w:r>
          </w:p>
        </w:tc>
        <w:tc>
          <w:tcPr>
            <w:tcW w:w="418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sz w:val="26"/>
              </w:rPr>
              <w:t>Công việc</w:t>
            </w:r>
          </w:p>
        </w:tc>
        <w:tc>
          <w:tcPr>
            <w:tcW w:w="136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sz w:val="26"/>
              </w:rPr>
              <w:t>Đóng góp</w:t>
            </w:r>
          </w:p>
          <w:p>
            <w:pPr>
              <w:pStyle w:val="Normal"/>
              <w:spacing w:lineRule="auto" w:line="240" w:before="0" w:after="0"/>
              <w:ind w:hanging="0" w:start="0"/>
              <w:jc w:val="center"/>
              <w:rPr/>
            </w:pPr>
            <w:r>
              <w:rPr>
                <w:rFonts w:eastAsia="Times New Roman" w:cs="Times New Roman"/>
                <w:b/>
                <w:sz w:val="26"/>
              </w:rPr>
              <w:t>(10 điểm)</w:t>
            </w:r>
          </w:p>
        </w:tc>
      </w:tr>
      <w:tr>
        <w:trPr>
          <w:cantSplit/>
        </w:trPr>
        <w:tc>
          <w:tcPr>
            <w:tcW w:w="89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8</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Vũ Phương Thảo</w:t>
            </w:r>
          </w:p>
        </w:tc>
        <w:tc>
          <w:tcPr>
            <w:tcW w:w="154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26A4060736</w:t>
            </w:r>
          </w:p>
        </w:tc>
        <w:tc>
          <w:tcPr>
            <w:tcW w:w="418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Hợp đồng hợp tác kết nối và mở tài khoản bảo đảm thanh toán.</w:t>
            </w:r>
          </w:p>
          <w:p>
            <w:pPr>
              <w:pStyle w:val="Normal"/>
              <w:spacing w:lineRule="auto" w:line="240" w:before="0" w:after="0"/>
              <w:ind w:hanging="0" w:start="0"/>
              <w:jc w:val="start"/>
              <w:rPr/>
            </w:pPr>
            <w:r>
              <w:rPr>
                <w:rFonts w:eastAsia="Times New Roman" w:cs="Times New Roman"/>
                <w:b w:val="false"/>
                <w:sz w:val="26"/>
              </w:rPr>
              <w:t>- Dịch vụ tư vấn thường xuyên (nhánh cập nhật pháp lý định kỳ).</w:t>
            </w:r>
          </w:p>
        </w:tc>
        <w:tc>
          <w:tcPr>
            <w:tcW w:w="136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7,5</w:t>
            </w:r>
          </w:p>
        </w:tc>
      </w:tr>
      <w:tr>
        <w:trPr>
          <w:cantSplit/>
        </w:trPr>
        <w:tc>
          <w:tcPr>
            <w:tcW w:w="89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9</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Kiều Hoài Thu</w:t>
            </w:r>
          </w:p>
        </w:tc>
        <w:tc>
          <w:tcPr>
            <w:tcW w:w="154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26A4060739</w:t>
            </w:r>
          </w:p>
        </w:tc>
        <w:tc>
          <w:tcPr>
            <w:tcW w:w="418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Điều lệ công ty.</w:t>
            </w:r>
          </w:p>
          <w:p>
            <w:pPr>
              <w:pStyle w:val="Normal"/>
              <w:spacing w:lineRule="auto" w:line="240" w:before="0" w:after="0"/>
              <w:ind w:hanging="0" w:start="0"/>
              <w:jc w:val="start"/>
              <w:rPr/>
            </w:pPr>
            <w:r>
              <w:rPr>
                <w:rFonts w:eastAsia="Times New Roman" w:cs="Times New Roman"/>
                <w:b w:val="false"/>
                <w:sz w:val="26"/>
              </w:rPr>
              <w:t>- Tư vấn tổ chức và tiến hành Đại hội đồng cổ đông.</w:t>
            </w:r>
          </w:p>
          <w:p>
            <w:pPr>
              <w:pStyle w:val="Normal"/>
              <w:spacing w:lineRule="auto" w:line="240" w:before="0" w:after="0"/>
              <w:ind w:hanging="0" w:start="0"/>
              <w:jc w:val="start"/>
              <w:rPr/>
            </w:pPr>
            <w:r>
              <w:rPr>
                <w:rFonts w:eastAsia="Times New Roman" w:cs="Times New Roman"/>
                <w:b w:val="false"/>
                <w:sz w:val="26"/>
              </w:rPr>
              <w:t>2. Thuyết trình.</w:t>
            </w:r>
          </w:p>
        </w:tc>
        <w:tc>
          <w:tcPr>
            <w:tcW w:w="136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8,5</w:t>
            </w:r>
          </w:p>
        </w:tc>
      </w:tr>
      <w:tr>
        <w:trPr>
          <w:cantSplit/>
        </w:trPr>
        <w:tc>
          <w:tcPr>
            <w:tcW w:w="89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10</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Trần Thị Thơ</w:t>
            </w:r>
          </w:p>
        </w:tc>
        <w:tc>
          <w:tcPr>
            <w:tcW w:w="154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26A4060737</w:t>
            </w:r>
          </w:p>
        </w:tc>
        <w:tc>
          <w:tcPr>
            <w:tcW w:w="418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Hợp đồng với Giám đốc/Tổng giám đốc.</w:t>
            </w:r>
          </w:p>
          <w:p>
            <w:pPr>
              <w:pStyle w:val="Normal"/>
              <w:spacing w:lineRule="auto" w:line="240" w:before="0" w:after="0"/>
              <w:ind w:hanging="0" w:start="0"/>
              <w:jc w:val="start"/>
              <w:rPr/>
            </w:pPr>
            <w:r>
              <w:rPr>
                <w:rFonts w:eastAsia="Times New Roman" w:cs="Times New Roman"/>
                <w:b w:val="false"/>
                <w:sz w:val="26"/>
              </w:rPr>
              <w:t>- Hợp đồng mở và sử dụng ví điện tử.</w:t>
            </w:r>
          </w:p>
        </w:tc>
        <w:tc>
          <w:tcPr>
            <w:tcW w:w="136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8</w:t>
            </w:r>
          </w:p>
        </w:tc>
      </w:tr>
      <w:tr>
        <w:trPr>
          <w:cantSplit/>
        </w:trPr>
        <w:tc>
          <w:tcPr>
            <w:tcW w:w="89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11</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Trần Thị Thùy</w:t>
            </w:r>
          </w:p>
        </w:tc>
        <w:tc>
          <w:tcPr>
            <w:tcW w:w="154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26A4062565</w:t>
            </w:r>
          </w:p>
        </w:tc>
        <w:tc>
          <w:tcPr>
            <w:tcW w:w="418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Thỏa thuận giữa các cổ đông.</w:t>
            </w:r>
          </w:p>
          <w:p>
            <w:pPr>
              <w:pStyle w:val="Normal"/>
              <w:spacing w:lineRule="auto" w:line="240" w:before="0" w:after="0"/>
              <w:ind w:hanging="0" w:start="0"/>
              <w:jc w:val="start"/>
              <w:rPr/>
            </w:pPr>
            <w:r>
              <w:rPr>
                <w:rFonts w:eastAsia="Times New Roman" w:cs="Times New Roman"/>
                <w:b w:val="false"/>
                <w:sz w:val="26"/>
              </w:rPr>
              <w:t>- Hợp đồng cung cấp dịch vụ thanh toán.</w:t>
            </w:r>
          </w:p>
        </w:tc>
        <w:tc>
          <w:tcPr>
            <w:tcW w:w="136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8</w:t>
            </w:r>
          </w:p>
        </w:tc>
      </w:tr>
      <w:tr>
        <w:trPr>
          <w:cantSplit/>
        </w:trPr>
        <w:tc>
          <w:tcPr>
            <w:tcW w:w="89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12</w:t>
            </w:r>
          </w:p>
        </w:tc>
        <w:tc>
          <w:tcPr>
            <w:tcW w:w="201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Vương Thu Thủy</w:t>
            </w:r>
          </w:p>
        </w:tc>
        <w:tc>
          <w:tcPr>
            <w:tcW w:w="154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26A4062567</w:t>
            </w:r>
          </w:p>
        </w:tc>
        <w:tc>
          <w:tcPr>
            <w:tcW w:w="418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start"/>
              <w:rPr/>
            </w:pPr>
            <w:r>
              <w:rPr>
                <w:rFonts w:eastAsia="Times New Roman" w:cs="Times New Roman"/>
                <w:b w:val="false"/>
                <w:sz w:val="26"/>
              </w:rPr>
              <w:t>1. Nội dung:</w:t>
            </w:r>
          </w:p>
          <w:p>
            <w:pPr>
              <w:pStyle w:val="Normal"/>
              <w:spacing w:lineRule="auto" w:line="240" w:before="0" w:after="0"/>
              <w:ind w:hanging="0" w:start="0"/>
              <w:jc w:val="start"/>
              <w:rPr/>
            </w:pPr>
            <w:r>
              <w:rPr>
                <w:rFonts w:eastAsia="Times New Roman" w:cs="Times New Roman"/>
                <w:b w:val="false"/>
                <w:sz w:val="26"/>
              </w:rPr>
              <w:t>- Hợp đồng hợp tác khuyến mại.</w:t>
            </w:r>
          </w:p>
          <w:p>
            <w:pPr>
              <w:pStyle w:val="Normal"/>
              <w:spacing w:lineRule="auto" w:line="240" w:before="0" w:after="0"/>
              <w:ind w:hanging="0" w:start="0"/>
              <w:jc w:val="start"/>
              <w:rPr/>
            </w:pPr>
            <w:r>
              <w:rPr>
                <w:rFonts w:eastAsia="Times New Roman" w:cs="Times New Roman"/>
                <w:b w:val="false"/>
                <w:sz w:val="26"/>
              </w:rPr>
              <w:t>- Chính sách bảo vệ dữ liệu cá nhân.</w:t>
            </w:r>
          </w:p>
        </w:tc>
        <w:tc>
          <w:tcPr>
            <w:tcW w:w="136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before="0" w:after="0"/>
              <w:ind w:hanging="0" w:start="0"/>
              <w:jc w:val="center"/>
              <w:rPr/>
            </w:pPr>
            <w:r>
              <w:rPr>
                <w:rFonts w:eastAsia="Times New Roman" w:cs="Times New Roman"/>
                <w:b w:val="false"/>
                <w:sz w:val="26"/>
              </w:rPr>
              <w:t>8</w:t>
            </w:r>
          </w:p>
        </w:tc>
      </w:tr>
    </w:tbl>
    <w:p>
      <w:pPr>
        <w:pStyle w:val="Normal"/>
        <w:keepNext w:val="true"/>
        <w:pageBreakBefore w:val="false"/>
        <w:spacing w:before="120" w:after="120"/>
        <w:jc w:val="start"/>
        <w:rPr/>
      </w:pPr>
      <w:r>
        <w:rPr>
          <w:rFonts w:eastAsia="Times New Roman" w:cs="Times New Roman"/>
          <w:b/>
          <w:sz w:val="26"/>
        </w:rPr>
        <w:t>V. Kết luận.</w:t>
      </w:r>
    </w:p>
    <w:p>
      <w:pPr>
        <w:pStyle w:val="Normal"/>
        <w:spacing w:lineRule="auto" w:line="360" w:before="0" w:after="120"/>
        <w:ind w:firstLine="567"/>
        <w:jc w:val="both"/>
        <w:rPr/>
      </w:pPr>
      <w:r>
        <w:rPr>
          <w:rFonts w:eastAsia="Times New Roman" w:cs="Times New Roman"/>
          <w:b w:val="false"/>
          <w:sz w:val="26"/>
        </w:rPr>
        <w:t>Cuộc họp kết thúc lúc 11 giờ 30 phút cùng ngày. Các thành viên đã thống nhất về nội dung công việc đã thực hiện và mức điểm đóng góp được ghi nhận trong biên bản này.</w:t>
      </w:r>
    </w:p>
    <w:p>
      <w:pPr>
        <w:pStyle w:val="Normal"/>
        <w:keepLines/>
        <w:spacing w:before="240" w:after="120"/>
        <w:jc w:val="end"/>
        <w:r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1134" w:gutter="0" w:header="567" w:top="1134" w:footer="567" w:bottom="1134"/>
          <w:pgNumType w:fmt="decimal"/>
          <w:formProt w:val="false"/>
          <w:textDirection w:val="lrTb"/>
          <w:docGrid w:type="default" w:linePitch="360" w:charSpace="0"/>
        </w:sectPr>
      </w:pPr>
      <w:r>
        <w:rPr>
          <w:rFonts w:eastAsia="Times New Roman" w:cs="Times New Roman"/>
          <w:b/>
          <w:sz w:val="26"/>
        </w:rPr>
        <w:t>NHÓM TRƯỞNG</w:t>
      </w:r>
      <w:r>
        <w:rPr/>
        <w:br/>
      </w:r>
      <w:r>
        <w:rPr>
          <w:rFonts w:eastAsia="Times New Roman" w:cs="Times New Roman"/>
          <w:i/>
          <w:sz w:val="26"/>
        </w:rPr>
        <w:t>(Ký, ghi rõ họ tên)</w:t>
      </w:r>
    </w:p>
    <w:p>
      <w:pPr>
        <w:pStyle w:val="Heading1"/>
        <w:spacing w:before="0" w:after="240"/>
        <w:ind w:hanging="0"/>
        <w:jc w:val="center"/>
        <w:rPr/>
      </w:pPr>
      <w:r>
        <w:rPr>
          <w:rFonts w:eastAsia="Times New Roman" w:cs="Times New Roman" w:ascii="Times New Roman" w:hAnsi="Times New Roman"/>
          <w:b/>
          <w:color w:val="000000"/>
          <w:sz w:val="26"/>
        </w:rPr>
        <w:t>MỤC LỤC</w:t>
      </w:r>
    </w:p>
    <w:p>
      <w:pPr>
        <w:pStyle w:val="TOC1"/>
        <w:tabs>
          <w:tab w:val="clear" w:pos="720"/>
          <w:tab w:val="right" w:pos="8844" w:leader="dot"/>
        </w:tabs>
        <w:spacing w:lineRule="auto" w:line="240" w:before="0" w:after="0"/>
        <w:ind w:hanging="0" w:start="0" w:end="0"/>
        <w:rPr/>
      </w:pPr>
      <w:r>
        <w:rPr>
          <w:rFonts w:eastAsia="Times New Roman" w:cs="Times New Roman"/>
          <w:b/>
          <w:sz w:val="26"/>
        </w:rPr>
        <w:t>BỐI CẢNH VÀ ĐỊNH HƯỚNG CUNG CẤP DỊCH VỤ.</w:t>
      </w:r>
      <w:r>
        <w:rPr/>
        <w:tab/>
      </w:r>
      <w:r>
        <w:rPr>
          <w:rFonts w:eastAsia="Times New Roman" w:cs="Times New Roman"/>
          <w:b/>
          <w:sz w:val="26"/>
        </w:rPr>
        <w:t>2</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1. Thông tin doanh nghiệp.</w:t>
      </w:r>
      <w:r>
        <w:rPr/>
        <w:tab/>
      </w:r>
      <w:r>
        <w:rPr>
          <w:rFonts w:eastAsia="Times New Roman" w:cs="Times New Roman"/>
          <w:b w:val="false"/>
          <w:sz w:val="26"/>
        </w:rPr>
        <w:t>2</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2. Nguyên tắc triển khai.</w:t>
      </w:r>
      <w:r>
        <w:rPr/>
        <w:tab/>
      </w:r>
      <w:r>
        <w:rPr>
          <w:rFonts w:eastAsia="Times New Roman" w:cs="Times New Roman"/>
          <w:b w:val="false"/>
          <w:sz w:val="26"/>
        </w:rPr>
        <w:t>2</w:t>
      </w:r>
    </w:p>
    <w:p>
      <w:pPr>
        <w:pStyle w:val="TOC1"/>
        <w:tabs>
          <w:tab w:val="clear" w:pos="720"/>
          <w:tab w:val="right" w:pos="8844" w:leader="dot"/>
        </w:tabs>
        <w:spacing w:lineRule="auto" w:line="240" w:before="0" w:after="0"/>
        <w:ind w:hanging="0" w:start="0" w:end="0"/>
        <w:rPr/>
      </w:pPr>
      <w:r>
        <w:rPr>
          <w:rFonts w:eastAsia="Times New Roman" w:cs="Times New Roman"/>
          <w:b/>
          <w:sz w:val="26"/>
        </w:rPr>
        <w:t>CHƯƠNG 1. TƯ VẤN XÁC ĐỊNH MÔ HÌNH FINTECH (*).</w:t>
      </w:r>
      <w:r>
        <w:rPr/>
        <w:tab/>
      </w:r>
      <w:r>
        <w:rPr>
          <w:rFonts w:eastAsia="Times New Roman" w:cs="Times New Roman"/>
          <w:b/>
          <w:sz w:val="26"/>
        </w:rPr>
        <w:t>3</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1.1. Giới thiệu dịch vụ.</w:t>
      </w:r>
      <w:r>
        <w:rPr/>
        <w:tab/>
      </w:r>
      <w:r>
        <w:rPr>
          <w:rFonts w:eastAsia="Times New Roman" w:cs="Times New Roman"/>
          <w:b w:val="false"/>
          <w:sz w:val="26"/>
        </w:rPr>
        <w:t>3</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1.2. Nội dung dịch vụ.</w:t>
      </w:r>
      <w:r>
        <w:rPr/>
        <w:tab/>
      </w:r>
      <w:r>
        <w:rPr>
          <w:rFonts w:eastAsia="Times New Roman" w:cs="Times New Roman"/>
          <w:b w:val="false"/>
          <w:sz w:val="26"/>
        </w:rPr>
        <w:t>3</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1.3. Phạm vi dịch vụ.</w:t>
      </w:r>
      <w:r>
        <w:rPr/>
        <w:tab/>
      </w:r>
      <w:r>
        <w:rPr>
          <w:rFonts w:eastAsia="Times New Roman" w:cs="Times New Roman"/>
          <w:b w:val="false"/>
          <w:sz w:val="26"/>
        </w:rPr>
        <w:t>4</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1.4. Mục đích và lợi ích đối với nhà đầu tư.</w:t>
      </w:r>
      <w:r>
        <w:rPr/>
        <w:tab/>
      </w:r>
      <w:r>
        <w:rPr>
          <w:rFonts w:eastAsia="Times New Roman" w:cs="Times New Roman"/>
          <w:b w:val="false"/>
          <w:sz w:val="26"/>
        </w:rPr>
        <w:t>4</w:t>
      </w:r>
    </w:p>
    <w:p>
      <w:pPr>
        <w:pStyle w:val="TOC1"/>
        <w:tabs>
          <w:tab w:val="clear" w:pos="720"/>
          <w:tab w:val="right" w:pos="8844" w:leader="dot"/>
        </w:tabs>
        <w:spacing w:lineRule="auto" w:line="240" w:before="0" w:after="0"/>
        <w:ind w:hanging="0" w:start="0" w:end="0"/>
        <w:rPr/>
      </w:pPr>
      <w:r>
        <w:rPr>
          <w:rFonts w:eastAsia="Times New Roman" w:cs="Times New Roman"/>
          <w:b/>
          <w:sz w:val="26"/>
        </w:rPr>
        <w:t>CHƯƠNG 2. TƯ VẤN THÀNH LẬP DOANH NGHIỆP (*).</w:t>
      </w:r>
      <w:r>
        <w:rPr/>
        <w:tab/>
      </w:r>
      <w:r>
        <w:rPr>
          <w:rFonts w:eastAsia="Times New Roman" w:cs="Times New Roman"/>
          <w:b/>
          <w:sz w:val="26"/>
        </w:rPr>
        <w:t>4</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2.1. Giới thiệu dịch vụ.</w:t>
      </w:r>
      <w:r>
        <w:rPr/>
        <w:tab/>
      </w:r>
      <w:r>
        <w:rPr>
          <w:rFonts w:eastAsia="Times New Roman" w:cs="Times New Roman"/>
          <w:b w:val="false"/>
          <w:sz w:val="26"/>
        </w:rPr>
        <w:t>4</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2.2. Nội dung dịch vụ.</w:t>
      </w:r>
      <w:r>
        <w:rPr/>
        <w:tab/>
      </w:r>
      <w:r>
        <w:rPr>
          <w:rFonts w:eastAsia="Times New Roman" w:cs="Times New Roman"/>
          <w:b w:val="false"/>
          <w:sz w:val="26"/>
        </w:rPr>
        <w:t>5</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2.3. Phạm vi dịch vụ.</w:t>
      </w:r>
      <w:r>
        <w:rPr/>
        <w:tab/>
      </w:r>
      <w:r>
        <w:rPr>
          <w:rFonts w:eastAsia="Times New Roman" w:cs="Times New Roman"/>
          <w:b w:val="false"/>
          <w:sz w:val="26"/>
        </w:rPr>
        <w:t>6</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2.4. Mục đích dịch vụ.</w:t>
      </w:r>
      <w:r>
        <w:rPr/>
        <w:tab/>
      </w:r>
      <w:r>
        <w:rPr>
          <w:rFonts w:eastAsia="Times New Roman" w:cs="Times New Roman"/>
          <w:b w:val="false"/>
          <w:sz w:val="26"/>
        </w:rPr>
        <w:t>6</w:t>
      </w:r>
    </w:p>
    <w:p>
      <w:pPr>
        <w:pStyle w:val="TOC1"/>
        <w:tabs>
          <w:tab w:val="clear" w:pos="720"/>
          <w:tab w:val="right" w:pos="8844" w:leader="dot"/>
        </w:tabs>
        <w:spacing w:lineRule="auto" w:line="240" w:before="0" w:after="0"/>
        <w:ind w:hanging="0" w:start="0" w:end="0"/>
        <w:rPr/>
      </w:pPr>
      <w:r>
        <w:rPr>
          <w:rFonts w:eastAsia="Times New Roman" w:cs="Times New Roman"/>
          <w:b/>
          <w:sz w:val="26"/>
        </w:rPr>
        <w:t>CHƯƠNG 3. TƯ VẤN XÂY DỰNG CƠ SỞ PHÁP LÝ CHO HOẠT ĐỘNG NỘI BỘ.</w:t>
      </w:r>
      <w:r>
        <w:rPr/>
        <w:tab/>
      </w:r>
      <w:r>
        <w:rPr>
          <w:rFonts w:eastAsia="Times New Roman" w:cs="Times New Roman"/>
          <w:b/>
          <w:sz w:val="26"/>
        </w:rPr>
        <w:t>6</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3.1. Giới thiệu dịch vụ.</w:t>
      </w:r>
      <w:r>
        <w:rPr/>
        <w:tab/>
      </w:r>
      <w:r>
        <w:rPr>
          <w:rFonts w:eastAsia="Times New Roman" w:cs="Times New Roman"/>
          <w:b w:val="false"/>
          <w:sz w:val="26"/>
        </w:rPr>
        <w:t>6</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3.2. Nội dung dịch vụ.</w:t>
      </w:r>
      <w:r>
        <w:rPr/>
        <w:tab/>
      </w:r>
      <w:r>
        <w:rPr>
          <w:rFonts w:eastAsia="Times New Roman" w:cs="Times New Roman"/>
          <w:b w:val="false"/>
          <w:sz w:val="26"/>
        </w:rPr>
        <w:t>6</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3.3. Phạm vi dịch vụ.</w:t>
      </w:r>
      <w:r>
        <w:rPr/>
        <w:tab/>
      </w:r>
      <w:r>
        <w:rPr>
          <w:rFonts w:eastAsia="Times New Roman" w:cs="Times New Roman"/>
          <w:b w:val="false"/>
          <w:sz w:val="26"/>
        </w:rPr>
        <w:t>8</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3.4. Mục đích và lợi ích đối với nhà đầu tư.</w:t>
      </w:r>
      <w:r>
        <w:rPr/>
        <w:tab/>
      </w:r>
      <w:r>
        <w:rPr>
          <w:rFonts w:eastAsia="Times New Roman" w:cs="Times New Roman"/>
          <w:b w:val="false"/>
          <w:sz w:val="26"/>
        </w:rPr>
        <w:t>8</w:t>
      </w:r>
    </w:p>
    <w:p>
      <w:pPr>
        <w:pStyle w:val="TOC1"/>
        <w:tabs>
          <w:tab w:val="clear" w:pos="720"/>
          <w:tab w:val="right" w:pos="8844" w:leader="dot"/>
        </w:tabs>
        <w:spacing w:lineRule="auto" w:line="240" w:before="0" w:after="0"/>
        <w:ind w:hanging="0" w:start="0" w:end="0"/>
        <w:rPr/>
      </w:pPr>
      <w:r>
        <w:rPr>
          <w:rFonts w:eastAsia="Times New Roman" w:cs="Times New Roman"/>
          <w:b/>
          <w:sz w:val="26"/>
        </w:rPr>
        <w:t>CHƯƠNG 4. TƯ VẤN PHÁP LÝ PHỤC VỤ HOẠT ĐỘNG KINH DOANH.</w:t>
      </w:r>
      <w:r>
        <w:rPr/>
        <w:tab/>
      </w:r>
      <w:r>
        <w:rPr>
          <w:rFonts w:eastAsia="Times New Roman" w:cs="Times New Roman"/>
          <w:b/>
          <w:sz w:val="26"/>
        </w:rPr>
        <w:t>8</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4.1. Giới thiệu dịch vụ.</w:t>
      </w:r>
      <w:r>
        <w:rPr/>
        <w:tab/>
      </w:r>
      <w:r>
        <w:rPr>
          <w:rFonts w:eastAsia="Times New Roman" w:cs="Times New Roman"/>
          <w:b w:val="false"/>
          <w:sz w:val="26"/>
        </w:rPr>
        <w:t>8</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4.2. Nội dung dịch vụ.</w:t>
      </w:r>
      <w:r>
        <w:rPr/>
        <w:tab/>
      </w:r>
      <w:r>
        <w:rPr>
          <w:rFonts w:eastAsia="Times New Roman" w:cs="Times New Roman"/>
          <w:b w:val="false"/>
          <w:sz w:val="26"/>
        </w:rPr>
        <w:t>9</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4.3. Phạm vi dịch vụ.</w:t>
      </w:r>
      <w:r>
        <w:rPr/>
        <w:tab/>
      </w:r>
      <w:r>
        <w:rPr>
          <w:rFonts w:eastAsia="Times New Roman" w:cs="Times New Roman"/>
          <w:b w:val="false"/>
          <w:sz w:val="26"/>
        </w:rPr>
        <w:t>11</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4.4. Mục đích dịch vụ.</w:t>
      </w:r>
      <w:r>
        <w:rPr/>
        <w:tab/>
      </w:r>
      <w:r>
        <w:rPr>
          <w:rFonts w:eastAsia="Times New Roman" w:cs="Times New Roman"/>
          <w:b w:val="false"/>
          <w:sz w:val="26"/>
        </w:rPr>
        <w:t>11</w:t>
      </w:r>
    </w:p>
    <w:p>
      <w:pPr>
        <w:pStyle w:val="TOC1"/>
        <w:tabs>
          <w:tab w:val="clear" w:pos="720"/>
          <w:tab w:val="right" w:pos="8844" w:leader="dot"/>
        </w:tabs>
        <w:spacing w:lineRule="auto" w:line="240" w:before="0" w:after="0"/>
        <w:ind w:hanging="0" w:start="0" w:end="0"/>
        <w:rPr/>
      </w:pPr>
      <w:r>
        <w:rPr>
          <w:rFonts w:eastAsia="Times New Roman" w:cs="Times New Roman"/>
          <w:b/>
          <w:sz w:val="26"/>
        </w:rPr>
        <w:t>CHƯƠNG 5. TƯ VẤN TUÂN THỦ VÀ QUẢN TRỊ RỦI RO PHÁP LÝ.</w:t>
      </w:r>
      <w:r>
        <w:rPr/>
        <w:tab/>
      </w:r>
      <w:r>
        <w:rPr>
          <w:rFonts w:eastAsia="Times New Roman" w:cs="Times New Roman"/>
          <w:b/>
          <w:sz w:val="26"/>
        </w:rPr>
        <w:t>11</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5.1. Giới thiệu dịch vụ.</w:t>
      </w:r>
      <w:r>
        <w:rPr/>
        <w:tab/>
      </w:r>
      <w:r>
        <w:rPr>
          <w:rFonts w:eastAsia="Times New Roman" w:cs="Times New Roman"/>
          <w:b w:val="false"/>
          <w:sz w:val="26"/>
        </w:rPr>
        <w:t>11</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5.2. Nội dung dịch vụ.</w:t>
      </w:r>
      <w:r>
        <w:rPr/>
        <w:tab/>
      </w:r>
      <w:r>
        <w:rPr>
          <w:rFonts w:eastAsia="Times New Roman" w:cs="Times New Roman"/>
          <w:b w:val="false"/>
          <w:sz w:val="26"/>
        </w:rPr>
        <w:t>12</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5.3. Phạm vi dịch vụ.</w:t>
      </w:r>
      <w:r>
        <w:rPr/>
        <w:tab/>
      </w:r>
      <w:r>
        <w:rPr>
          <w:rFonts w:eastAsia="Times New Roman" w:cs="Times New Roman"/>
          <w:b w:val="false"/>
          <w:sz w:val="26"/>
        </w:rPr>
        <w:t>12</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5.4. Mục đích và lợi ích đối với nhà đầu tư.</w:t>
      </w:r>
      <w:r>
        <w:rPr/>
        <w:tab/>
      </w:r>
      <w:r>
        <w:rPr>
          <w:rFonts w:eastAsia="Times New Roman" w:cs="Times New Roman"/>
          <w:b w:val="false"/>
          <w:sz w:val="26"/>
        </w:rPr>
        <w:t>13</w:t>
      </w:r>
    </w:p>
    <w:p>
      <w:pPr>
        <w:pStyle w:val="TOC1"/>
        <w:tabs>
          <w:tab w:val="clear" w:pos="720"/>
          <w:tab w:val="right" w:pos="8844" w:leader="dot"/>
        </w:tabs>
        <w:spacing w:lineRule="auto" w:line="240" w:before="0" w:after="0"/>
        <w:ind w:hanging="0" w:start="0" w:end="0"/>
        <w:rPr/>
      </w:pPr>
      <w:r>
        <w:rPr>
          <w:rFonts w:eastAsia="Times New Roman" w:cs="Times New Roman"/>
          <w:b/>
          <w:sz w:val="26"/>
        </w:rPr>
        <w:t>CHƯƠNG 6. TƯ VẤN XỬ LÝ CÁC VẤN ĐỀ PHÁT SINH.</w:t>
      </w:r>
      <w:r>
        <w:rPr/>
        <w:tab/>
      </w:r>
      <w:r>
        <w:rPr>
          <w:rFonts w:eastAsia="Times New Roman" w:cs="Times New Roman"/>
          <w:b/>
          <w:sz w:val="26"/>
        </w:rPr>
        <w:t>13</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6.1. Giới thiệu dịch vụ.</w:t>
      </w:r>
      <w:r>
        <w:rPr/>
        <w:tab/>
      </w:r>
      <w:r>
        <w:rPr>
          <w:rFonts w:eastAsia="Times New Roman" w:cs="Times New Roman"/>
          <w:b w:val="false"/>
          <w:sz w:val="26"/>
        </w:rPr>
        <w:t>13</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6.2. Nội dung dịch vụ.</w:t>
      </w:r>
      <w:r>
        <w:rPr/>
        <w:tab/>
      </w:r>
      <w:r>
        <w:rPr>
          <w:rFonts w:eastAsia="Times New Roman" w:cs="Times New Roman"/>
          <w:b w:val="false"/>
          <w:sz w:val="26"/>
        </w:rPr>
        <w:t>13</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6.3. Phạm vi dịch vụ.</w:t>
      </w:r>
      <w:r>
        <w:rPr/>
        <w:tab/>
      </w:r>
      <w:r>
        <w:rPr>
          <w:rFonts w:eastAsia="Times New Roman" w:cs="Times New Roman"/>
          <w:b w:val="false"/>
          <w:sz w:val="26"/>
        </w:rPr>
        <w:t>14</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6.4. Mục đích và lợi ích đối với nhà đầu tư.</w:t>
      </w:r>
      <w:r>
        <w:rPr/>
        <w:tab/>
      </w:r>
      <w:r>
        <w:rPr>
          <w:rFonts w:eastAsia="Times New Roman" w:cs="Times New Roman"/>
          <w:b w:val="false"/>
          <w:sz w:val="26"/>
        </w:rPr>
        <w:t>14</w:t>
      </w:r>
    </w:p>
    <w:p>
      <w:pPr>
        <w:pStyle w:val="TOC1"/>
        <w:tabs>
          <w:tab w:val="clear" w:pos="720"/>
          <w:tab w:val="right" w:pos="8844" w:leader="dot"/>
        </w:tabs>
        <w:spacing w:lineRule="auto" w:line="240" w:before="0" w:after="0"/>
        <w:ind w:hanging="0" w:start="0" w:end="0"/>
        <w:rPr/>
      </w:pPr>
      <w:r>
        <w:rPr>
          <w:rFonts w:eastAsia="Times New Roman" w:cs="Times New Roman"/>
          <w:b/>
          <w:sz w:val="26"/>
        </w:rPr>
        <w:t>CHƯƠNG 7. PHÂN NHÓM GÓI DỊCH VỤ VÀ SẢN PHẨM DEMO.</w:t>
      </w:r>
      <w:r>
        <w:rPr/>
        <w:tab/>
      </w:r>
      <w:r>
        <w:rPr>
          <w:rFonts w:eastAsia="Times New Roman" w:cs="Times New Roman"/>
          <w:b/>
          <w:sz w:val="26"/>
        </w:rPr>
        <w:t>15</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7.1. Phân nhóm dịch vụ.</w:t>
      </w:r>
      <w:r>
        <w:rPr/>
        <w:tab/>
      </w:r>
      <w:r>
        <w:rPr>
          <w:rFonts w:eastAsia="Times New Roman" w:cs="Times New Roman"/>
          <w:b w:val="false"/>
          <w:sz w:val="26"/>
        </w:rPr>
        <w:t>15</w:t>
      </w:r>
    </w:p>
    <w:p>
      <w:pPr>
        <w:pStyle w:val="TOC2"/>
        <w:tabs>
          <w:tab w:val="clear" w:pos="720"/>
          <w:tab w:val="right" w:pos="8844" w:leader="dot"/>
        </w:tabs>
        <w:spacing w:lineRule="auto" w:line="240" w:before="0" w:after="0"/>
        <w:ind w:hanging="0" w:start="340" w:end="0"/>
        <w:rPr/>
      </w:pPr>
      <w:r>
        <w:rPr>
          <w:rFonts w:eastAsia="Times New Roman" w:cs="Times New Roman"/>
          <w:b w:val="false"/>
          <w:sz w:val="26"/>
        </w:rPr>
        <w:t>7.2. Hai sản phẩm demo.</w:t>
      </w:r>
      <w:r>
        <w:rPr/>
        <w:tab/>
      </w:r>
      <w:r>
        <w:rPr>
          <w:rFonts w:eastAsia="Times New Roman" w:cs="Times New Roman"/>
          <w:b w:val="false"/>
          <w:sz w:val="26"/>
        </w:rPr>
        <w:t>15</w:t>
      </w:r>
    </w:p>
    <w:p>
      <w:pPr>
        <w:pStyle w:val="TOC1"/>
        <w:tabs>
          <w:tab w:val="clear" w:pos="720"/>
          <w:tab w:val="right" w:pos="8844" w:leader="dot"/>
        </w:tabs>
        <w:spacing w:lineRule="auto" w:line="240" w:before="0" w:after="0"/>
        <w:ind w:hanging="0" w:start="0" w:end="0"/>
        <w:rPr/>
      </w:pPr>
      <w:r>
        <w:rPr>
          <w:rFonts w:eastAsia="Times New Roman" w:cs="Times New Roman"/>
          <w:b/>
          <w:sz w:val="26"/>
        </w:rPr>
        <w:t>KẾT LUẬN VÀ KIẾN NGHỊ.</w:t>
      </w:r>
      <w:r>
        <w:rPr/>
        <w:tab/>
      </w:r>
      <w:r>
        <w:rPr>
          <w:rFonts w:eastAsia="Times New Roman" w:cs="Times New Roman"/>
          <w:b/>
          <w:sz w:val="26"/>
        </w:rPr>
        <w:t>16</w:t>
      </w:r>
    </w:p>
    <w:p>
      <w:pPr>
        <w:pStyle w:val="TOC1"/>
        <w:tabs>
          <w:tab w:val="clear" w:pos="720"/>
          <w:tab w:val="right" w:pos="8844" w:leader="dot"/>
        </w:tabs>
        <w:spacing w:lineRule="auto" w:line="240" w:before="0" w:after="0"/>
        <w:ind w:hanging="0" w:start="0" w:end="0"/>
        <w:rPr/>
      </w:pPr>
      <w:r>
        <w:rPr>
          <w:rFonts w:eastAsia="Times New Roman" w:cs="Times New Roman"/>
          <w:b/>
          <w:sz w:val="26"/>
        </w:rPr>
        <w:t>DANH MỤC CĂN CỨ PHÁP LÝ.</w:t>
      </w:r>
      <w:r>
        <w:rPr/>
        <w:tab/>
      </w:r>
      <w:r>
        <w:rPr>
          <w:rFonts w:eastAsia="Times New Roman" w:cs="Times New Roman"/>
          <w:b/>
          <w:sz w:val="26"/>
        </w:rPr>
        <w:t>16</w:t>
      </w:r>
    </w:p>
    <w:p>
      <w:pPr>
        <w:pStyle w:val="Normal"/>
        <w:spacing w:before="0" w:after="0"/>
        <w:ind w:hanging="0"/>
        <w:rPr/>
      </w:pPr>
      <w:r>
        <w:rPr/>
      </w:r>
      <w:r>
        <w:br w:type="page"/>
      </w:r>
    </w:p>
    <w:p>
      <w:pPr>
        <w:pStyle w:val="Heading1"/>
        <w:keepNext w:val="true"/>
        <w:spacing w:before="0" w:after="100"/>
        <w:jc w:val="center"/>
        <w:rPr/>
      </w:pPr>
      <w:r>
        <w:rPr>
          <w:rFonts w:eastAsia="Times New Roman" w:cs="Times New Roman" w:ascii="Times New Roman" w:hAnsi="Times New Roman"/>
          <w:b/>
          <w:color w:val="000000"/>
          <w:sz w:val="26"/>
        </w:rPr>
        <w:t>BỐI CẢNH VÀ ĐỊNH HƯỚNG CUNG CẤP DỊCH VỤ.</w:t>
      </w:r>
    </w:p>
    <w:p>
      <w:pPr>
        <w:pStyle w:val="Heading2"/>
        <w:keepNext w:val="true"/>
        <w:spacing w:before="120" w:after="100"/>
        <w:rPr/>
      </w:pPr>
      <w:r>
        <w:rPr>
          <w:rFonts w:eastAsia="Times New Roman" w:cs="Times New Roman" w:ascii="Times New Roman" w:hAnsi="Times New Roman"/>
          <w:b/>
          <w:color w:val="000000"/>
          <w:sz w:val="26"/>
        </w:rPr>
        <w:t>1. Thông tin doanh nghiệp.</w:t>
      </w:r>
    </w:p>
    <w:p>
      <w:pPr>
        <w:pStyle w:val="Normal"/>
        <w:spacing w:lineRule="auto" w:line="312" w:before="0" w:after="120"/>
        <w:ind w:firstLine="567"/>
        <w:jc w:val="both"/>
        <w:rPr/>
      </w:pPr>
      <w:r>
        <w:rPr>
          <w:rFonts w:eastAsia="Times New Roman" w:cs="Times New Roman"/>
          <w:color w:val="000000"/>
          <w:sz w:val="26"/>
        </w:rPr>
        <w:t>Công ty Luật TNHH Thịnh Vượng là đơn vị cung cấp dịch vụ pháp lý cho nhóm năm nhà đầu tư trong nước đang dự kiến thành lập một công ty cổ phần tại Việt Nam để triển khai dịch vụ ví điện tử. Nhà đầu tư định hướng mức vốn điều lệ từ 50 tỷ đồng đến 200 tỷ đồng, tổ chức hoạt động trên phạm vi toàn quốc, sử dụng khoảng 15 đến 30 lao động trong năm đầu và có khả năng tiếp nhận nhà đầu tư mới, kể cả nhà đầu tư nước ngoài, trong các giai đoạn tiếp theo.</w:t>
      </w:r>
    </w:p>
    <w:p>
      <w:pPr>
        <w:pStyle w:val="Normal"/>
        <w:spacing w:lineRule="auto" w:line="312" w:before="0" w:after="120"/>
        <w:ind w:firstLine="567"/>
        <w:jc w:val="both"/>
        <w:rPr/>
      </w:pPr>
      <w:r>
        <w:rPr>
          <w:rFonts w:eastAsia="Times New Roman" w:cs="Times New Roman"/>
          <w:color w:val="000000"/>
          <w:sz w:val="26"/>
        </w:rPr>
        <w:t>Ví điện tử thuộc nhóm dịch vụ trung gian thanh toán, là ngành nghề kinh doanh có điều kiện và chịu sự quản lý chuyên ngành của Ngân hàng Nhà nước Việt Nam. Giấy chứng nhận đăng ký doanh nghiệp chỉ xác lập tư cách pháp lý của công ty, không đồng thời tạo ra quyền cung ứng dịch vụ ví điện tử. Do đó, nhà đầu tư cần triển khai đồng bộ ba lớp công việc: thành lập và quản trị doanh nghiệp; đáp ứng điều kiện, thực hiện thủ tục cấp phép chuyên ngành; xây dựng hệ thống hợp đồng, quy trình nội bộ và cơ chế tuân thủ phục vụ hoạt động thực tế.</w:t>
      </w:r>
    </w:p>
    <w:p>
      <w:pPr>
        <w:pStyle w:val="Normal"/>
        <w:spacing w:lineRule="auto" w:line="312" w:before="0" w:after="120"/>
        <w:ind w:firstLine="567"/>
        <w:jc w:val="both"/>
        <w:rPr/>
      </w:pPr>
      <w:r>
        <w:rPr>
          <w:rFonts w:eastAsia="Times New Roman" w:cs="Times New Roman"/>
          <w:color w:val="000000"/>
          <w:sz w:val="26"/>
        </w:rPr>
        <w:t>Trên cơ sở đó, chúng tôi đề xuất một chương trình tư vấn gồm sáu nhóm dịch vụ liên kết theo vòng đời của dự án. Các dịch vụ không được trình bày như những sản phẩm pháp lý rời rạc mà tạo thành một hệ thống: kết quả của giai đoạn xác định mô hình là đầu vào cho hồ sơ thành lập; điều lệ và cơ cấu quản trị là nền tảng của hoạt động nội bộ; hợp đồng kinh doanh phải phù hợp với giấy phép và quy trình kỹ thuật; cơ chế tuân thủ giúp phòng ngừa rủi ro; hồ sơ xử lý sự cố được kích hoạt khi rủi ro thực tế phát sinh.</w:t>
      </w:r>
    </w:p>
    <w:p>
      <w:pPr>
        <w:pStyle w:val="Heading2"/>
        <w:keepNext w:val="true"/>
        <w:spacing w:before="120" w:after="100"/>
        <w:rPr/>
      </w:pPr>
      <w:r>
        <w:rPr>
          <w:rFonts w:eastAsia="Times New Roman" w:cs="Times New Roman" w:ascii="Times New Roman" w:hAnsi="Times New Roman"/>
          <w:b/>
          <w:color w:val="000000"/>
          <w:sz w:val="26"/>
        </w:rPr>
        <w:t>2. Nguyên tắc triển khai.</w:t>
      </w:r>
    </w:p>
    <w:p>
      <w:pPr>
        <w:pStyle w:val="Normal"/>
        <w:spacing w:lineRule="auto" w:line="312" w:before="0" w:after="120"/>
        <w:ind w:firstLine="567"/>
        <w:jc w:val="both"/>
        <w:rPr/>
      </w:pPr>
      <w:r>
        <w:rPr>
          <w:rFonts w:eastAsia="Times New Roman" w:cs="Times New Roman"/>
          <w:color w:val="000000"/>
          <w:sz w:val="26"/>
        </w:rPr>
        <w:t>Chúng tôi thực hiện dịch vụ theo bốn nguyên tắc. Thứ nhất, mọi khuyến nghị phải bám sát đặc thù của ví điện tử, nhất là yêu cầu về giấy phép, tài khoản bảo đảm thanh toán, định danh khách hàng, an toàn hệ thống, bảo vệ dữ liệu và phòng, chống rửa tiền. Thứ hai, phạm vi dịch vụ phải minh bạch về đối tượng, thời hạn, giới hạn pháp luật và công việc không bao gồm. Thứ ba, sản phẩm bàn giao phải có khả năng sử dụng trong thực tiễn, bao gồm ý kiến tư vấn, hồ sơ, hợp đồng, quy chế, biểu mẫu và danh mục kiểm tra. Thứ tư, tư vấn pháp lý không thay thế việc thẩm định kỹ thuật, kiểm toán an toàn thông tin hoặc quyết định cấp phép của cơ quan nhà nước có thẩm quyền.</w:t>
      </w:r>
    </w:p>
    <w:p>
      <w:pPr>
        <w:pStyle w:val="Normal"/>
        <w:spacing w:lineRule="auto" w:line="312" w:before="0" w:after="120"/>
        <w:ind w:firstLine="567"/>
        <w:jc w:val="both"/>
        <w:rPr/>
      </w:pPr>
      <w:r>
        <w:rPr>
          <w:rFonts w:eastAsia="Times New Roman" w:cs="Times New Roman"/>
          <w:color w:val="000000"/>
          <w:sz w:val="26"/>
        </w:rPr>
        <w:t>Các nhận định trong báo cáo được xây dựng cho mục đích học tập môn Thực hành nghề luật và dựa trên thông tin giả định của dự án. Khi triển khai thực tế, chúng tôi phải tiếp nhận hồ sơ gốc, xác minh cơ cấu nhà đầu tư, nguồn vốn, giải pháp kỹ thuật, ngân hàng hợp tác và phạm vi chức năng của ví trước khi phát hành ý kiến pháp lý chính thức.</w:t>
      </w:r>
    </w:p>
    <w:p>
      <w:pPr>
        <w:pStyle w:val="Normal"/>
        <w:spacing w:lineRule="auto" w:line="312" w:before="0" w:after="120"/>
        <w:ind w:firstLine="567"/>
        <w:jc w:val="both"/>
        <w:rPr/>
      </w:pPr>
      <w:r>
        <w:rPr>
          <w:rFonts w:eastAsia="Times New Roman" w:cs="Times New Roman"/>
          <w:b/>
          <w:color w:val="000000"/>
          <w:sz w:val="26"/>
        </w:rPr>
        <w:t xml:space="preserve">Chú giải phân nhóm:: </w:t>
      </w:r>
      <w:r>
        <w:rPr>
          <w:rFonts w:eastAsia="Times New Roman" w:cs="Times New Roman"/>
          <w:color w:val="000000"/>
          <w:sz w:val="26"/>
        </w:rPr>
        <w:t xml:space="preserve">Đề mục có dấu (*) và bút ghi nhớ màu vàng là dịch vụ tối thiểu, cần thiết hoặc bắt buộc phải chuẩn bị để thành lập và vận hành ví điện tử. </w:t>
      </w:r>
    </w:p>
    <w:p>
      <w:pPr>
        <w:pStyle w:val="Heading1"/>
        <w:keepNext w:val="true"/>
        <w:spacing w:before="160" w:after="100"/>
        <w:jc w:val="center"/>
        <w:rPr/>
      </w:pPr>
      <w:r>
        <w:rPr>
          <w:rFonts w:eastAsia="Times New Roman" w:cs="Times New Roman" w:ascii="Times New Roman" w:hAnsi="Times New Roman"/>
          <w:b/>
          <w:color w:val="000000"/>
          <w:sz w:val="26"/>
        </w:rPr>
        <w:t>CHƯƠNG 1. TƯ VẤN XÁC ĐỊNH MÔ HÌNH FINTECH (*).</w:t>
      </w:r>
    </w:p>
    <w:p>
      <w:pPr>
        <w:pStyle w:val="Heading2"/>
        <w:keepNext w:val="true"/>
        <w:spacing w:before="120" w:after="100"/>
        <w:rPr/>
      </w:pPr>
      <w:r>
        <w:rPr>
          <w:rFonts w:eastAsia="Times New Roman" w:cs="Times New Roman" w:ascii="Times New Roman" w:hAnsi="Times New Roman"/>
          <w:b/>
          <w:color w:val="000000"/>
          <w:sz w:val="26"/>
        </w:rPr>
        <w:t>1.1. Giới thiệu dịch vụ.</w:t>
      </w:r>
    </w:p>
    <w:p>
      <w:pPr>
        <w:pStyle w:val="Normal"/>
        <w:spacing w:lineRule="auto" w:line="312" w:before="0" w:after="120"/>
        <w:ind w:firstLine="567"/>
        <w:jc w:val="both"/>
        <w:rPr/>
      </w:pPr>
      <w:r>
        <w:rPr>
          <w:rFonts w:eastAsia="Times New Roman" w:cs="Times New Roman"/>
          <w:color w:val="000000"/>
          <w:sz w:val="26"/>
        </w:rPr>
        <w:t>Dịch vụ tư vấn xác định mô hình Fintech giúp nhà đầu tư trả lời câu hỏi cốt lõi trước khi bỏ vốn: sản phẩm dự kiến có phải là ví điện tử hay một dịch vụ công nghệ hỗ trợ thanh toán; chủ thể nào chịu trách nhiệm với khách hàng; luồng tiền và dữ liệu đi qua những đơn vị nào; chức năng nào cần giấy phép; chức năng nào có thể triển khai thông qua hợp tác với ngân hàng hoặc tổ chức trung gian thanh toán đã được cấp phép. Việc phân loại đúng mô hình ngay từ đầu có ý nghĩa quyết định đối với cấu trúc doanh nghiệp, ngân sách tuân thủ, tiến độ phát triển sản phẩm và khả năng gọi vốn.</w:t>
      </w:r>
    </w:p>
    <w:p>
      <w:pPr>
        <w:pStyle w:val="Normal"/>
        <w:spacing w:lineRule="auto" w:line="312" w:before="0" w:after="120"/>
        <w:ind w:firstLine="567"/>
        <w:jc w:val="both"/>
        <w:rPr/>
      </w:pPr>
      <w:r>
        <w:rPr>
          <w:rFonts w:eastAsia="Times New Roman" w:cs="Times New Roman"/>
          <w:color w:val="000000"/>
          <w:sz w:val="26"/>
        </w:rPr>
        <w:t>Theo Nghị định số 52/2024/NĐ-CP, tổ chức cung ứng dịch vụ trung gian thanh toán là tổ chức không phải ngân hàng, chi nhánh ngân hàng nước ngoài và phải được Ngân hàng Nhà nước cấp giấy phép. Dịch vụ ví điện tử phải tuân thủ các quy định chuyên ngành về mở và sử dụng ví, liên kết tài khoản hoặc thẻ, tài khoản bảo đảm thanh toán, hạn mức giao dịch, quản lý rủi ro và bảo vệ khách hàng. Vì vậy, việc gọi một sản phẩm là “ứng dụng thanh toán” hay “nền tảng Fintech” không làm thay đổi bản chất pháp lý nếu sản phẩm thực tế tiếp nhận, lưu giữ hoặc điều chuyển giá trị thanh toán theo mô hình ví điện tử.</w:t>
      </w:r>
    </w:p>
    <w:p>
      <w:pPr>
        <w:pStyle w:val="Heading2"/>
        <w:keepNext w:val="true"/>
        <w:spacing w:before="120" w:after="100"/>
        <w:rPr/>
      </w:pPr>
      <w:r>
        <w:rPr>
          <w:rFonts w:eastAsia="Times New Roman" w:cs="Times New Roman" w:ascii="Times New Roman" w:hAnsi="Times New Roman"/>
          <w:b/>
          <w:color w:val="000000"/>
          <w:sz w:val="26"/>
        </w:rPr>
        <w:t>1.2. Nội dung dịch vụ.</w:t>
      </w:r>
    </w:p>
    <w:p>
      <w:pPr>
        <w:pStyle w:val="Normal"/>
        <w:spacing w:lineRule="auto" w:line="312" w:before="0" w:after="120"/>
        <w:ind w:firstLine="567"/>
        <w:jc w:val="both"/>
        <w:rPr/>
      </w:pPr>
      <w:r>
        <w:rPr>
          <w:rFonts w:eastAsia="Times New Roman" w:cs="Times New Roman"/>
          <w:color w:val="000000"/>
          <w:sz w:val="26"/>
        </w:rPr>
        <w:t>Công việc được triển khai theo bốn bước. Bước thứ nhất là tiếp nhận và chuẩn hóa thông tin về sản phẩm: nhóm khách hàng, chức năng nạp tiền, rút tiền, chuyển tiền, thanh toán, hoàn tiền, liên kết ngân hàng, quy trình định danh, phương thức xác thực và quan hệ với các đơn vị chấp nhận thanh toán. Bước thứ hai là lập sơ đồ pháp lý của luồng tiền, luồng dữ liệu và luồng trách nhiệm, qua đó nhận diện chủ thể chịu trách nhiệm tại từng điểm của giao dịch.</w:t>
      </w:r>
    </w:p>
    <w:p>
      <w:pPr>
        <w:pStyle w:val="Normal"/>
        <w:spacing w:lineRule="auto" w:line="312" w:before="0" w:after="120"/>
        <w:ind w:firstLine="567"/>
        <w:jc w:val="both"/>
        <w:rPr/>
      </w:pPr>
      <w:r>
        <w:rPr>
          <w:rFonts w:eastAsia="Times New Roman" w:cs="Times New Roman"/>
          <w:color w:val="000000"/>
          <w:sz w:val="26"/>
        </w:rPr>
        <w:t>Bước thứ ba là đối chiếu mô hình với pháp luật hiện hành, tập trung vào Nghị định số 52/2024/NĐ-CP và Văn bản hợp nhất số 29/VBHN-NHNN năm 2025 về hoạt động cung ứng dịch vụ trung gian thanh toán. Nội dung rà soát gồm điều kiện cấp giấy phép, phạm vi dịch vụ được phép cung ứng, yêu cầu về vốn, nhân sự, giải pháp kỹ thuật, an toàn bảo mật, tài khoản bảo đảm thanh toán, định danh khách hàng và chế độ báo cáo. Bước thứ tư là lập báo cáo thẩm định sản phẩm, trong đó phân loại các chức năng thành ba nhóm: được triển khai; chỉ được triển khai khi đáp ứng điều kiện hoặc có đối tác đủ tư cách; chưa được triển khai do vượt phạm vi pháp luật hoặc giấy phép dự kiến.</w:t>
      </w:r>
    </w:p>
    <w:p>
      <w:pPr>
        <w:pStyle w:val="Normal"/>
        <w:spacing w:lineRule="auto" w:line="312" w:before="0" w:after="120"/>
        <w:ind w:firstLine="567"/>
        <w:jc w:val="both"/>
        <w:rPr/>
      </w:pPr>
      <w:r>
        <w:rPr>
          <w:rFonts w:eastAsia="Times New Roman" w:cs="Times New Roman"/>
          <w:color w:val="000000"/>
          <w:sz w:val="26"/>
        </w:rPr>
        <w:t>Sản phẩm bàn giao gồm bản mô tả mô hình pháp lý; sơ đồ chủ thể và luồng giao dịch; danh mục giấy phép, thủ tục và tài liệu cần chuẩn bị; bảng rủi ro pháp lý theo từng chức năng; cùng khuyến nghị điều chỉnh bản mô tả sản phẩm trước khi đội ngũ kỹ thuật hoàn thiện thiết kế.</w:t>
      </w:r>
    </w:p>
    <w:p>
      <w:pPr>
        <w:pStyle w:val="Heading2"/>
        <w:keepNext w:val="true"/>
        <w:spacing w:before="120" w:after="100"/>
        <w:rPr/>
      </w:pPr>
      <w:r>
        <w:rPr>
          <w:rFonts w:eastAsia="Times New Roman" w:cs="Times New Roman" w:ascii="Times New Roman" w:hAnsi="Times New Roman"/>
          <w:b/>
          <w:color w:val="000000"/>
          <w:sz w:val="26"/>
        </w:rPr>
        <w:t>1.3. Phạm vi dịch vụ.</w:t>
      </w:r>
    </w:p>
    <w:p>
      <w:pPr>
        <w:pStyle w:val="Normal"/>
        <w:spacing w:lineRule="auto" w:line="312" w:before="0" w:after="120"/>
        <w:ind w:firstLine="567"/>
        <w:jc w:val="both"/>
        <w:rPr/>
      </w:pPr>
      <w:r>
        <w:rPr>
          <w:rFonts w:eastAsia="Times New Roman" w:cs="Times New Roman"/>
          <w:color w:val="000000"/>
          <w:sz w:val="26"/>
        </w:rPr>
        <w:t>Đối tượng áp dụng là nhóm nhà đầu tư, công ty cổ phần dự kiến thành lập và các bộ phận sản phẩm, công nghệ, vận hành, tài chính, tuân thủ có liên quan đến dự án ví điện tử. Dịch vụ được thực hiện từ giai đoạn hình thành ý tưởng đến khi nhà đầu tư chốt mô hình, chức năng cốt lõi và lộ trình xin cấp phép; có thể tiếp tục dưới hình thức thẩm định thay đổi sản phẩm trong quá trình vận hành.</w:t>
      </w:r>
    </w:p>
    <w:p>
      <w:pPr>
        <w:pStyle w:val="Normal"/>
        <w:spacing w:lineRule="auto" w:line="312" w:before="0" w:after="120"/>
        <w:ind w:firstLine="567"/>
        <w:jc w:val="both"/>
        <w:rPr/>
      </w:pPr>
      <w:r>
        <w:rPr>
          <w:rFonts w:eastAsia="Times New Roman" w:cs="Times New Roman"/>
          <w:color w:val="000000"/>
          <w:sz w:val="26"/>
        </w:rPr>
        <w:t>Phạm vi tư vấn bị giới hạn bởi các quy định cấm và điều kiện kinh doanh. Chúng tôi không tư vấn cho khách hàng triển khai dịch vụ khi chưa có giấy phép hoặc che giấu bản chất của hoạt động thanh toán dưới tên gọi dịch vụ công nghệ. Dịch vụ không bao gồm việc lập trình, kiểm thử xâm nhập, chứng nhận tiêu chuẩn kỹ thuật, kiểm toán hệ thống, thẩm định giá hoặc cam kết Ngân hàng Nhà nước sẽ cấp giấy phép. Các nội dung này cần sự tham gia của tổ chức chuyên môn phù hợp và quyết định cuối cùng thuộc cơ quan có thẩm quyền.</w:t>
      </w:r>
    </w:p>
    <w:p>
      <w:pPr>
        <w:pStyle w:val="Heading2"/>
        <w:keepNext w:val="true"/>
        <w:spacing w:before="120" w:after="100"/>
        <w:rPr/>
      </w:pPr>
      <w:r>
        <w:rPr>
          <w:rFonts w:eastAsia="Times New Roman" w:cs="Times New Roman" w:ascii="Times New Roman" w:hAnsi="Times New Roman"/>
          <w:b/>
          <w:color w:val="000000"/>
          <w:sz w:val="26"/>
        </w:rPr>
        <w:t>1.4. Mục đích và lợi ích đối với nhà đầu tư.</w:t>
      </w:r>
    </w:p>
    <w:p>
      <w:pPr>
        <w:pStyle w:val="Normal"/>
        <w:spacing w:lineRule="auto" w:line="312" w:before="0" w:after="120"/>
        <w:ind w:firstLine="567"/>
        <w:jc w:val="both"/>
        <w:rPr/>
      </w:pPr>
      <w:r>
        <w:rPr>
          <w:rFonts w:eastAsia="Times New Roman" w:cs="Times New Roman"/>
          <w:color w:val="000000"/>
          <w:sz w:val="26"/>
        </w:rPr>
        <w:t>Kết quả tư vấn giúp nhà đầu tư tránh đầu tư vào chức năng không thể được cấp phép hoặc phải sửa đổi kiến trúc sản phẩm khi đã phát sinh chi phí lớn. Báo cáo thẩm định cũng là cơ sở để phân bổ ngân sách, lựa chọn ngân hàng hợp tác, xác định nhu cầu nhân sự và xây dựng lộ trình gọi vốn. Đối với nhà đầu tư mới, hồ sơ pháp lý rõ ràng cho thấy dự án đã nhận diện đúng ngành nghề có điều kiện, hiểu trách nhiệm quản trị và không đánh đổi tuân thủ để lấy tốc độ tăng trưởng ngắn hạn.</w:t>
      </w:r>
    </w:p>
    <w:p>
      <w:pPr>
        <w:pStyle w:val="Normal"/>
        <w:spacing w:lineRule="auto" w:line="312" w:before="0" w:after="120"/>
        <w:ind w:firstLine="567"/>
        <w:jc w:val="both"/>
        <w:rPr/>
      </w:pPr>
      <w:r>
        <w:rPr>
          <w:rFonts w:eastAsia="Times New Roman" w:cs="Times New Roman"/>
          <w:color w:val="000000"/>
          <w:sz w:val="26"/>
        </w:rPr>
        <w:t>Trong sáu nhóm dịch vụ, đây là công việc cần triển khai đầu tiên. Nếu mô hình pháp lý chưa được xác định, điều lệ, hợp đồng và quy trình tuân thủ ở các phần sau có nguy cơ được xây dựng trên giả định sai, làm tăng chi phí sửa đổi và kéo dài tiến độ cấp phép.</w:t>
      </w:r>
    </w:p>
    <w:p>
      <w:pPr>
        <w:pStyle w:val="Heading1"/>
        <w:keepNext w:val="true"/>
        <w:spacing w:before="160" w:after="100"/>
        <w:jc w:val="center"/>
        <w:rPr/>
      </w:pPr>
      <w:r>
        <w:rPr>
          <w:rFonts w:eastAsia="Times New Roman" w:cs="Times New Roman" w:ascii="Times New Roman" w:hAnsi="Times New Roman"/>
          <w:b/>
          <w:color w:val="000000"/>
          <w:sz w:val="26"/>
        </w:rPr>
        <w:t>CHƯƠNG 2. TƯ VẤN THÀNH LẬP DOANH NGHIỆP (*).</w:t>
      </w:r>
    </w:p>
    <w:p>
      <w:pPr>
        <w:pStyle w:val="Heading2"/>
        <w:keepNext w:val="true"/>
        <w:spacing w:before="120" w:after="100"/>
        <w:rPr/>
      </w:pPr>
      <w:r>
        <w:rPr>
          <w:rFonts w:eastAsia="Times New Roman" w:cs="Times New Roman" w:ascii="Times New Roman" w:hAnsi="Times New Roman"/>
          <w:b/>
          <w:color w:val="000000"/>
          <w:sz w:val="26"/>
        </w:rPr>
        <w:t>2.1. Giới thiệu dịch vụ.</w:t>
      </w:r>
    </w:p>
    <w:p>
      <w:pPr>
        <w:pStyle w:val="Normal"/>
        <w:spacing w:lineRule="auto" w:line="312" w:before="0" w:after="120"/>
        <w:ind w:firstLine="567"/>
        <w:jc w:val="both"/>
        <w:rPr/>
      </w:pPr>
      <w:r>
        <w:rPr>
          <w:rFonts w:eastAsia="Times New Roman" w:cs="Times New Roman"/>
          <w:color w:val="000000"/>
          <w:sz w:val="26"/>
        </w:rPr>
        <w:t>Trên cơ sở có năm nhà đầu tư trong nước, nhu cầu huy động vốn và khả năng tiếp nhận nhà đầu tư mới, chúng tôi đề xuất lựa chọn mô hình công ty cổ phần theo Điều 111 Luật Doanh nghiệp năm 2020, đã được sửa đổi, bổ sung năm 2025. Công ty cổ phần phù hợp với dự án cần phân chia quyền sở hữu bằng cổ phần, thiết lập cơ chế biểu quyết, chuyển nhượng và huy động vốn linh hoạt. Tuy nhiên, việc lựa chọn mô hình này đồng thời đặt ra yêu cầu cao hơn về quản trị, công khai lợi ích liên quan, xác định chủ sở hữu hưởng lợi và kiểm soát thay đổi cơ cấu sở hữu.</w:t>
      </w:r>
    </w:p>
    <w:p>
      <w:pPr>
        <w:pStyle w:val="Normal"/>
        <w:spacing w:lineRule="auto" w:line="312" w:before="0" w:after="120"/>
        <w:ind w:firstLine="567"/>
        <w:jc w:val="both"/>
        <w:rPr/>
      </w:pPr>
      <w:r>
        <w:rPr>
          <w:rFonts w:eastAsia="Times New Roman" w:cs="Times New Roman"/>
          <w:color w:val="000000"/>
          <w:sz w:val="26"/>
        </w:rPr>
        <w:t>Dịch vụ thành lập doanh nghiệp chỉ là bước thiết lập chủ thể pháp lý. Công ty sau khi được cấp Giấy chứng nhận đăng ký doanh nghiệp chưa được cung ứng ví điện tử nếu chưa đáp ứng điều kiện và chưa được Ngân hàng Nhà nước cấp giấy phép hoạt động cung ứng dịch vụ trung gian thanh toán.</w:t>
      </w:r>
    </w:p>
    <w:p>
      <w:pPr>
        <w:pStyle w:val="Heading2"/>
        <w:keepNext w:val="true"/>
        <w:spacing w:before="120" w:after="100"/>
        <w:rPr/>
      </w:pPr>
      <w:r>
        <w:rPr>
          <w:rFonts w:eastAsia="Times New Roman" w:cs="Times New Roman" w:ascii="Times New Roman" w:hAnsi="Times New Roman"/>
          <w:b/>
          <w:color w:val="000000"/>
          <w:sz w:val="26"/>
        </w:rPr>
        <w:t>2.2. Nội dung dịch vụ.</w:t>
      </w:r>
    </w:p>
    <w:p>
      <w:pPr>
        <w:pStyle w:val="Normal"/>
        <w:spacing w:lineRule="auto" w:line="312" w:before="0" w:after="120"/>
        <w:ind w:firstLine="567"/>
        <w:jc w:val="both"/>
        <w:rPr/>
      </w:pPr>
      <w:r>
        <w:rPr>
          <w:rFonts w:eastAsia="Times New Roman" w:cs="Times New Roman"/>
          <w:color w:val="000000"/>
          <w:sz w:val="26"/>
        </w:rPr>
        <w:t>Chúng tôi tư vấn loại hình doanh nghiệp; cơ cấu năm cổ đông sáng lập; số lượng, loại cổ phần và tỷ lệ sở hữu; khả năng góp vốn thực tế; thời hạn góp vốn; quyền biểu quyết; cơ chế tiếp nhận nhà đầu tư mới; cùng biện pháp phòng ngừa xung đột lợi ích. Mức vốn điều lệ trong khoảng 50 đến 200 tỷ đồng được đánh giá dựa trên nhu cầu đầu tư hệ thống, nhân sự, chi phí tuân thủ, khả năng góp vốn và điều kiện chuyên ngành, không chỉ dựa trên mong muốn thể hiện quy mô doanh nghiệp.</w:t>
      </w:r>
    </w:p>
    <w:p>
      <w:pPr>
        <w:pStyle w:val="Normal"/>
        <w:spacing w:lineRule="auto" w:line="312" w:before="0" w:after="120"/>
        <w:ind w:firstLine="567"/>
        <w:jc w:val="both"/>
        <w:rPr/>
      </w:pPr>
      <w:r>
        <w:rPr>
          <w:rFonts w:eastAsia="Times New Roman" w:cs="Times New Roman"/>
          <w:color w:val="000000"/>
          <w:sz w:val="26"/>
        </w:rPr>
        <w:t>Chúng tôi rà soát tên, trụ sở, người đại diện theo pháp luật, ngành nghề kinh doanh và thông tin về chủ sở hữu hưởng lợi; chuẩn bị giấy đề nghị đăng ký doanh nghiệp, danh sách cổ đông sáng lập, bản sao giấy tờ pháp lý và các tài liệu kèm theo; hướng dẫn ký; nộp hồ sơ; theo dõi yêu cầu sửa đổi; nhận kết quả và hướng dẫn các thủ tục cơ bản sau thành lập. Ngành nghề đăng ký phải phản ánh hoạt động công nghệ và định hướng trung gian thanh toán nhưng không được mô tả theo cách làm người sử dụng hiểu rằng doanh nghiệp đã có quyền cung ứng ví điện tử.</w:t>
      </w:r>
    </w:p>
    <w:p>
      <w:pPr>
        <w:pStyle w:val="Normal"/>
        <w:spacing w:lineRule="auto" w:line="312" w:before="0" w:after="120"/>
        <w:ind w:firstLine="567"/>
        <w:jc w:val="both"/>
        <w:rPr/>
      </w:pPr>
      <w:r>
        <w:rPr>
          <w:rFonts w:eastAsia="Times New Roman" w:cs="Times New Roman"/>
          <w:color w:val="000000"/>
          <w:sz w:val="26"/>
        </w:rPr>
        <w:t>Một sản phẩm trọng tâm là Điều lệ công ty cổ phần. Điều lệ được thiết kế phù hợp với cơ cấu năm cổ đông và đặc thù của dự án ví điện tử, gồm quy định về vốn, cổ phần, quyền và nghĩa vụ của cổ đông; Đại hội đồng cổ đông; Hội đồng quản trị; Giám đốc hoặc Tổng giám đốc; kiểm soát nội bộ; tài chính; thẩm quyền phê duyệt giao dịch lớn; quản lý dữ liệu, tài sản công nghệ và rủi ro hoạt động; nguyên tắc tuân thủ giấy phép chuyên ngành; giải quyết bế tắc, chuyển nhượng, chấm dứt và sửa đổi Điều lệ.</w:t>
      </w:r>
    </w:p>
    <w:p>
      <w:pPr>
        <w:pStyle w:val="Normal"/>
        <w:spacing w:lineRule="auto" w:line="312" w:before="0" w:after="120"/>
        <w:ind w:firstLine="567"/>
        <w:jc w:val="both"/>
        <w:rPr/>
      </w:pPr>
      <w:r>
        <w:rPr>
          <w:rFonts w:eastAsia="Times New Roman" w:cs="Times New Roman"/>
          <w:color w:val="000000"/>
          <w:sz w:val="26"/>
        </w:rPr>
        <w:t>Điều lệ là sản phẩm pháp lý tối thiểu của giai đoạn thành lập công ty cổ phần. Ngoài các nội dung bắt buộc của Luật Doanh nghiệp, Điều lệ cần phản ánh đặc thù ví điện tử, phân định thẩm quyền phê duyệt sản phẩm, hợp tác ngân hàng, quản lý tài khoản bảo đảm thanh toán, dữ liệu khách hàng, an toàn hệ thống và cơ chế kiểm soát giao dịch với người có liên quan.</w:t>
      </w:r>
    </w:p>
    <w:p>
      <w:pPr>
        <w:pStyle w:val="Heading2"/>
        <w:keepNext w:val="true"/>
        <w:spacing w:before="120" w:after="100"/>
        <w:rPr/>
      </w:pPr>
      <w:r>
        <w:rPr>
          <w:rFonts w:eastAsia="Times New Roman" w:cs="Times New Roman" w:ascii="Times New Roman" w:hAnsi="Times New Roman"/>
          <w:b/>
          <w:color w:val="000000"/>
          <w:sz w:val="26"/>
        </w:rPr>
        <w:t>2.3. Phạm vi dịch vụ.</w:t>
      </w:r>
    </w:p>
    <w:p>
      <w:pPr>
        <w:pStyle w:val="Normal"/>
        <w:spacing w:lineRule="auto" w:line="312" w:before="0" w:after="120"/>
        <w:ind w:firstLine="567"/>
        <w:jc w:val="both"/>
        <w:rPr/>
      </w:pPr>
      <w:r>
        <w:rPr>
          <w:rFonts w:eastAsia="Times New Roman" w:cs="Times New Roman"/>
          <w:color w:val="000000"/>
          <w:sz w:val="26"/>
        </w:rPr>
        <w:t>Dịch vụ áp dụng cho quá trình thành lập công ty cổ phần của nhóm năm nhà đầu tư, bắt đầu khi chúng tôi nhận đủ thông tin và kết thúc khi hoàn thành các công việc được ghi nhận trong hợp đồng dịch vụ pháp lý. Thời hạn xử lý của cơ quan đăng ký kinh doanh được tính theo pháp luật và không thuộc quyền quyết định của chúng tôi; thời gian khách hàng chậm cung cấp, ký hoặc sửa tài liệu không tính vào thời hạn cam kết của chúng tôi.</w:t>
      </w:r>
    </w:p>
    <w:p>
      <w:pPr>
        <w:pStyle w:val="Normal"/>
        <w:spacing w:lineRule="auto" w:line="312" w:before="0" w:after="120"/>
        <w:ind w:firstLine="567"/>
        <w:jc w:val="both"/>
        <w:rPr/>
      </w:pPr>
      <w:r>
        <w:rPr>
          <w:rFonts w:eastAsia="Times New Roman" w:cs="Times New Roman"/>
          <w:color w:val="000000"/>
          <w:sz w:val="26"/>
        </w:rPr>
        <w:t>Phạm vi không bao gồm việc cam kết tên doanh nghiệp chắc chắn được chấp thuận; xác minh độc lập nguồn tiền của từng cổ đông nếu không có thỏa thuận; xin giấy phép trung gian thanh toán; xây dựng hệ thống kỹ thuật; đăng ký sở hữu trí tuệ; tư vấn thuế chuyên sâu; xin giấy phép lao động; hoặc giải quyết tranh chấp giữa các cổ đông. Các công việc sau thành lập chỉ được thực hiện khi có thỏa thuận bổ sung hoặc thuộc gói dịch vụ tương ứng.</w:t>
      </w:r>
    </w:p>
    <w:p>
      <w:pPr>
        <w:pStyle w:val="Heading2"/>
        <w:keepNext w:val="true"/>
        <w:spacing w:before="120" w:after="100"/>
        <w:rPr/>
      </w:pPr>
      <w:r>
        <w:rPr>
          <w:rFonts w:eastAsia="Times New Roman" w:cs="Times New Roman" w:ascii="Times New Roman" w:hAnsi="Times New Roman"/>
          <w:b/>
          <w:color w:val="000000"/>
          <w:sz w:val="26"/>
        </w:rPr>
        <w:t>2.4. Mục đích dịch vụ.</w:t>
      </w:r>
    </w:p>
    <w:p>
      <w:pPr>
        <w:pStyle w:val="Normal"/>
        <w:spacing w:lineRule="auto" w:line="312" w:before="0" w:after="120"/>
        <w:ind w:firstLine="567"/>
        <w:jc w:val="both"/>
        <w:rPr/>
      </w:pPr>
      <w:r>
        <w:rPr>
          <w:rFonts w:eastAsia="Times New Roman" w:cs="Times New Roman"/>
          <w:color w:val="000000"/>
          <w:sz w:val="26"/>
        </w:rPr>
        <w:t>Dịch vụ giúp xác lập tư cách pháp lý minh bạch, hạn chế hồ sơ bị trả lại và bảo đảm cơ cấu sở hữu phù hợp với kế hoạch gọi vốn. Điều lệ được xây dựng ngay từ đầu giúp phân định quyền quyết định, kiểm soát giao dịch với người có liên quan và giảm nguy cơ một cá nhân được trao quyền quá rộng đối với tài sản, dữ liệu hoặc hệ thống thanh toán. Với nhà đầu tư, một cấu trúc doanh nghiệp rõ ràng tạo điều kiện cho thẩm định pháp lý, chuyển nhượng cổ phần và đàm phán vòng vốn sau này.</w:t>
      </w:r>
    </w:p>
    <w:p>
      <w:pPr>
        <w:pStyle w:val="Heading1"/>
        <w:keepNext w:val="true"/>
        <w:spacing w:before="160" w:after="100"/>
        <w:jc w:val="center"/>
        <w:rPr/>
      </w:pPr>
      <w:r>
        <w:rPr>
          <w:rFonts w:eastAsia="Times New Roman" w:cs="Times New Roman" w:ascii="Times New Roman" w:hAnsi="Times New Roman"/>
          <w:b/>
          <w:color w:val="000000"/>
          <w:sz w:val="26"/>
        </w:rPr>
        <w:t>CHƯƠNG 3. TƯ VẤN XÂY DỰNG CƠ SỞ PHÁP LÝ CHO HOẠT ĐỘNG NỘI BỘ.</w:t>
      </w:r>
    </w:p>
    <w:p>
      <w:pPr>
        <w:pStyle w:val="Heading2"/>
        <w:keepNext w:val="true"/>
        <w:spacing w:before="120" w:after="100"/>
        <w:rPr/>
      </w:pPr>
      <w:r>
        <w:rPr>
          <w:rFonts w:eastAsia="Times New Roman" w:cs="Times New Roman" w:ascii="Times New Roman" w:hAnsi="Times New Roman"/>
          <w:b/>
          <w:color w:val="000000"/>
          <w:sz w:val="26"/>
        </w:rPr>
        <w:t>3.1. Giới thiệu dịch vụ.</w:t>
      </w:r>
    </w:p>
    <w:p>
      <w:pPr>
        <w:pStyle w:val="Normal"/>
        <w:spacing w:lineRule="auto" w:line="312" w:before="0" w:after="120"/>
        <w:ind w:firstLine="567"/>
        <w:jc w:val="both"/>
        <w:rPr/>
      </w:pPr>
      <w:r>
        <w:rPr>
          <w:rFonts w:eastAsia="Times New Roman" w:cs="Times New Roman"/>
          <w:color w:val="000000"/>
          <w:sz w:val="26"/>
        </w:rPr>
        <w:t>Doanh nghiệp ví điện tử vận hành trên sự phối hợp của quản trị công ty, nhân sự, công nghệ, tài chính, tuân thủ và chăm sóc khách hàng. Rủi ro không chỉ xuất hiện trong giao dịch với bên ngoài mà còn phát sinh từ phân quyền nội bộ không rõ, nhân sự tiếp cận dữ liệu vượt nhu cầu, mã nguồn không được xác lập quyền sở hữu, người quản lý hành động vượt thẩm quyền hoặc cổ đông không có cơ chế xử lý bất đồng. Dịch vụ này xây dựng “hạ tầng pháp lý nội bộ” để các quyết định và hoạt động của công ty có căn cứ, có người chịu trách nhiệm và có hồ sơ chứng minh.</w:t>
      </w:r>
    </w:p>
    <w:p>
      <w:pPr>
        <w:pStyle w:val="Heading2"/>
        <w:keepNext w:val="true"/>
        <w:spacing w:before="120" w:after="100"/>
        <w:rPr/>
      </w:pPr>
      <w:r>
        <w:rPr>
          <w:rFonts w:eastAsia="Times New Roman" w:cs="Times New Roman" w:ascii="Times New Roman" w:hAnsi="Times New Roman"/>
          <w:b/>
          <w:color w:val="000000"/>
          <w:sz w:val="26"/>
        </w:rPr>
        <w:t>3.2. Nội dung dịch vụ.</w:t>
      </w:r>
    </w:p>
    <w:p>
      <w:pPr>
        <w:pStyle w:val="Heading3"/>
        <w:keepNext w:val="true"/>
        <w:spacing w:before="120" w:after="100"/>
        <w:rPr/>
      </w:pPr>
      <w:r>
        <w:rPr>
          <w:rFonts w:eastAsia="Times New Roman" w:cs="Times New Roman" w:ascii="Times New Roman" w:hAnsi="Times New Roman"/>
          <w:b/>
          <w:color w:val="000000"/>
          <w:sz w:val="26"/>
        </w:rPr>
        <w:t>3.2.1. Tư vấn tổ chức Đại hội đồng cổ đông.</w:t>
      </w:r>
    </w:p>
    <w:p>
      <w:pPr>
        <w:pStyle w:val="Normal"/>
        <w:spacing w:lineRule="auto" w:line="312" w:before="0" w:after="120"/>
        <w:ind w:firstLine="567"/>
        <w:jc w:val="both"/>
        <w:rPr/>
      </w:pPr>
      <w:r>
        <w:rPr>
          <w:rFonts w:eastAsia="Times New Roman" w:cs="Times New Roman"/>
          <w:color w:val="000000"/>
          <w:sz w:val="26"/>
        </w:rPr>
        <w:t>Nhóm công việc thứ nhất là tư vấn tổ chức Đại hội đồng cổ đông. Chúng tôi xác định chủ thể có quyền triệu tập; điều kiện lập danh sách cổ đông; nội dung và thời hạn thông báo mời họp; điều kiện tiến hành; phương thức biểu quyết; tỷ lệ thông qua; thủ tục lập biên bản, nghị quyết và lưu hồ sơ. Các quyết định về vốn, điều lệ, nhân sự quản lý, đầu tư hệ thống hoặc thay đổi định hướng ví điện tử phải được đặt đúng thẩm quyền theo Luật Doanh nghiệp và Điều lệ.</w:t>
      </w:r>
    </w:p>
    <w:p>
      <w:pPr>
        <w:pStyle w:val="Heading3"/>
        <w:keepNext w:val="true"/>
        <w:spacing w:before="120" w:after="100"/>
        <w:rPr/>
      </w:pPr>
      <w:r>
        <w:rPr>
          <w:rFonts w:eastAsia="Times New Roman" w:cs="Times New Roman" w:ascii="Times New Roman" w:hAnsi="Times New Roman"/>
          <w:b/>
          <w:color w:val="000000"/>
          <w:sz w:val="26"/>
        </w:rPr>
        <w:t>3.2.2. Hợp đồng lao động (*).</w:t>
      </w:r>
    </w:p>
    <w:p>
      <w:pPr>
        <w:pStyle w:val="Normal"/>
        <w:spacing w:lineRule="auto" w:line="312" w:before="0" w:after="120"/>
        <w:ind w:firstLine="567"/>
        <w:jc w:val="both"/>
        <w:rPr/>
      </w:pPr>
      <w:r>
        <w:rPr>
          <w:rFonts w:eastAsia="Times New Roman" w:cs="Times New Roman"/>
          <w:color w:val="000000"/>
          <w:sz w:val="26"/>
        </w:rPr>
        <w:t>Nhóm thứ hai là xây dựng hợp đồng lao động cho các vị trí kỹ thuật, an toàn thông tin, vận hành, pháp chế và chăm sóc khách hàng. Hợp đồng phải có các nội dung chủ yếu theo Điều 21 Bộ luật Lao động năm 2019; xác định đúng người có thẩm quyền ký theo Điều 18; lựa chọn loại và thời hạn hợp đồng phù hợp; đồng thời quy định trách nhiệm bảo mật, quản lý thiết bị, bàn giao quyền truy cập, xử lý dữ liệu khách hàng và hoàn trả tài sản khi chấm dứt quan hệ lao động. Điều khoản bảo mật hoặc sở hữu trí tuệ không được dùng để tước bỏ quyền hợp pháp của người lao động.</w:t>
      </w:r>
    </w:p>
    <w:p>
      <w:pPr>
        <w:pStyle w:val="Heading3"/>
        <w:keepNext w:val="true"/>
        <w:spacing w:before="120" w:after="100"/>
        <w:jc w:val="start"/>
        <w:rPr/>
      </w:pPr>
      <w:r>
        <w:rPr>
          <w:rFonts w:eastAsia="Times New Roman" w:cs="Times New Roman" w:ascii="Times New Roman" w:hAnsi="Times New Roman"/>
          <w:b/>
          <w:color w:val="000000"/>
          <w:sz w:val="26"/>
        </w:rPr>
        <w:t>3.2.3. Hồ sơ và thỏa thuận bảo mật thông tin (*).</w:t>
      </w:r>
    </w:p>
    <w:p>
      <w:pPr>
        <w:pStyle w:val="Normal"/>
        <w:spacing w:lineRule="auto" w:line="312" w:before="0" w:after="120"/>
        <w:ind w:firstLine="567"/>
        <w:jc w:val="both"/>
        <w:rPr/>
      </w:pPr>
      <w:r>
        <w:rPr>
          <w:rFonts w:eastAsia="Times New Roman" w:cs="Times New Roman"/>
          <w:color w:val="000000"/>
          <w:sz w:val="26"/>
        </w:rPr>
        <w:t>Nhóm thứ ba là hồ sơ bảo mật thông tin, gồm thỏa thuận bảo mật, phân loại thông tin, danh sách người có quyền truy cập, quy trình cấp và thu hồi quyền, nghĩa vụ thông báo sự cố, biện pháp xử lý vi phạm và thời hạn bảo mật sau khi chấm dứt quan hệ. Phạm vi thông tin cần bảo vệ bao gồm dữ liệu khách hàng, lịch sử giao dịch, hồ sơ định danh, mã nguồn, API, thuật toán, khóa truy cập, tài liệu kỹ thuật, phương án kinh doanh và thông tin đối tác.</w:t>
      </w:r>
    </w:p>
    <w:p>
      <w:pPr>
        <w:pStyle w:val="Heading3"/>
        <w:keepNext w:val="true"/>
        <w:spacing w:before="120" w:after="100"/>
        <w:jc w:val="start"/>
        <w:rPr/>
      </w:pPr>
      <w:r>
        <w:rPr>
          <w:rFonts w:eastAsia="Times New Roman" w:cs="Times New Roman" w:ascii="Times New Roman" w:hAnsi="Times New Roman"/>
          <w:b/>
          <w:color w:val="000000"/>
          <w:sz w:val="26"/>
        </w:rPr>
        <w:t>3.2.4. Thỏa thuận sở hữu trí tuệ.</w:t>
      </w:r>
    </w:p>
    <w:p>
      <w:pPr>
        <w:pStyle w:val="Normal"/>
        <w:spacing w:lineRule="auto" w:line="312" w:before="0" w:after="120"/>
        <w:ind w:firstLine="567"/>
        <w:jc w:val="both"/>
        <w:rPr/>
      </w:pPr>
      <w:r>
        <w:rPr>
          <w:rFonts w:eastAsia="Times New Roman" w:cs="Times New Roman"/>
          <w:color w:val="000000"/>
          <w:sz w:val="26"/>
        </w:rPr>
        <w:t>Nhóm thứ tư là thỏa thuận sở hữu trí tuệ. Dịch vụ xác định tài sản có trước và tài sản hình thành trong quá trình làm việc; quyền đối với phần mềm, mã nguồn, giao diện, cơ sở dữ liệu, nhãn hiệu, tài liệu thiết kế; cơ chế chuyển giao hoặc cấp quyền; trách nhiệm kiểm tra thư viện mã nguồn mở và tài sản của bên thứ ba. Việc xác lập quyền phải tuân thủ Luật Sở hữu trí tuệ, không thỏa thuận chuyển giao những quyền nhân thân mà pháp luật không cho phép chuyển giao.</w:t>
      </w:r>
    </w:p>
    <w:p>
      <w:pPr>
        <w:pStyle w:val="Heading3"/>
        <w:keepNext w:val="true"/>
        <w:spacing w:before="120" w:after="100"/>
        <w:jc w:val="start"/>
        <w:rPr/>
      </w:pPr>
      <w:r>
        <w:rPr>
          <w:rFonts w:eastAsia="Times New Roman" w:cs="Times New Roman" w:ascii="Times New Roman" w:hAnsi="Times New Roman"/>
          <w:b/>
          <w:color w:val="000000"/>
          <w:sz w:val="26"/>
        </w:rPr>
        <w:t>3.2.5. Hợp đồng với Giám đốc hoặc Tổng giám đốc.</w:t>
      </w:r>
    </w:p>
    <w:p>
      <w:pPr>
        <w:pStyle w:val="Normal"/>
        <w:spacing w:lineRule="auto" w:line="312" w:before="0" w:after="120"/>
        <w:ind w:firstLine="567"/>
        <w:jc w:val="both"/>
        <w:rPr/>
      </w:pPr>
      <w:r>
        <w:rPr>
          <w:rFonts w:eastAsia="Times New Roman" w:cs="Times New Roman"/>
          <w:color w:val="000000"/>
          <w:sz w:val="26"/>
        </w:rPr>
        <w:t>Nhóm thứ năm là hợp đồng với Giám đốc hoặc Tổng giám đốc. Văn bản phải thống nhất với quyết định bổ nhiệm và Điều lệ; quy định phạm vi điều hành, hạn mức tài chính, quyền ký hợp đồng, cơ chế ủy quyền, nghĩa vụ báo cáo, bảo mật, xung đột lợi ích, bàn giao và trách nhiệm khi vượt thẩm quyền. Cần phân biệt chức danh quản lý doanh nghiệp với quan hệ lao động để lựa chọn hình thức hợp đồng và chế độ phù hợp.</w:t>
      </w:r>
    </w:p>
    <w:p>
      <w:pPr>
        <w:pStyle w:val="Heading3"/>
        <w:keepNext w:val="true"/>
        <w:spacing w:before="120" w:after="100"/>
        <w:jc w:val="start"/>
        <w:rPr/>
      </w:pPr>
      <w:r>
        <w:rPr>
          <w:rFonts w:eastAsia="Times New Roman" w:cs="Times New Roman" w:ascii="Times New Roman" w:hAnsi="Times New Roman"/>
          <w:b/>
          <w:color w:val="000000"/>
          <w:sz w:val="26"/>
        </w:rPr>
        <w:t>3.2.6. Thỏa thuận giữa các cổ đông.</w:t>
      </w:r>
    </w:p>
    <w:p>
      <w:pPr>
        <w:pStyle w:val="Normal"/>
        <w:spacing w:lineRule="auto" w:line="312" w:before="0" w:after="120"/>
        <w:ind w:firstLine="567"/>
        <w:jc w:val="both"/>
        <w:rPr/>
      </w:pPr>
      <w:r>
        <w:rPr>
          <w:rFonts w:eastAsia="Times New Roman" w:cs="Times New Roman"/>
          <w:color w:val="000000"/>
          <w:sz w:val="26"/>
        </w:rPr>
        <w:t>Nhóm thứ sáu là thỏa thuận cổ đông. Ngoài những nội dung đã được ghi trong Điều lệ, thỏa thuận có thể thiết lập cơ chế quyền ưu tiên mua, quyền cùng bán, yêu cầu bán cùng, danh mục vấn đề phải có tỷ lệ chấp thuận cao hơn, xử lý bế tắc, không lôi kéo nhân sự, bảo mật và kế hoạch thoái vốn. Thỏa thuận chỉ ràng buộc các bên ký kết và không được trái với quy định bắt buộc của Luật Doanh nghiệp, Điều lệ hợp lệ hoặc quyền của bên thứ ba.</w:t>
      </w:r>
    </w:p>
    <w:p>
      <w:pPr>
        <w:pStyle w:val="Heading2"/>
        <w:keepNext w:val="true"/>
        <w:spacing w:before="120" w:after="100"/>
        <w:rPr/>
      </w:pPr>
      <w:r>
        <w:rPr>
          <w:rFonts w:eastAsia="Times New Roman" w:cs="Times New Roman" w:ascii="Times New Roman" w:hAnsi="Times New Roman"/>
          <w:b/>
          <w:color w:val="000000"/>
          <w:sz w:val="26"/>
        </w:rPr>
        <w:t>3.3. Phạm vi dịch vụ.</w:t>
      </w:r>
    </w:p>
    <w:p>
      <w:pPr>
        <w:pStyle w:val="Normal"/>
        <w:spacing w:lineRule="auto" w:line="312" w:before="0" w:after="120"/>
        <w:ind w:firstLine="567"/>
        <w:jc w:val="both"/>
        <w:rPr/>
      </w:pPr>
      <w:r>
        <w:rPr>
          <w:rFonts w:eastAsia="Times New Roman" w:cs="Times New Roman"/>
          <w:color w:val="000000"/>
          <w:sz w:val="26"/>
        </w:rPr>
        <w:t>Dịch vụ áp dụng đối với công ty, cổ đông, người quản lý, người lao động, cộng tác viên và đối tác được tiếp cận tài sản hoặc thông tin nội bộ. Thời điểm thực hiện trải dài từ trước khi tuyển dụng, bổ nhiệm hoặc tổ chức cuộc họp đến khi hoàn tất bàn giao hồ sơ; nghĩa vụ bảo mật và sở hữu trí tuệ có thể tiếp tục sau khi quan hệ chính chấm dứt nếu có căn cứ hợp pháp.</w:t>
      </w:r>
    </w:p>
    <w:p>
      <w:pPr>
        <w:pStyle w:val="Normal"/>
        <w:spacing w:lineRule="auto" w:line="312" w:before="0" w:after="120"/>
        <w:ind w:firstLine="567"/>
        <w:jc w:val="both"/>
        <w:rPr/>
      </w:pPr>
      <w:r>
        <w:rPr>
          <w:rFonts w:eastAsia="Times New Roman" w:cs="Times New Roman"/>
          <w:color w:val="000000"/>
          <w:sz w:val="26"/>
        </w:rPr>
        <w:t>Dịch vụ không bao gồm đại diện giải quyết tranh chấp lao động, tranh chấp cổ đông hoặc tranh chấp sở hữu trí tuệ; đăng ký quyền sở hữu công nghiệp; điều tra số; kiểm thử an ninh mạng; định giá tài sản trí tuệ; hoặc quyết định thay cho cơ quan quản trị của công ty. Chúng tôi chỉ dự thảo và khuyến nghị, còn Đại hội đồng cổ đông, Hội đồng quản trị, người đại diện theo pháp luật và người sử dụng lao động phải thực hiện đúng thẩm quyền của mình.</w:t>
      </w:r>
    </w:p>
    <w:p>
      <w:pPr>
        <w:pStyle w:val="Heading2"/>
        <w:keepNext w:val="true"/>
        <w:spacing w:before="120" w:after="100"/>
        <w:rPr/>
      </w:pPr>
      <w:r>
        <w:rPr>
          <w:rFonts w:eastAsia="Times New Roman" w:cs="Times New Roman" w:ascii="Times New Roman" w:hAnsi="Times New Roman"/>
          <w:b/>
          <w:color w:val="000000"/>
          <w:sz w:val="26"/>
        </w:rPr>
        <w:t>3.4. Mục đích và lợi ích đối với nhà đầu tư.</w:t>
      </w:r>
    </w:p>
    <w:p>
      <w:pPr>
        <w:pStyle w:val="Normal"/>
        <w:spacing w:lineRule="auto" w:line="312" w:before="0" w:after="120"/>
        <w:ind w:firstLine="567"/>
        <w:jc w:val="both"/>
        <w:rPr/>
      </w:pPr>
      <w:r>
        <w:rPr>
          <w:rFonts w:eastAsia="Times New Roman" w:cs="Times New Roman"/>
          <w:color w:val="000000"/>
          <w:sz w:val="26"/>
        </w:rPr>
        <w:t>Hệ thống văn bản nội bộ giúp biến cơ cấu quản trị trên giấy thành quy trình có thể vận hành và kiểm tra. Nhà đầu tư có cơ sở giám sát người quản lý, bảo vệ mã nguồn và dữ liệu, duy trì tính liên tục khi nhân sự nghỉ việc, đồng thời giảm rủi ro nghị quyết hoặc hợp đồng bị tranh chấp do sai thẩm quyền. Đây cũng là nhóm tài liệu thường được yêu cầu trong quá trình thẩm định pháp lý trước đầu tư, hợp tác ngân hàng hoặc đánh giá tuân thủ.</w:t>
      </w:r>
    </w:p>
    <w:p>
      <w:pPr>
        <w:pStyle w:val="Heading1"/>
        <w:keepNext w:val="true"/>
        <w:spacing w:before="160" w:after="100"/>
        <w:jc w:val="center"/>
        <w:rPr/>
      </w:pPr>
      <w:r>
        <w:rPr>
          <w:rFonts w:eastAsia="Times New Roman" w:cs="Times New Roman" w:ascii="Times New Roman" w:hAnsi="Times New Roman"/>
          <w:b/>
          <w:color w:val="000000"/>
          <w:sz w:val="26"/>
        </w:rPr>
        <w:t>CHƯƠNG 4. TƯ VẤN PHÁP LÝ PHỤC VỤ HOẠT ĐỘNG KINH DOANH.</w:t>
      </w:r>
    </w:p>
    <w:p>
      <w:pPr>
        <w:pStyle w:val="Heading2"/>
        <w:keepNext w:val="true"/>
        <w:spacing w:before="120" w:after="100"/>
        <w:rPr/>
      </w:pPr>
      <w:r>
        <w:rPr>
          <w:rFonts w:eastAsia="Times New Roman" w:cs="Times New Roman" w:ascii="Times New Roman" w:hAnsi="Times New Roman"/>
          <w:b/>
          <w:color w:val="000000"/>
          <w:sz w:val="26"/>
        </w:rPr>
        <w:t>4.1. Giới thiệu dịch vụ.</w:t>
      </w:r>
    </w:p>
    <w:p>
      <w:pPr>
        <w:pStyle w:val="Normal"/>
        <w:spacing w:lineRule="auto" w:line="312" w:before="0" w:after="120"/>
        <w:ind w:firstLine="567"/>
        <w:jc w:val="both"/>
        <w:rPr/>
      </w:pPr>
      <w:r>
        <w:rPr>
          <w:rFonts w:eastAsia="Times New Roman" w:cs="Times New Roman"/>
          <w:color w:val="000000"/>
          <w:sz w:val="26"/>
        </w:rPr>
        <w:t>Hoạt động của ví điện tử hình thành một mạng lưới hợp đồng giữa doanh nghiệp với khách hàng, ngân hàng hợp tác, đơn vị chấp nhận thanh toán, nhà cung cấp công nghệ, đối tác khuyến mại và nền tảng tích hợp API. Nếu mỗi hợp đồng được soạn riêng mà không dựa trên cùng một mô hình nghiệp vụ, quyền và nghĩa vụ dễ mâu thuẫn, nhất là về dòng tiền, hoàn trả, đối soát, sự cố kỹ thuật, dữ liệu, bảo mật và giới hạn trách nhiệm. Dịch vụ của chúng tôi xây dựng một bộ hợp đồng thống nhất với giấy phép và quy trình vận hành dự kiến.</w:t>
      </w:r>
    </w:p>
    <w:p>
      <w:pPr>
        <w:pStyle w:val="Heading2"/>
        <w:keepNext w:val="true"/>
        <w:spacing w:before="120" w:after="100"/>
        <w:rPr/>
      </w:pPr>
      <w:r>
        <w:rPr>
          <w:rFonts w:eastAsia="Times New Roman" w:cs="Times New Roman" w:ascii="Times New Roman" w:hAnsi="Times New Roman"/>
          <w:b/>
          <w:color w:val="000000"/>
          <w:sz w:val="26"/>
        </w:rPr>
        <w:t>4.2. Nội dung dịch vụ.</w:t>
      </w:r>
    </w:p>
    <w:p>
      <w:pPr>
        <w:pStyle w:val="Heading3"/>
        <w:keepNext w:val="true"/>
        <w:spacing w:before="120" w:after="100"/>
        <w:jc w:val="start"/>
        <w:rPr/>
      </w:pPr>
      <w:r>
        <w:rPr>
          <w:rFonts w:eastAsia="Times New Roman" w:cs="Times New Roman" w:ascii="Times New Roman" w:hAnsi="Times New Roman"/>
          <w:b/>
          <w:color w:val="000000"/>
          <w:sz w:val="26"/>
        </w:rPr>
        <w:t>4.2.1. Hợp đồng mở và sử dụng ví điện tử (*).</w:t>
      </w:r>
    </w:p>
    <w:p>
      <w:pPr>
        <w:pStyle w:val="Normal"/>
        <w:spacing w:lineRule="auto" w:line="312" w:before="0" w:after="120"/>
        <w:ind w:firstLine="567"/>
        <w:jc w:val="both"/>
        <w:rPr/>
      </w:pPr>
      <w:r>
        <w:rPr>
          <w:rFonts w:eastAsia="Times New Roman" w:cs="Times New Roman"/>
          <w:color w:val="000000"/>
          <w:sz w:val="26"/>
        </w:rPr>
        <w:t>Thứ nhất, Hợp đồng mở và sử dụng ví điện tử điều chỉnh quan hệ với khách hàng. Văn bản phải quy định điều kiện mở ví, định danh, liên kết tài khoản hoặc thẻ, nạp và rút tiền, thanh toán, chuyển tiền, hạn mức, phí, xác thực, quyền tạm khóa, tra soát, hoàn trả, bảo vệ dữ liệu, xử lý số dư, chấm dứt và giải quyết tranh chấp. Điều khoản mẫu phải được công khai, dễ tiếp cận và không loại trừ trái pháp luật trách nhiệm của bên cung cấp dịch vụ đối với người tiêu dùng.</w:t>
      </w:r>
    </w:p>
    <w:p>
      <w:pPr>
        <w:pStyle w:val="Heading3"/>
        <w:keepNext w:val="true"/>
        <w:spacing w:before="120" w:after="100"/>
        <w:jc w:val="start"/>
        <w:rPr/>
      </w:pPr>
      <w:r>
        <w:rPr>
          <w:rFonts w:eastAsia="Times New Roman" w:cs="Times New Roman" w:ascii="Times New Roman" w:hAnsi="Times New Roman"/>
          <w:b/>
          <w:color w:val="000000"/>
          <w:sz w:val="26"/>
        </w:rPr>
        <w:t>4.2.2. Hợp đồng thuê ngoài dịch vụ công nghệ thông tin.</w:t>
      </w:r>
    </w:p>
    <w:p>
      <w:pPr>
        <w:pStyle w:val="Normal"/>
        <w:spacing w:lineRule="auto" w:line="312" w:before="0" w:after="120"/>
        <w:ind w:firstLine="567"/>
        <w:jc w:val="both"/>
        <w:rPr/>
      </w:pPr>
      <w:r>
        <w:rPr>
          <w:rFonts w:eastAsia="Times New Roman" w:cs="Times New Roman"/>
          <w:color w:val="000000"/>
          <w:sz w:val="26"/>
        </w:rPr>
        <w:t>Thứ hai, Hợp đồng thuê ngoài dịch vụ công nghệ thông tin điều chỉnh việc cung cấp hạ tầng, điện toán đám mây, eKYC, giám sát, bảo trì hoặc phát triển phần mềm. Hợp đồng cần có yêu cầu mức dịch vụ, an toàn hệ thống, vị trí lưu trữ dữ liệu, quản lý nhà thầu phụ, kiểm tra và giám sát, sao lưu, khôi phục, thông báo sự cố, bàn giao dữ liệu và phương án thoát khỏi nhà cung cấp. Việc thuê ngoài không chuyển toàn bộ trách nhiệm tuân thủ của doanh nghiệp ví điện tử sang nhà thầu.</w:t>
      </w:r>
    </w:p>
    <w:p>
      <w:pPr>
        <w:pStyle w:val="Heading3"/>
        <w:keepNext w:val="true"/>
        <w:spacing w:before="120" w:after="100"/>
        <w:jc w:val="start"/>
        <w:rPr/>
      </w:pPr>
      <w:r>
        <w:rPr>
          <w:rFonts w:eastAsia="Times New Roman" w:cs="Times New Roman" w:ascii="Times New Roman" w:hAnsi="Times New Roman"/>
          <w:b/>
          <w:color w:val="000000"/>
          <w:sz w:val="26"/>
        </w:rPr>
        <w:t>4.2.3. Hợp đồng hợp tác khuyến mại.</w:t>
      </w:r>
    </w:p>
    <w:p>
      <w:pPr>
        <w:pStyle w:val="Normal"/>
        <w:spacing w:lineRule="auto" w:line="312" w:before="0" w:after="120"/>
        <w:ind w:firstLine="567"/>
        <w:jc w:val="both"/>
        <w:rPr/>
      </w:pPr>
      <w:r>
        <w:rPr>
          <w:rFonts w:eastAsia="Times New Roman" w:cs="Times New Roman"/>
          <w:color w:val="000000"/>
          <w:sz w:val="26"/>
        </w:rPr>
        <w:t>Thứ ba, Hợp đồng hợp tác khuyến mại xác định chương trình, ngân sách, chủ thể thực hiện thủ tục thông báo hoặc đăng ký, điều kiện nhận ưu đãi, cơ chế chống lợi dụng, đối soát chi phí và xử lý khi chương trình dừng. Nội dung truyền thông không được gây hiểu nhầm về lợi ích, phí hoặc khả năng bảo đảm sinh lời từ số dư ví.</w:t>
      </w:r>
    </w:p>
    <w:p>
      <w:pPr>
        <w:pStyle w:val="Heading3"/>
        <w:keepNext w:val="true"/>
        <w:spacing w:before="120" w:after="100"/>
        <w:jc w:val="start"/>
        <w:rPr/>
      </w:pPr>
      <w:r>
        <w:rPr>
          <w:rFonts w:eastAsia="Times New Roman" w:cs="Times New Roman" w:ascii="Times New Roman" w:hAnsi="Times New Roman"/>
          <w:b/>
          <w:color w:val="000000"/>
          <w:sz w:val="26"/>
        </w:rPr>
        <w:t>4.2.4. Hợp đồng hợp tác kinh doanh.</w:t>
      </w:r>
    </w:p>
    <w:p>
      <w:pPr>
        <w:pStyle w:val="Normal"/>
        <w:spacing w:lineRule="auto" w:line="312" w:before="0" w:after="120"/>
        <w:ind w:firstLine="567"/>
        <w:jc w:val="both"/>
        <w:rPr/>
      </w:pPr>
      <w:r>
        <w:rPr>
          <w:rFonts w:eastAsia="Times New Roman" w:cs="Times New Roman"/>
          <w:color w:val="000000"/>
          <w:sz w:val="26"/>
        </w:rPr>
        <w:t>Thứ tư, Hợp đồng hợp tác kinh doanh xác định rõ mục tiêu, phạm vi đóng góp, quyền quản lý, nguyên tắc phân chia doanh thu hoặc chi phí, quyền sở hữu dữ liệu và tài sản, trách nhiệm thuế, giới hạn đại diện, kiểm soát xung đột lợi ích và cơ chế chấm dứt. Hợp đồng không được trao cho đối tác quyền thực hiện nghiệp vụ thuộc phạm vi giấy phép của tổ chức trung gian thanh toán nếu pháp luật không cho phép.</w:t>
      </w:r>
    </w:p>
    <w:p>
      <w:pPr>
        <w:pStyle w:val="Heading3"/>
        <w:keepNext w:val="true"/>
        <w:spacing w:before="120" w:after="100"/>
        <w:jc w:val="start"/>
        <w:rPr/>
      </w:pPr>
      <w:r>
        <w:rPr>
          <w:rFonts w:eastAsia="Times New Roman" w:cs="Times New Roman" w:ascii="Times New Roman" w:hAnsi="Times New Roman"/>
          <w:b/>
          <w:color w:val="000000"/>
          <w:sz w:val="26"/>
        </w:rPr>
        <w:t>4.2.5. Hợp đồng kết nối và mở tài khoản bảo đảm thanh toán (*).</w:t>
      </w:r>
    </w:p>
    <w:p>
      <w:pPr>
        <w:pStyle w:val="Normal"/>
        <w:spacing w:lineRule="auto" w:line="312" w:before="0" w:after="120"/>
        <w:ind w:firstLine="567"/>
        <w:jc w:val="both"/>
        <w:rPr/>
      </w:pPr>
      <w:r>
        <w:rPr>
          <w:rFonts w:eastAsia="Times New Roman" w:cs="Times New Roman"/>
          <w:color w:val="000000"/>
          <w:sz w:val="26"/>
        </w:rPr>
        <w:t>Thứ năm, Hợp đồng hợp tác kết nối và mở tài khoản bảo đảm thanh toán với ngân hàng là nền tảng để duy trì tổng số dư trên các tài khoản bảo đảm thanh toán không thấp hơn tổng số dư của các ví đã phát hành cho khách hàng. Hợp đồng cần điều chỉnh phương thức kết nối, lệnh chuyển tiền, đối soát, xử lý chênh lệch, bảo mật, thời gian gián đoạn, cung cấp thông tin và trách nhiệm của mỗi bên.</w:t>
      </w:r>
    </w:p>
    <w:p>
      <w:pPr>
        <w:pStyle w:val="Heading3"/>
        <w:keepNext w:val="true"/>
        <w:spacing w:before="120" w:after="100"/>
        <w:jc w:val="start"/>
        <w:rPr/>
      </w:pPr>
      <w:r>
        <w:rPr>
          <w:rFonts w:eastAsia="Times New Roman" w:cs="Times New Roman" w:ascii="Times New Roman" w:hAnsi="Times New Roman"/>
          <w:b/>
          <w:color w:val="000000"/>
          <w:sz w:val="26"/>
        </w:rPr>
        <w:t>4.2.6. Hợp đồng cung cấp dịch vụ thanh toán bằng ví điện tử.</w:t>
      </w:r>
    </w:p>
    <w:p>
      <w:pPr>
        <w:pStyle w:val="Normal"/>
        <w:spacing w:lineRule="auto" w:line="312" w:before="0" w:after="120"/>
        <w:ind w:firstLine="567"/>
        <w:jc w:val="both"/>
        <w:rPr/>
      </w:pPr>
      <w:r>
        <w:rPr>
          <w:rFonts w:eastAsia="Times New Roman" w:cs="Times New Roman"/>
          <w:color w:val="000000"/>
          <w:sz w:val="26"/>
        </w:rPr>
        <w:t>Thứ sáu, Hợp đồng cung cấp dịch vụ thanh toán bằng ví điện tử của Vương Thu Thủy điều chỉnh quan hệ giữa chúng tôi và khách hàng hoặc đối tác sử dụng chức năng thanh toán. Hợp đồng quy định phạm vi giao dịch; điều kiện khởi tạo, xác thực và ghi nhận; phí dịch vụ; đối soát, hoàn tiền, tra soát; xử lý giao dịch lỗi hoặc gian lận; bảo mật và bảo vệ dữ liệu; tạm dừng, chấm dứt và trách nhiệm bồi thường. Nội dung phải tuân thủ Nghị định số 52/2024/NĐ-CP và quy định của Ngân hàng Nhà nước, không cho phép bên sử dụng thực hiện nghiệp vụ vượt quá pháp luật hoặc phạm vi Giấy phép của doanh nghiệp.</w:t>
      </w:r>
    </w:p>
    <w:p>
      <w:pPr>
        <w:pStyle w:val="Heading3"/>
        <w:keepNext w:val="true"/>
        <w:spacing w:before="120" w:after="100"/>
        <w:jc w:val="start"/>
        <w:rPr/>
      </w:pPr>
      <w:r>
        <w:rPr>
          <w:rFonts w:eastAsia="Times New Roman" w:cs="Times New Roman" w:ascii="Times New Roman" w:hAnsi="Times New Roman"/>
          <w:b/>
          <w:color w:val="000000"/>
          <w:sz w:val="26"/>
        </w:rPr>
        <w:t>4.2.7. Hợp đồng với đơn vị chấp nhận thanh toán (*).</w:t>
      </w:r>
    </w:p>
    <w:p>
      <w:pPr>
        <w:pStyle w:val="Normal"/>
        <w:spacing w:lineRule="auto" w:line="312" w:before="0" w:after="120"/>
        <w:ind w:firstLine="567"/>
        <w:jc w:val="both"/>
        <w:rPr/>
      </w:pPr>
      <w:r>
        <w:rPr>
          <w:rFonts w:eastAsia="Times New Roman" w:cs="Times New Roman"/>
          <w:color w:val="000000"/>
          <w:sz w:val="26"/>
        </w:rPr>
        <w:t>Thứ bảy, Hợp đồng với đơn vị chấp nhận thanh toán xác định phương thức tiếp nhận lệnh, thời điểm ghi nhận giao dịch, phí, chu kỳ quyết toán, hoàn tiền, giao dịch giả mạo, lưu giữ chứng từ, khiếu nại, quyền tạm giữ hoặc khấu trừ trong trường hợp có căn cứ. Phạm vi trách nhiệm phải phản ánh đúng vai trò của từng bên và không làm phát sinh một chủ thể cung ứng dịch vụ thanh toán trái phép.</w:t>
      </w:r>
    </w:p>
    <w:p>
      <w:pPr>
        <w:pStyle w:val="Heading3"/>
        <w:keepNext w:val="true"/>
        <w:spacing w:before="120" w:after="100"/>
        <w:jc w:val="start"/>
        <w:rPr/>
      </w:pPr>
      <w:r>
        <w:rPr>
          <w:rFonts w:eastAsia="Times New Roman" w:cs="Times New Roman" w:ascii="Times New Roman" w:hAnsi="Times New Roman"/>
          <w:b/>
          <w:color w:val="000000"/>
          <w:sz w:val="26"/>
        </w:rPr>
        <w:t>4.2.8. Hợp đồng sử dụng ví điện tử liên kết ngân hàng (*).</w:t>
      </w:r>
    </w:p>
    <w:p>
      <w:pPr>
        <w:pStyle w:val="Normal"/>
        <w:spacing w:lineRule="auto" w:line="312" w:before="0" w:after="120"/>
        <w:ind w:firstLine="567"/>
        <w:jc w:val="both"/>
        <w:rPr/>
      </w:pPr>
      <w:r>
        <w:rPr>
          <w:rFonts w:eastAsia="Times New Roman" w:cs="Times New Roman"/>
          <w:color w:val="000000"/>
          <w:sz w:val="26"/>
        </w:rPr>
        <w:t>Thứ tám, Hợp đồng sử dụng dịch vụ ví điện tử liên kết ngân hàng điều chỉnh việc liên kết, xác thực chủ tài khoản, chia sẻ dữ liệu, nạp và rút tiền, đối soát, ngừng liên kết, xử lý giao dịch bất thường và hỗ trợ khách hàng. Hợp đồng phải thống nhất với thỏa thuận giữa doanh nghiệp ví điện tử và ngân hàng, đồng thời bảo đảm khách hàng biết rõ chủ thể xử lý yêu cầu tại từng giai đoạn.</w:t>
      </w:r>
    </w:p>
    <w:p>
      <w:pPr>
        <w:pStyle w:val="Heading3"/>
        <w:keepNext w:val="true"/>
        <w:spacing w:before="120" w:after="100"/>
        <w:jc w:val="start"/>
        <w:rPr/>
      </w:pPr>
      <w:r>
        <w:rPr>
          <w:rFonts w:eastAsia="Times New Roman" w:cs="Times New Roman" w:ascii="Times New Roman" w:hAnsi="Times New Roman"/>
          <w:b/>
          <w:color w:val="000000"/>
          <w:sz w:val="26"/>
        </w:rPr>
        <w:t>4.2.9. Hợp đồng cung cấp dịch vụ tích hợp API ví điện tử.</w:t>
      </w:r>
    </w:p>
    <w:p>
      <w:pPr>
        <w:pStyle w:val="Normal"/>
        <w:spacing w:lineRule="auto" w:line="312" w:before="0" w:after="120"/>
        <w:ind w:firstLine="567"/>
        <w:jc w:val="both"/>
        <w:rPr/>
      </w:pPr>
      <w:r>
        <w:rPr>
          <w:rFonts w:eastAsia="Times New Roman" w:cs="Times New Roman"/>
          <w:color w:val="000000"/>
          <w:sz w:val="26"/>
        </w:rPr>
        <w:t>Thứ chín, Hợp đồng cung cấp dịch vụ tích hợp API ví điện tử quy định quan hệ giữa doanh nghiệp ví điện tử đã được cấp phép và thương nhân hoặc nền tảng muốn tích hợp phương thức thanh toán. Nội dung gồm cấp tài liệu kỹ thuật, môi trường thử nghiệm và vận hành chính thức; quản lý khóa và thông tin xác thực; chức năng thanh toán, hoàn tiền, tra cứu, webhook, đối soát; tiêu chuẩn nghiệm thu; mức dịch vụ; phí; bảo vệ dữ liệu; quyền sở hữu trí tuệ; quản lý thay đổi phiên bản; ứng phó sự cố; giới hạn trách nhiệm và chấm dứt kết nối.</w:t>
      </w:r>
    </w:p>
    <w:p>
      <w:pPr>
        <w:pStyle w:val="Normal"/>
        <w:spacing w:lineRule="auto" w:line="312" w:before="0" w:after="120"/>
        <w:ind w:firstLine="567"/>
        <w:jc w:val="both"/>
        <w:rPr/>
      </w:pPr>
      <w:r>
        <w:rPr>
          <w:rFonts w:eastAsia="Times New Roman" w:cs="Times New Roman"/>
          <w:color w:val="000000"/>
          <w:sz w:val="26"/>
        </w:rPr>
        <w:t>Đối với API, phạm vi pháp lý phải gắn với phạm vi kỹ thuật trong phụ lục. Hợp đồng không mặc nhiên cho phép bên tích hợp thu thập thông tin đăng nhập ví, giữ tiền của khách hàng hoặc sử dụng dữ liệu ngoài mục đích thực hiện giao dịch. Ngân hàng liên kết, khách hàng sử dụng ví và nhà cung cấp hạ tầng không trở thành bên của hợp đồng API nếu không có thỏa thuận riêng. Khi chức năng, tiêu chuẩn kỹ thuật hoặc pháp luật thay đổi, các bên phải áp dụng cơ chế quản lý phiên bản và thông báo trước, không được tự ý mở rộng chức năng vượt giấy phép.</w:t>
      </w:r>
    </w:p>
    <w:p>
      <w:pPr>
        <w:pStyle w:val="Heading2"/>
        <w:keepNext w:val="true"/>
        <w:spacing w:before="120" w:after="100"/>
        <w:rPr/>
      </w:pPr>
      <w:r>
        <w:rPr>
          <w:rFonts w:eastAsia="Times New Roman" w:cs="Times New Roman" w:ascii="Times New Roman" w:hAnsi="Times New Roman"/>
          <w:b/>
          <w:color w:val="000000"/>
          <w:sz w:val="26"/>
        </w:rPr>
        <w:t>4.3. Phạm vi dịch vụ.</w:t>
      </w:r>
    </w:p>
    <w:p>
      <w:pPr>
        <w:pStyle w:val="Normal"/>
        <w:spacing w:lineRule="auto" w:line="312" w:before="0" w:after="120"/>
        <w:ind w:firstLine="567"/>
        <w:jc w:val="both"/>
        <w:rPr/>
      </w:pPr>
      <w:r>
        <w:rPr>
          <w:rFonts w:eastAsia="Times New Roman" w:cs="Times New Roman"/>
          <w:color w:val="000000"/>
          <w:sz w:val="26"/>
        </w:rPr>
        <w:t>Dịch vụ áp dụng cho việc tư vấn, dự thảo, rà soát và hỗ trợ đàm phán các hợp đồng phục vụ hoạt động ví điện tử. Thời hạn của từng nhiệm vụ được xác định theo độ phức tạp, số vòng phản hồi và mức độ đầy đủ của hồ sơ nghiệp vụ, kỹ thuật, tài chính. Ý kiến tư vấn chỉ có giá trị đối với phiên bản tài liệu và thông tin đã được cung cấp; thay đổi mô hình hoặc chức năng phải được rà soát lại.</w:t>
      </w:r>
    </w:p>
    <w:p>
      <w:pPr>
        <w:pStyle w:val="Normal"/>
        <w:spacing w:lineRule="auto" w:line="312" w:before="0" w:after="120"/>
        <w:ind w:firstLine="567"/>
        <w:jc w:val="both"/>
        <w:rPr/>
      </w:pPr>
      <w:r>
        <w:rPr>
          <w:rFonts w:eastAsia="Times New Roman" w:cs="Times New Roman"/>
          <w:color w:val="000000"/>
          <w:sz w:val="26"/>
        </w:rPr>
        <w:t>Phạm vi không bao gồm quyết định thương mại thay khách hàng; kiểm thử hệ thống; bảo đảm hiệu quả kinh doanh; đại diện tố tụng; tư vấn pháp luật nước ngoài; xác nhận tuân thủ tiêu chuẩn kỹ thuật; hoặc cam kết đối tác sẽ ký hợp đồng. Chúng tôi không soạn điều khoản nhằm chuyển toàn bộ rủi ro bắt buộc của doanh nghiệp ví điện tử sang khách hàng, ngân hàng hoặc nhà thầu nếu pháp luật không cho phép.</w:t>
      </w:r>
    </w:p>
    <w:p>
      <w:pPr>
        <w:pStyle w:val="Heading2"/>
        <w:keepNext w:val="true"/>
        <w:spacing w:before="120" w:after="100"/>
        <w:rPr/>
      </w:pPr>
      <w:r>
        <w:rPr>
          <w:rFonts w:eastAsia="Times New Roman" w:cs="Times New Roman" w:ascii="Times New Roman" w:hAnsi="Times New Roman"/>
          <w:b/>
          <w:color w:val="000000"/>
          <w:sz w:val="26"/>
        </w:rPr>
        <w:t>4.4. Mục đích dịch vụ.</w:t>
      </w:r>
    </w:p>
    <w:p>
      <w:pPr>
        <w:pStyle w:val="Normal"/>
        <w:spacing w:lineRule="auto" w:line="312" w:before="0" w:after="120"/>
        <w:ind w:firstLine="567"/>
        <w:jc w:val="both"/>
        <w:rPr/>
      </w:pPr>
      <w:r>
        <w:rPr>
          <w:rFonts w:eastAsia="Times New Roman" w:cs="Times New Roman"/>
          <w:color w:val="000000"/>
          <w:sz w:val="26"/>
        </w:rPr>
        <w:t>Bộ hợp đồng thống nhất giúp doanh nghiệp mở rộng mạng lưới mà không phải đàm phán lại toàn bộ cấu trúc pháp lý cho từng đối tác. Phụ lục mô-đun cho phép điều chỉnh phí, chức năng, tiêu chuẩn kỹ thuật và mức dịch vụ nhưng vẫn giữ các nguyên tắc cốt lõi về tuân thủ, dữ liệu và trách nhiệm. Đối với nhà đầu tư, đây là bằng chứng cho thấy doanh nghiệp có mô hình doanh thu, cơ chế phân bổ rủi ro và quy trình hợp tác có thể mở rộng.</w:t>
      </w:r>
    </w:p>
    <w:p>
      <w:pPr>
        <w:pStyle w:val="Normal"/>
        <w:spacing w:lineRule="auto" w:line="312" w:before="0" w:after="120"/>
        <w:ind w:firstLine="567"/>
        <w:jc w:val="both"/>
        <w:rPr/>
      </w:pPr>
      <w:r>
        <w:rPr>
          <w:rFonts w:eastAsia="Times New Roman" w:cs="Times New Roman"/>
          <w:color w:val="000000"/>
          <w:sz w:val="26"/>
        </w:rPr>
        <w:t>Hợp đồng API là sản phẩm có giá trị tăng thêm vì trực tiếp chuyển năng lực công nghệ thành khả năng kết nối thương mại. Tuy nhiên, giá trị đó chỉ bền vững khi hợp đồng giới hạn đúng quyền của bên tích hợp, bảo vệ dữ liệu khách hàng và có cơ chế xử lý sự cố, đối soát, thay đổi phiên bản rõ ràng.</w:t>
      </w:r>
    </w:p>
    <w:p>
      <w:pPr>
        <w:pStyle w:val="Heading1"/>
        <w:keepNext w:val="true"/>
        <w:spacing w:before="160" w:after="100"/>
        <w:jc w:val="center"/>
        <w:rPr/>
      </w:pPr>
      <w:r>
        <w:rPr>
          <w:rFonts w:eastAsia="Times New Roman" w:cs="Times New Roman" w:ascii="Times New Roman" w:hAnsi="Times New Roman"/>
          <w:b/>
          <w:color w:val="000000"/>
          <w:sz w:val="26"/>
        </w:rPr>
        <w:t>CHƯƠNG 5. TƯ VẤN TUÂN THỦ VÀ QUẢN TRỊ RỦI RO PHÁP LÝ.</w:t>
      </w:r>
    </w:p>
    <w:p>
      <w:pPr>
        <w:pStyle w:val="Heading2"/>
        <w:keepNext w:val="true"/>
        <w:spacing w:before="120" w:after="100"/>
        <w:rPr/>
      </w:pPr>
      <w:r>
        <w:rPr>
          <w:rFonts w:eastAsia="Times New Roman" w:cs="Times New Roman" w:ascii="Times New Roman" w:hAnsi="Times New Roman"/>
          <w:b/>
          <w:color w:val="000000"/>
          <w:sz w:val="26"/>
        </w:rPr>
        <w:t>5.1. Giới thiệu dịch vụ.</w:t>
      </w:r>
    </w:p>
    <w:p>
      <w:pPr>
        <w:pStyle w:val="Normal"/>
        <w:spacing w:lineRule="auto" w:line="312" w:before="0" w:after="120"/>
        <w:ind w:firstLine="567"/>
        <w:jc w:val="both"/>
        <w:rPr/>
      </w:pPr>
      <w:r>
        <w:rPr>
          <w:rFonts w:eastAsia="Times New Roman" w:cs="Times New Roman"/>
          <w:color w:val="000000"/>
          <w:sz w:val="26"/>
        </w:rPr>
        <w:t>Giấy phép không phải là điểm kết thúc của tuân thủ. Doanh nghiệp ví điện tử phải duy trì điều kiện hoạt động, cập nhật quy định, bảo vệ dữ liệu, thực hiện phòng chống rửa tiền, tiếp nhận khiếu nại, báo cáo và kiểm soát nhà thầu trong suốt thời gian cung ứng dịch vụ. Nhóm dịch vụ này giúp chuyển nghĩa vụ pháp luật thành chính sách, quy trình, biểu mẫu và đầu mối chịu trách nhiệm có thể kiểm tra được.</w:t>
      </w:r>
    </w:p>
    <w:p>
      <w:pPr>
        <w:pStyle w:val="Heading2"/>
        <w:keepNext w:val="true"/>
        <w:spacing w:before="120" w:after="100"/>
        <w:rPr/>
      </w:pPr>
      <w:r>
        <w:rPr>
          <w:rFonts w:eastAsia="Times New Roman" w:cs="Times New Roman" w:ascii="Times New Roman" w:hAnsi="Times New Roman"/>
          <w:b/>
          <w:color w:val="000000"/>
          <w:sz w:val="26"/>
        </w:rPr>
        <w:t>5.2. Nội dung dịch vụ.</w:t>
      </w:r>
    </w:p>
    <w:p>
      <w:pPr>
        <w:pStyle w:val="Heading3"/>
        <w:keepNext w:val="true"/>
        <w:spacing w:before="120" w:after="100"/>
        <w:jc w:val="start"/>
        <w:rPr/>
      </w:pPr>
      <w:r>
        <w:rPr>
          <w:rFonts w:eastAsia="Times New Roman" w:cs="Times New Roman" w:ascii="Times New Roman" w:hAnsi="Times New Roman"/>
          <w:b/>
          <w:color w:val="000000"/>
          <w:sz w:val="26"/>
        </w:rPr>
        <w:t>5.2.1. Chính sách bảo vệ dữ liệu cá nhân (*).</w:t>
      </w:r>
    </w:p>
    <w:p>
      <w:pPr>
        <w:pStyle w:val="Normal"/>
        <w:spacing w:lineRule="auto" w:line="312" w:before="0" w:after="120"/>
        <w:ind w:firstLine="567"/>
        <w:jc w:val="both"/>
        <w:rPr/>
      </w:pPr>
      <w:r>
        <w:rPr>
          <w:rFonts w:eastAsia="Times New Roman" w:cs="Times New Roman"/>
          <w:color w:val="000000"/>
          <w:sz w:val="26"/>
        </w:rPr>
        <w:t>Nội dung thứ nhất là xây dựng hệ thống bảo vệ dữ liệu cá nhân theo Luật Bảo vệ dữ liệu cá nhân số 91/2025/QH15 và Nghị định số 356/2025/NĐ-CP. Công việc gồm lập bản đồ dữ liệu; xác định vai trò của doanh nghiệp và đối tác; phân loại dữ liệu thông thường, dữ liệu nhạy cảm; xác định mục đích và căn cứ xử lý; soạn chính sách công khai; thiết kế cơ chế thực hiện quyền của chủ thể dữ liệu; quản lý đồng ý khi pháp luật yêu cầu; phân quyền truy cập; quy định lưu giữ, xóa, chuyển giao và thông báo sự cố; rà soát hợp đồng với nhà cung cấp eKYC, máy chủ, phân tích dữ liệu và đối tác thanh toán.</w:t>
      </w:r>
    </w:p>
    <w:p>
      <w:pPr>
        <w:pStyle w:val="Normal"/>
        <w:spacing w:lineRule="auto" w:line="312" w:before="0" w:after="120"/>
        <w:ind w:firstLine="567"/>
        <w:jc w:val="both"/>
        <w:rPr/>
      </w:pPr>
      <w:r>
        <w:rPr>
          <w:rFonts w:eastAsia="Times New Roman" w:cs="Times New Roman"/>
          <w:color w:val="000000"/>
          <w:sz w:val="26"/>
        </w:rPr>
        <w:t>Đối với ví điện tử, thông tin định danh, tài chính, lịch sử giao dịch và dữ liệu xác thực có mức độ rủi ro cao. Doanh nghiệp phải đánh giá tác động xử lý dữ liệu và chuyển dữ liệu xuyên biên giới trong trường hợp pháp luật yêu cầu; chỉ định nhân sự hoặc bộ phận đáp ứng điều kiện; lưu hồ sơ để chứng minh tuân thủ. Các viện dẫn đến Nghị định số 13/2023/NĐ-CP trong bản thô được thay bằng khung pháp luật có hiệu lực từ ngày 01 tháng 01 năm 2026.</w:t>
      </w:r>
    </w:p>
    <w:p>
      <w:pPr>
        <w:pStyle w:val="Heading3"/>
        <w:keepNext w:val="true"/>
        <w:spacing w:before="120" w:after="100"/>
        <w:jc w:val="start"/>
        <w:rPr/>
      </w:pPr>
      <w:r>
        <w:rPr>
          <w:rFonts w:eastAsia="Times New Roman" w:cs="Times New Roman" w:ascii="Times New Roman" w:hAnsi="Times New Roman"/>
          <w:b/>
          <w:color w:val="000000"/>
          <w:sz w:val="26"/>
        </w:rPr>
        <w:t>5.2.2. Quy trình xử lý khiếu nại và tra soát (*).</w:t>
      </w:r>
    </w:p>
    <w:p>
      <w:pPr>
        <w:pStyle w:val="Normal"/>
        <w:spacing w:lineRule="auto" w:line="312" w:before="0" w:after="120"/>
        <w:ind w:firstLine="567"/>
        <w:jc w:val="both"/>
        <w:rPr/>
      </w:pPr>
      <w:r>
        <w:rPr>
          <w:rFonts w:eastAsia="Times New Roman" w:cs="Times New Roman"/>
          <w:color w:val="000000"/>
          <w:sz w:val="26"/>
        </w:rPr>
        <w:t>Nội dung thứ hai là xây dựng quy trình tiếp nhận và xử lý khiếu nại, tra soát và sự cố vận hành. Tầng tiếp nhận ghi nhận yêu cầu, xác minh danh tính, phân loại và thông báo thời hạn xử lý. Tầng chuyên sâu phối hợp giữa chăm sóc khách hàng, vận hành, kỹ thuật, pháp chế và kiểm soát rủi ro để bảo toàn chứng cứ, đánh giá giao dịch và áp dụng biện pháp tạm thời khi có căn cứ. Tầng tranh chấp hoặc sự cố nghiêm trọng xác định nghĩa vụ báo cáo, phương án làm việc với cơ quan có thẩm quyền, thông tin cho khách hàng và quản lý truyền thông. Quy trình không cho phép tự ý phong tỏa hoặc khấu trừ tiền nếu không có căn cứ hợp đồng và pháp luật.</w:t>
      </w:r>
    </w:p>
    <w:p>
      <w:pPr>
        <w:pStyle w:val="Heading3"/>
        <w:keepNext w:val="true"/>
        <w:spacing w:before="120" w:after="100"/>
        <w:jc w:val="start"/>
        <w:rPr/>
      </w:pPr>
      <w:r>
        <w:rPr>
          <w:rFonts w:eastAsia="Times New Roman" w:cs="Times New Roman" w:ascii="Times New Roman" w:hAnsi="Times New Roman"/>
          <w:b/>
          <w:color w:val="000000"/>
          <w:sz w:val="26"/>
        </w:rPr>
        <w:t>5.2.3. Dịch vụ cập nhật pháp lý định kỳ.</w:t>
      </w:r>
    </w:p>
    <w:p>
      <w:pPr>
        <w:pStyle w:val="Normal"/>
        <w:spacing w:lineRule="auto" w:line="312" w:before="0" w:after="120"/>
        <w:ind w:firstLine="567"/>
        <w:jc w:val="both"/>
        <w:rPr/>
      </w:pPr>
      <w:r>
        <w:rPr>
          <w:rFonts w:eastAsia="Times New Roman" w:cs="Times New Roman"/>
          <w:color w:val="000000"/>
          <w:sz w:val="26"/>
        </w:rPr>
        <w:t>Nội dung thứ ba là dịch vụ cập nhật pháp lý định kỳ. Chúng tôi theo dõi văn bản của Quốc hội, Chính phủ, Ngân hàng Nhà nước, Bộ Công an và cơ quan liên quan; phân tích tác động đối với mô hình, hợp đồng và quy trình; phát hành bản tin hoặc báo cáo theo tháng hoặc quý; tổ chức phiên trao đổi với bộ phận quản lý, kỹ thuật và tuân thủ; đề xuất danh mục hành động, người phụ trách và thời hạn thực hiện.</w:t>
      </w:r>
    </w:p>
    <w:p>
      <w:pPr>
        <w:pStyle w:val="Heading2"/>
        <w:keepNext w:val="true"/>
        <w:spacing w:before="120" w:after="100"/>
        <w:rPr/>
      </w:pPr>
      <w:r>
        <w:rPr>
          <w:rFonts w:eastAsia="Times New Roman" w:cs="Times New Roman" w:ascii="Times New Roman" w:hAnsi="Times New Roman"/>
          <w:b/>
          <w:color w:val="000000"/>
          <w:sz w:val="26"/>
        </w:rPr>
        <w:t>5.3. Phạm vi dịch vụ.</w:t>
      </w:r>
    </w:p>
    <w:p>
      <w:pPr>
        <w:pStyle w:val="Normal"/>
        <w:spacing w:lineRule="auto" w:line="312" w:before="0" w:after="120"/>
        <w:ind w:firstLine="567"/>
        <w:jc w:val="both"/>
        <w:rPr/>
      </w:pPr>
      <w:r>
        <w:rPr>
          <w:rFonts w:eastAsia="Times New Roman" w:cs="Times New Roman"/>
          <w:color w:val="000000"/>
          <w:sz w:val="26"/>
        </w:rPr>
        <w:t>Dịch vụ áp dụng đối với hoạt động xử lý dữ liệu, phục vụ khách hàng, quản trị rủi ro và theo dõi pháp luật của doanh nghiệp ví điện tử. Dịch vụ có thể bắt đầu trước khi ra mắt sản phẩm và được duy trì trong suốt thời hạn hợp đồng tư vấn thường xuyên. Tần suất báo cáo, thời gian phản hồi và đầu mối phối hợp được quy định trong phạm vi công việc.</w:t>
      </w:r>
    </w:p>
    <w:p>
      <w:pPr>
        <w:pStyle w:val="Normal"/>
        <w:spacing w:lineRule="auto" w:line="312" w:before="0" w:after="120"/>
        <w:ind w:firstLine="567"/>
        <w:jc w:val="both"/>
        <w:rPr/>
      </w:pPr>
      <w:r>
        <w:rPr>
          <w:rFonts w:eastAsia="Times New Roman" w:cs="Times New Roman"/>
          <w:color w:val="000000"/>
          <w:sz w:val="26"/>
        </w:rPr>
        <w:t>Phạm vi không bao gồm triển khai giải pháp an ninh mạng, điều tra số, chứng nhận hệ thống, thực hiện vai trò của cán bộ bảo vệ dữ liệu khi chưa có thỏa thuận và chưa đáp ứng điều kiện, hoặc đại diện làm việc với cơ quan nhà nước, tòa án, trọng tài nếu chưa được giao. Chúng tôi không bảo đảm rủi ro bị loại bỏ hoàn toàn; trách nhiệm vận hành và quyết định cuối cùng vẫn thuộc doanh nghiệp ví điện tử.</w:t>
      </w:r>
    </w:p>
    <w:p>
      <w:pPr>
        <w:pStyle w:val="Heading2"/>
        <w:keepNext w:val="true"/>
        <w:spacing w:before="120" w:after="100"/>
        <w:rPr/>
      </w:pPr>
      <w:r>
        <w:rPr>
          <w:rFonts w:eastAsia="Times New Roman" w:cs="Times New Roman" w:ascii="Times New Roman" w:hAnsi="Times New Roman"/>
          <w:b/>
          <w:color w:val="000000"/>
          <w:sz w:val="26"/>
        </w:rPr>
        <w:t>5.4. Mục đích và lợi ích đối với nhà đầu tư.</w:t>
      </w:r>
    </w:p>
    <w:p>
      <w:pPr>
        <w:pStyle w:val="Normal"/>
        <w:spacing w:lineRule="auto" w:line="312" w:before="0" w:after="120"/>
        <w:ind w:firstLine="567"/>
        <w:jc w:val="both"/>
        <w:rPr/>
      </w:pPr>
      <w:r>
        <w:rPr>
          <w:rFonts w:eastAsia="Times New Roman" w:cs="Times New Roman"/>
          <w:color w:val="000000"/>
          <w:sz w:val="26"/>
        </w:rPr>
        <w:t>Hệ thống tuân thủ giúp doanh nghiệp nhận diện vi phạm trước khi trở thành sự cố, rút ngắn thời gian xử lý khiếu nại và tạo hồ sơ chứng minh với cơ quan quản lý. Đối với nhà đầu tư, cơ chế cập nhật pháp lý và bảo vệ dữ liệu rõ ràng giảm rủi ro bị gián đoạn hoạt động, xử phạt, mất uy tín hoặc phải thay đổi sản phẩm khẩn cấp. Đây cũng là điều kiện thực tế để hợp tác với ngân hàng, thương nhân lớn và nhà cung cấp quốc tế.</w:t>
      </w:r>
    </w:p>
    <w:p>
      <w:pPr>
        <w:pStyle w:val="Heading1"/>
        <w:keepNext w:val="true"/>
        <w:spacing w:before="160" w:after="100"/>
        <w:jc w:val="center"/>
        <w:rPr/>
      </w:pPr>
      <w:r>
        <w:rPr>
          <w:rFonts w:eastAsia="Times New Roman" w:cs="Times New Roman" w:ascii="Times New Roman" w:hAnsi="Times New Roman"/>
          <w:b/>
          <w:color w:val="000000"/>
          <w:sz w:val="26"/>
        </w:rPr>
        <w:t>CHƯƠNG 6. TƯ VẤN XỬ LÝ CÁC VẤN ĐỀ PHÁT SINH.</w:t>
      </w:r>
    </w:p>
    <w:p>
      <w:pPr>
        <w:pStyle w:val="Heading2"/>
        <w:keepNext w:val="true"/>
        <w:spacing w:before="120" w:after="100"/>
        <w:rPr/>
      </w:pPr>
      <w:r>
        <w:rPr>
          <w:rFonts w:eastAsia="Times New Roman" w:cs="Times New Roman" w:ascii="Times New Roman" w:hAnsi="Times New Roman"/>
          <w:b/>
          <w:color w:val="000000"/>
          <w:sz w:val="26"/>
        </w:rPr>
        <w:t>6.1. Giới thiệu dịch vụ.</w:t>
      </w:r>
    </w:p>
    <w:p>
      <w:pPr>
        <w:pStyle w:val="Normal"/>
        <w:spacing w:lineRule="auto" w:line="312" w:before="0" w:after="120"/>
        <w:ind w:firstLine="567"/>
        <w:jc w:val="both"/>
        <w:rPr/>
      </w:pPr>
      <w:r>
        <w:rPr>
          <w:rFonts w:eastAsia="Times New Roman" w:cs="Times New Roman"/>
          <w:color w:val="000000"/>
          <w:sz w:val="26"/>
        </w:rPr>
        <w:t>Dù có cơ chế phòng ngừa, doanh nghiệp ví điện tử vẫn có thể đối mặt với lừa đảo, giao dịch giả mạo, rửa tiền, gián đoạn hệ thống, chênh lệch đối soát, rò rỉ dữ liệu, tranh chấp với đối tác hoặc yêu cầu từ cơ quan nhà nước. Giá trị của dịch vụ pháp lý trong tình huống này nằm ở khả năng xác định nhanh căn cứ, bảo toàn chứng cứ, phối hợp đúng đầu mối và lựa chọn biện pháp tỷ lệ với rủi ro.</w:t>
      </w:r>
    </w:p>
    <w:p>
      <w:pPr>
        <w:pStyle w:val="Heading2"/>
        <w:keepNext w:val="true"/>
        <w:spacing w:before="120" w:after="100"/>
        <w:rPr/>
      </w:pPr>
      <w:r>
        <w:rPr>
          <w:rFonts w:eastAsia="Times New Roman" w:cs="Times New Roman" w:ascii="Times New Roman" w:hAnsi="Times New Roman"/>
          <w:b/>
          <w:color w:val="000000"/>
          <w:sz w:val="26"/>
        </w:rPr>
        <w:t>6.2. Nội dung dịch vụ.</w:t>
      </w:r>
    </w:p>
    <w:p>
      <w:pPr>
        <w:pStyle w:val="Normal"/>
        <w:spacing w:lineRule="auto" w:line="312" w:before="0" w:after="120"/>
        <w:ind w:firstLine="567"/>
        <w:jc w:val="both"/>
        <w:rPr/>
      </w:pPr>
      <w:r>
        <w:rPr>
          <w:rFonts w:eastAsia="Times New Roman" w:cs="Times New Roman"/>
          <w:color w:val="000000"/>
          <w:sz w:val="26"/>
        </w:rPr>
        <w:t>Đối với lừa đảo và tội phạm tài chính, chúng tôi hỗ trợ lập hồ sơ sự việc; rà soát thông tin khách hàng và giao dịch; xác định căn cứ áp dụng biện pháp tạm thời; chuẩn bị báo cáo giao dịch đáng ngờ khi thuộc trường hợp luật định; soạn văn bản trao đổi với ngân hàng, đối tác và cơ quan có thẩm quyền; hướng dẫn bảo toàn nhật ký hệ thống, dữ liệu giao dịch và lịch sử liên lạc. Mọi biện pháp hạn chế tài khoản phải có căn cứ, thời hạn và cơ chế rà soát, tránh xâm phạm quyền của khách hàng vô căn cứ.</w:t>
      </w:r>
    </w:p>
    <w:p>
      <w:pPr>
        <w:pStyle w:val="Normal"/>
        <w:spacing w:lineRule="auto" w:line="312" w:before="0" w:after="120"/>
        <w:ind w:firstLine="567"/>
        <w:jc w:val="both"/>
        <w:rPr/>
      </w:pPr>
      <w:r>
        <w:rPr>
          <w:rFonts w:eastAsia="Times New Roman" w:cs="Times New Roman"/>
          <w:color w:val="000000"/>
          <w:sz w:val="26"/>
        </w:rPr>
        <w:t>Đối với sự cố kỹ thuật và tranh chấp tài chính, dịch vụ gồm xác định nghĩa vụ thông báo theo hợp đồng, phân tích phân bổ trách nhiệm, đối chiếu dữ liệu, lập biên bản sự cố, bảo lưu quyền, thương lượng hoàn trả hoặc bồi thường và cập nhật kịch bản phản hồi khách hàng. Chúng tôi phối hợp với chuyên gia kỹ thuật nhưng không tự đưa ra kết luận kỹ thuật nếu chưa có chứng cứ chuyên môn.</w:t>
      </w:r>
    </w:p>
    <w:p>
      <w:pPr>
        <w:pStyle w:val="Normal"/>
        <w:spacing w:lineRule="auto" w:line="312" w:before="0" w:after="120"/>
        <w:ind w:firstLine="567"/>
        <w:jc w:val="both"/>
        <w:rPr/>
      </w:pPr>
      <w:r>
        <w:rPr>
          <w:rFonts w:eastAsia="Times New Roman" w:cs="Times New Roman"/>
          <w:color w:val="000000"/>
          <w:sz w:val="26"/>
        </w:rPr>
        <w:t>Đối với vi phạm dữ liệu cá nhân và an ninh mạng, công việc gồm kích hoạt quy trình ứng phó, khoanh vùng chủ thể và dữ liệu bị ảnh hưởng, xác định nghĩa vụ thông báo hoặc báo cáo, rà soát nội dung truyền thông, làm việc với bên xử lý dữ liệu và chuẩn bị hồ sơ chứng minh các biện pháp đã áp dụng. Thời hạn và cơ quan tiếp nhận phải được xác định theo quy định có hiệu lực tại thời điểm xảy ra sự cố, không sử dụng máy móc các mốc thời gian trong tài liệu cũ.</w:t>
      </w:r>
    </w:p>
    <w:p>
      <w:pPr>
        <w:pStyle w:val="Normal"/>
        <w:spacing w:lineRule="auto" w:line="312" w:before="0" w:after="120"/>
        <w:ind w:firstLine="567"/>
        <w:jc w:val="both"/>
        <w:rPr/>
      </w:pPr>
      <w:r>
        <w:rPr>
          <w:rFonts w:eastAsia="Times New Roman" w:cs="Times New Roman"/>
          <w:color w:val="000000"/>
          <w:sz w:val="26"/>
        </w:rPr>
        <w:t>Sản phẩm bàn giao có thể gồm ý kiến pháp lý khẩn cấp, danh mục hành động, biên bản bảo toàn chứng cứ, thư yêu cầu hoặc phản hồi, báo cáo sự cố, hồ sơ khiếu nại, biên bản thương lượng và bản tổng kết nguyên nhân cùng biện pháp khắc phục.</w:t>
      </w:r>
    </w:p>
    <w:p>
      <w:pPr>
        <w:pStyle w:val="Heading2"/>
        <w:keepNext w:val="true"/>
        <w:spacing w:before="120" w:after="100"/>
        <w:rPr/>
      </w:pPr>
      <w:r>
        <w:rPr>
          <w:rFonts w:eastAsia="Times New Roman" w:cs="Times New Roman" w:ascii="Times New Roman" w:hAnsi="Times New Roman"/>
          <w:b/>
          <w:color w:val="000000"/>
          <w:sz w:val="26"/>
        </w:rPr>
        <w:t>6.3. Phạm vi dịch vụ.</w:t>
      </w:r>
    </w:p>
    <w:p>
      <w:pPr>
        <w:pStyle w:val="Normal"/>
        <w:spacing w:lineRule="auto" w:line="312" w:before="0" w:after="120"/>
        <w:ind w:firstLine="567"/>
        <w:jc w:val="both"/>
        <w:rPr/>
      </w:pPr>
      <w:r>
        <w:rPr>
          <w:rFonts w:eastAsia="Times New Roman" w:cs="Times New Roman"/>
          <w:color w:val="000000"/>
          <w:sz w:val="26"/>
        </w:rPr>
        <w:t>Dịch vụ được kích hoạt khi doanh nghiệp thông báo sự cố và cung cấp đầu mối có thẩm quyền. Phạm vi áp dụng đối với sự cố phát sinh từ hoạt động ví điện tử, hệ thống kết nối, đối tác, nhân sự và khách hàng tại Việt Nam. Thời gian phản hồi phụ thuộc cấp độ sự cố và được quy định trong hợp đồng hoặc quy trình ứng phó; trường hợp khẩn cấp ưu tiên biện pháp bảo toàn chứng cứ, hạn chế thiệt hại và tuân thủ thời hạn bắt buộc.</w:t>
      </w:r>
    </w:p>
    <w:p>
      <w:pPr>
        <w:pStyle w:val="Normal"/>
        <w:spacing w:lineRule="auto" w:line="312" w:before="0" w:after="120"/>
        <w:ind w:firstLine="567"/>
        <w:jc w:val="both"/>
        <w:rPr/>
      </w:pPr>
      <w:r>
        <w:rPr>
          <w:rFonts w:eastAsia="Times New Roman" w:cs="Times New Roman"/>
          <w:color w:val="000000"/>
          <w:sz w:val="26"/>
        </w:rPr>
        <w:t>Dịch vụ không bao gồm điều tra hình sự, giám định kỹ thuật, khôi phục hệ thống, đại diện tố tụng hoặc làm việc chính thức với cơ quan nhà nước khi chưa có ủy quyền hợp lệ. Chúng tôi không được yêu cầu khách hàng tiêu hủy, sửa hoặc che giấu chứng cứ; không cam kết kết quả xử lý, bồi thường hay quyết định của cơ quan có thẩm quyền.</w:t>
      </w:r>
    </w:p>
    <w:p>
      <w:pPr>
        <w:pStyle w:val="Heading2"/>
        <w:keepNext w:val="true"/>
        <w:spacing w:before="120" w:after="100"/>
        <w:rPr/>
      </w:pPr>
      <w:r>
        <w:rPr>
          <w:rFonts w:eastAsia="Times New Roman" w:cs="Times New Roman" w:ascii="Times New Roman" w:hAnsi="Times New Roman"/>
          <w:b/>
          <w:color w:val="000000"/>
          <w:sz w:val="26"/>
        </w:rPr>
        <w:t>6.4. Mục đích và lợi ích đối với nhà đầu tư.</w:t>
      </w:r>
    </w:p>
    <w:p>
      <w:pPr>
        <w:pStyle w:val="Normal"/>
        <w:spacing w:lineRule="auto" w:line="312" w:before="0" w:after="120"/>
        <w:ind w:hanging="0"/>
        <w:rPr/>
      </w:pPr>
      <w:r>
        <w:rPr>
          <w:rFonts w:eastAsia="Times New Roman" w:cs="Times New Roman"/>
          <w:color w:val="000000"/>
          <w:sz w:val="26"/>
        </w:rPr>
        <w:t>Dịch vụ giúp doanh nghiệp phản ứng có trật tự thay vì đưa ra quyết định rời rạc trong tình trạng khẩn cấp. Việc bảo toàn chứng cứ, phân quyền phát ngôn và ghi nhận căn cứ của từng biện pháp làm giảm nguy cơ sự cố ban đầu phát triển thành tranh chấp, vi phạm dữ liệu hoặc khủng hoảng truyền thông. Báo cáo sau sự cố còn cung cấp dữ liệu để sửa hợp đồng, quy trình và hệ thống kiểm soát.</w:t>
      </w:r>
      <w:r>
        <w:br w:type="page"/>
      </w:r>
    </w:p>
    <w:p>
      <w:pPr>
        <w:pStyle w:val="Heading1"/>
        <w:keepNext w:val="true"/>
        <w:spacing w:before="0" w:after="100"/>
        <w:jc w:val="center"/>
        <w:rPr/>
      </w:pPr>
      <w:r>
        <w:rPr>
          <w:rFonts w:eastAsia="Times New Roman" w:cs="Times New Roman" w:ascii="Times New Roman" w:hAnsi="Times New Roman"/>
          <w:b/>
          <w:color w:val="000000"/>
          <w:sz w:val="26"/>
        </w:rPr>
        <w:t>CHƯƠNG 7. PHÂN NHÓM GÓI DỊCH VỤ VÀ SẢN PHẨM DEMO.</w:t>
      </w:r>
    </w:p>
    <w:p>
      <w:pPr>
        <w:pStyle w:val="Heading2"/>
        <w:keepNext w:val="true"/>
        <w:spacing w:before="120" w:after="100"/>
        <w:rPr/>
      </w:pPr>
      <w:r>
        <w:rPr>
          <w:rFonts w:eastAsia="Times New Roman" w:cs="Times New Roman" w:ascii="Times New Roman" w:hAnsi="Times New Roman"/>
          <w:b/>
          <w:color w:val="000000"/>
          <w:sz w:val="26"/>
        </w:rPr>
        <w:t>7.1. Phân nhóm dịch vụ.</w:t>
      </w:r>
    </w:p>
    <w:tbl>
      <w:tblPr>
        <w:tblW w:w="9175" w:type="dxa"/>
        <w:jc w:val="center"/>
        <w:tblInd w:w="0" w:type="dxa"/>
        <w:tblLayout w:type="fixed"/>
        <w:tblCellMar>
          <w:top w:w="55" w:type="dxa"/>
          <w:start w:w="85" w:type="dxa"/>
          <w:bottom w:w="55" w:type="dxa"/>
          <w:end w:w="85" w:type="dxa"/>
        </w:tblCellMar>
        <w:tblLook w:noHBand="0" w:lastColumn="0" w:firstColumn="1" w:lastRow="0" w:firstRow="1" w:noVBand="1" w:val="04a0"/>
      </w:tblPr>
      <w:tblGrid>
        <w:gridCol w:w="3022"/>
        <w:gridCol w:w="3024"/>
        <w:gridCol w:w="3129"/>
      </w:tblGrid>
      <w:tr>
        <w:trPr>
          <w:tblHeader w:val="true"/>
          <w:cantSplit/>
        </w:trPr>
        <w:tc>
          <w:tcPr>
            <w:tcW w:w="3022" w:type="dxa"/>
            <w:tcBorders>
              <w:top w:val="single" w:sz="6" w:space="0" w:color="000000"/>
              <w:start w:val="single" w:sz="6" w:space="0" w:color="000000"/>
              <w:bottom w:val="single" w:sz="6" w:space="0" w:color="000000"/>
            </w:tcBorders>
            <w:shd w:color="auto" w:fill="FFFFFF" w:val="clear"/>
            <w:vAlign w:val="center"/>
          </w:tcPr>
          <w:p>
            <w:pPr>
              <w:pStyle w:val="Normal"/>
              <w:bidi w:val="0"/>
              <w:spacing w:lineRule="auto" w:line="240" w:before="0" w:after="0"/>
              <w:ind w:hanging="0"/>
              <w:jc w:val="start"/>
              <w:rPr/>
            </w:pPr>
            <w:r>
              <w:rPr>
                <w:rFonts w:eastAsia="Times New Roman" w:cs="Times New Roman"/>
                <w:b/>
                <w:color w:val="000000"/>
                <w:sz w:val="26"/>
              </w:rPr>
              <w:t>Gói dịch vụ</w:t>
            </w:r>
          </w:p>
        </w:tc>
        <w:tc>
          <w:tcPr>
            <w:tcW w:w="3024" w:type="dxa"/>
            <w:tcBorders>
              <w:top w:val="single" w:sz="6" w:space="0" w:color="000000"/>
              <w:start w:val="single" w:sz="6" w:space="0" w:color="000000"/>
              <w:bottom w:val="single" w:sz="6" w:space="0" w:color="000000"/>
            </w:tcBorders>
            <w:shd w:color="auto" w:fill="FFFFFF" w:val="clear"/>
            <w:vAlign w:val="center"/>
          </w:tcPr>
          <w:p>
            <w:pPr>
              <w:pStyle w:val="Normal"/>
              <w:bidi w:val="0"/>
              <w:spacing w:lineRule="auto" w:line="240" w:before="0" w:after="0"/>
              <w:ind w:hanging="0"/>
              <w:jc w:val="start"/>
              <w:rPr/>
            </w:pPr>
            <w:r>
              <w:rPr>
                <w:rFonts w:eastAsia="Times New Roman" w:cs="Times New Roman"/>
                <w:b/>
                <w:color w:val="000000"/>
                <w:sz w:val="26"/>
              </w:rPr>
              <w:t>Nội dung</w:t>
            </w:r>
          </w:p>
        </w:tc>
        <w:tc>
          <w:tcPr>
            <w:tcW w:w="3129"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bidi w:val="0"/>
              <w:spacing w:lineRule="auto" w:line="240" w:before="0" w:after="0"/>
              <w:ind w:hanging="0"/>
              <w:jc w:val="start"/>
              <w:rPr/>
            </w:pPr>
            <w:r>
              <w:rPr>
                <w:rFonts w:eastAsia="Times New Roman" w:cs="Times New Roman"/>
                <w:b/>
                <w:color w:val="000000"/>
                <w:sz w:val="26"/>
              </w:rPr>
              <w:t>Sản phẩm bàn giao</w:t>
            </w:r>
          </w:p>
        </w:tc>
      </w:tr>
      <w:tr>
        <w:trPr>
          <w:cantSplit/>
        </w:trPr>
        <w:tc>
          <w:tcPr>
            <w:tcW w:w="3022" w:type="dxa"/>
            <w:tcBorders>
              <w:start w:val="single" w:sz="6" w:space="0" w:color="000000"/>
              <w:bottom w:val="single" w:sz="6" w:space="0" w:color="000000"/>
            </w:tcBorders>
            <w:shd w:color="auto" w:fill="FFFFFF" w:val="clear"/>
            <w:vAlign w:val="center"/>
          </w:tcPr>
          <w:p>
            <w:pPr>
              <w:pStyle w:val="Normal"/>
              <w:bidi w:val="0"/>
              <w:spacing w:lineRule="auto" w:line="240" w:before="0" w:after="0"/>
              <w:ind w:hanging="0"/>
              <w:jc w:val="start"/>
              <w:rPr/>
            </w:pPr>
            <w:r>
              <w:rPr>
                <w:rFonts w:eastAsia="Times New Roman" w:cs="Times New Roman"/>
                <w:b/>
                <w:color w:val="000000"/>
                <w:sz w:val="26"/>
              </w:rPr>
              <w:t>Tối thiểu</w:t>
            </w:r>
          </w:p>
        </w:tc>
        <w:tc>
          <w:tcPr>
            <w:tcW w:w="3024" w:type="dxa"/>
            <w:tcBorders>
              <w:start w:val="single" w:sz="6" w:space="0" w:color="000000"/>
              <w:bottom w:val="single" w:sz="6" w:space="0" w:color="000000"/>
            </w:tcBorders>
            <w:shd w:color="auto" w:fill="FFFFFF" w:val="clear"/>
            <w:vAlign w:val="center"/>
          </w:tcPr>
          <w:p>
            <w:pPr>
              <w:pStyle w:val="Normal"/>
              <w:bidi w:val="0"/>
              <w:spacing w:lineRule="auto" w:line="240" w:before="0" w:after="0"/>
              <w:ind w:hanging="0"/>
              <w:jc w:val="start"/>
              <w:rPr/>
            </w:pPr>
            <w:r>
              <w:rPr>
                <w:rFonts w:eastAsia="Times New Roman" w:cs="Times New Roman"/>
                <w:color w:val="000000"/>
                <w:sz w:val="26"/>
              </w:rPr>
              <w:t>Toàn bộ gói cơ bản; thành lập công ty cổ phần; Điều lệ; lộ trình giấy phép; hợp đồng khách hàng; tài khoản bảo đảm thanh toán; chính sách dữ liệu và quy trình khiếu nại cốt lõi.</w:t>
            </w:r>
          </w:p>
        </w:tc>
        <w:tc>
          <w:tcPr>
            <w:tcW w:w="3129" w:type="dxa"/>
            <w:tcBorders>
              <w:start w:val="single" w:sz="6" w:space="0" w:color="000000"/>
              <w:bottom w:val="single" w:sz="6" w:space="0" w:color="000000"/>
              <w:end w:val="single" w:sz="6" w:space="0" w:color="000000"/>
            </w:tcBorders>
            <w:shd w:color="auto" w:fill="FFFFFF" w:val="clear"/>
            <w:vAlign w:val="center"/>
          </w:tcPr>
          <w:p>
            <w:pPr>
              <w:pStyle w:val="Normal"/>
              <w:bidi w:val="0"/>
              <w:spacing w:lineRule="auto" w:line="240" w:before="0" w:after="0"/>
              <w:ind w:hanging="0"/>
              <w:jc w:val="start"/>
              <w:rPr/>
            </w:pPr>
            <w:r>
              <w:rPr>
                <w:rFonts w:eastAsia="Times New Roman" w:cs="Times New Roman"/>
                <w:color w:val="000000"/>
                <w:sz w:val="26"/>
              </w:rPr>
              <w:t>Bộ hồ sơ thành lập, hệ thống văn bản bắt buộc và bộ kiểm tra điều kiện trước vận hành.</w:t>
            </w:r>
          </w:p>
        </w:tc>
      </w:tr>
      <w:tr>
        <w:trPr>
          <w:cantSplit/>
        </w:trPr>
        <w:tc>
          <w:tcPr>
            <w:tcW w:w="3022" w:type="dxa"/>
            <w:tcBorders>
              <w:start w:val="single" w:sz="6" w:space="0" w:color="000000"/>
              <w:bottom w:val="single" w:sz="6" w:space="0" w:color="000000"/>
            </w:tcBorders>
            <w:shd w:color="auto" w:fill="FFFFFF" w:val="clear"/>
            <w:vAlign w:val="center"/>
          </w:tcPr>
          <w:p>
            <w:pPr>
              <w:pStyle w:val="Normal"/>
              <w:bidi w:val="0"/>
              <w:spacing w:lineRule="auto" w:line="240" w:before="0" w:after="0"/>
              <w:ind w:hanging="0"/>
              <w:jc w:val="start"/>
              <w:rPr/>
            </w:pPr>
            <w:r>
              <w:rPr>
                <w:rFonts w:eastAsia="Times New Roman" w:cs="Times New Roman"/>
                <w:b/>
                <w:color w:val="000000"/>
                <w:sz w:val="26"/>
              </w:rPr>
              <w:t>Tối đa</w:t>
            </w:r>
          </w:p>
        </w:tc>
        <w:tc>
          <w:tcPr>
            <w:tcW w:w="3024" w:type="dxa"/>
            <w:tcBorders>
              <w:start w:val="single" w:sz="6" w:space="0" w:color="000000"/>
              <w:bottom w:val="single" w:sz="6" w:space="0" w:color="000000"/>
            </w:tcBorders>
            <w:shd w:color="auto" w:fill="FFFFFF" w:val="clear"/>
            <w:vAlign w:val="center"/>
          </w:tcPr>
          <w:p>
            <w:pPr>
              <w:pStyle w:val="Normal"/>
              <w:bidi w:val="0"/>
              <w:spacing w:lineRule="auto" w:line="240" w:before="0" w:after="0"/>
              <w:ind w:hanging="0"/>
              <w:jc w:val="start"/>
              <w:rPr/>
            </w:pPr>
            <w:r>
              <w:rPr>
                <w:rFonts w:eastAsia="Times New Roman" w:cs="Times New Roman"/>
                <w:color w:val="000000"/>
                <w:sz w:val="26"/>
              </w:rPr>
              <w:t>Toàn bộ gói tối thiểu; hợp đồng API, thuê ngoài, khuyến mại và đơn vị chấp nhận thanh toán; quản trị sở hữu trí tuệ; cập nhật pháp lý định kỳ; diễn tập và hỗ trợ xử lý sự cố.</w:t>
            </w:r>
          </w:p>
        </w:tc>
        <w:tc>
          <w:tcPr>
            <w:tcW w:w="3129" w:type="dxa"/>
            <w:tcBorders>
              <w:start w:val="single" w:sz="6" w:space="0" w:color="000000"/>
              <w:bottom w:val="single" w:sz="6" w:space="0" w:color="000000"/>
              <w:end w:val="single" w:sz="6" w:space="0" w:color="000000"/>
            </w:tcBorders>
            <w:shd w:color="auto" w:fill="FFFFFF" w:val="clear"/>
            <w:vAlign w:val="center"/>
          </w:tcPr>
          <w:p>
            <w:pPr>
              <w:pStyle w:val="Normal"/>
              <w:bidi w:val="0"/>
              <w:spacing w:lineRule="auto" w:line="240" w:before="0" w:after="0"/>
              <w:ind w:hanging="0"/>
              <w:jc w:val="start"/>
              <w:rPr/>
            </w:pPr>
            <w:r>
              <w:rPr>
                <w:rFonts w:eastAsia="Times New Roman" w:cs="Times New Roman"/>
                <w:color w:val="000000"/>
                <w:sz w:val="26"/>
              </w:rPr>
              <w:t>Hệ thống pháp lý trọn vòng đời, báo cáo định kỳ, bộ biểu mẫu ứng phó và hỗ trợ đàm phán.</w:t>
            </w:r>
          </w:p>
        </w:tc>
      </w:tr>
    </w:tbl>
    <w:p>
      <w:pPr>
        <w:pStyle w:val="Normal"/>
        <w:spacing w:lineRule="auto" w:line="312" w:before="0" w:after="120"/>
        <w:ind w:firstLine="567"/>
        <w:jc w:val="both"/>
        <w:rPr/>
      </w:pPr>
      <w:r>
        <w:rPr/>
      </w:r>
    </w:p>
    <w:p>
      <w:pPr>
        <w:pStyle w:val="Normal"/>
        <w:spacing w:lineRule="auto" w:line="312" w:before="0" w:after="120"/>
        <w:ind w:firstLine="567"/>
        <w:jc w:val="both"/>
        <w:rPr/>
      </w:pPr>
      <w:r>
        <w:rPr>
          <w:rFonts w:eastAsia="Times New Roman" w:cs="Times New Roman"/>
          <w:color w:val="000000"/>
          <w:sz w:val="26"/>
        </w:rPr>
        <w:t>Gói cơ bản phù hợp với giai đoạn nhà đầu tư đang kiểm chứng ý tưởng và cần xác định cấu trúc pháp lý trước khi cam kết ngân sách lớn. Gói tối thiểu là tập hợp công việc bắt buộc để dự án có thể thành lập chủ thể, chuẩn bị cấp phép và giao kết các quan hệ cốt lõi. Gói tối đa hoặc nâng cao bao phủ toàn bộ vòng đời, bổ sung quản trị dữ liệu, hệ thống hợp đồng mở rộng, cập nhật pháp lý và hỗ trợ xử lý sự cố.</w:t>
      </w:r>
    </w:p>
    <w:p>
      <w:pPr>
        <w:pStyle w:val="Normal"/>
        <w:spacing w:lineRule="auto" w:line="312" w:before="0" w:after="120"/>
        <w:ind w:firstLine="567"/>
        <w:jc w:val="both"/>
        <w:rPr/>
      </w:pPr>
      <w:r>
        <w:rPr>
          <w:rFonts w:eastAsia="Times New Roman" w:cs="Times New Roman"/>
          <w:color w:val="000000"/>
          <w:sz w:val="26"/>
        </w:rPr>
        <w:t>Nội dung quan trọng nhất trong giai đoạn hiện tại là thẩm định đúng mô hình và lập lộ trình giấy phép. Tuy nhiên, trước khi vận hành chính thức, hợp đồng mở và sử dụng ví điện tử, cơ chế tài khoản bảo đảm thanh toán, quy trình định danh, bảo vệ dữ liệu và phòng chống rửa tiền trở thành nhóm công việc không thể thiếu.</w:t>
      </w:r>
    </w:p>
    <w:p>
      <w:pPr>
        <w:pStyle w:val="Heading2"/>
        <w:keepNext w:val="true"/>
        <w:spacing w:before="120" w:after="100"/>
        <w:rPr/>
      </w:pPr>
      <w:r>
        <w:rPr>
          <w:rFonts w:eastAsia="Times New Roman" w:cs="Times New Roman" w:ascii="Times New Roman" w:hAnsi="Times New Roman"/>
          <w:b/>
          <w:color w:val="000000"/>
          <w:sz w:val="26"/>
        </w:rPr>
        <w:t>7.2. Hai sản phẩm demo.</w:t>
      </w:r>
    </w:p>
    <w:tbl>
      <w:tblPr>
        <w:tblW w:w="9072" w:type="dxa"/>
        <w:jc w:val="center"/>
        <w:tblInd w:w="0" w:type="dxa"/>
        <w:tblLayout w:type="fixed"/>
        <w:tblCellMar>
          <w:top w:w="55" w:type="dxa"/>
          <w:start w:w="85" w:type="dxa"/>
          <w:bottom w:w="55" w:type="dxa"/>
          <w:end w:w="85" w:type="dxa"/>
        </w:tblCellMar>
        <w:tblLook w:noHBand="0" w:lastColumn="0" w:firstColumn="1" w:lastRow="0" w:firstRow="1" w:noVBand="1" w:val="04a0"/>
      </w:tblPr>
      <w:tblGrid>
        <w:gridCol w:w="3024"/>
        <w:gridCol w:w="3024"/>
        <w:gridCol w:w="3024"/>
      </w:tblGrid>
      <w:tr>
        <w:trPr>
          <w:tblHeader w:val="true"/>
          <w:cantSplit/>
        </w:trPr>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uto" w:line="240" w:before="0" w:after="0"/>
              <w:ind w:hanging="0"/>
              <w:jc w:val="center"/>
              <w:rPr/>
            </w:pPr>
            <w:r>
              <w:rPr>
                <w:rFonts w:eastAsia="Times New Roman" w:cs="Times New Roman"/>
                <w:b/>
                <w:color w:val="000000"/>
                <w:sz w:val="26"/>
              </w:rPr>
              <w:t>Sản phẩm</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uto" w:line="240" w:before="0" w:after="0"/>
              <w:ind w:hanging="0"/>
              <w:jc w:val="center"/>
              <w:rPr/>
            </w:pPr>
            <w:r>
              <w:rPr>
                <w:rFonts w:eastAsia="Times New Roman" w:cs="Times New Roman"/>
                <w:b/>
                <w:color w:val="000000"/>
                <w:sz w:val="26"/>
              </w:rPr>
              <w:t>Nội dung trọng tâm</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uto" w:line="240" w:before="0" w:after="0"/>
              <w:ind w:hanging="0"/>
              <w:jc w:val="center"/>
              <w:rPr/>
            </w:pPr>
            <w:r>
              <w:rPr>
                <w:rFonts w:eastAsia="Times New Roman" w:cs="Times New Roman"/>
                <w:b/>
                <w:color w:val="000000"/>
                <w:sz w:val="26"/>
              </w:rPr>
              <w:t>Giá trị đối với nhà đầu tư</w:t>
            </w:r>
          </w:p>
        </w:tc>
      </w:tr>
      <w:tr>
        <w:trPr>
          <w:cantSplit/>
        </w:trPr>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uto" w:line="240" w:before="0" w:after="0"/>
              <w:ind w:hanging="0"/>
              <w:jc w:val="start"/>
              <w:rPr/>
            </w:pPr>
            <w:r>
              <w:rPr>
                <w:rFonts w:eastAsia="Times New Roman" w:cs="Times New Roman"/>
                <w:b/>
                <w:color w:val="000000"/>
                <w:sz w:val="26"/>
              </w:rPr>
              <w:t>Điều lệ công ty cổ phần</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uto" w:line="240" w:before="0" w:after="0"/>
              <w:ind w:hanging="0"/>
              <w:jc w:val="start"/>
              <w:rPr/>
            </w:pPr>
            <w:r>
              <w:rPr>
                <w:rFonts w:eastAsia="Times New Roman" w:cs="Times New Roman"/>
                <w:color w:val="000000"/>
                <w:sz w:val="26"/>
              </w:rPr>
              <w:t>Cơ cấu năm cổ đông, vốn và cổ phần, thẩm quyền quản trị, kiểm soát người quản lý, bảo vệ dữ liệu và tài sản công nghệ.</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uto" w:line="240" w:before="0" w:after="0"/>
              <w:ind w:hanging="0"/>
              <w:jc w:val="start"/>
              <w:rPr/>
            </w:pPr>
            <w:r>
              <w:rPr>
                <w:rFonts w:eastAsia="Times New Roman" w:cs="Times New Roman"/>
                <w:color w:val="000000"/>
                <w:sz w:val="26"/>
              </w:rPr>
              <w:t>Tạo nền tảng quản trị minh bạch, hỗ trợ gọi vốn và hạn chế tranh chấp nội bộ.</w:t>
            </w:r>
          </w:p>
        </w:tc>
      </w:tr>
      <w:tr>
        <w:trPr>
          <w:cantSplit/>
        </w:trPr>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uto" w:line="240" w:before="0" w:after="0"/>
              <w:ind w:hanging="0"/>
              <w:jc w:val="start"/>
              <w:rPr/>
            </w:pPr>
            <w:r>
              <w:rPr>
                <w:rFonts w:eastAsia="Times New Roman" w:cs="Times New Roman"/>
                <w:b/>
                <w:color w:val="000000"/>
                <w:sz w:val="26"/>
              </w:rPr>
              <w:t>Hợp đồng mở và sử dụng ví điện tử</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uto" w:line="240" w:before="0" w:after="0"/>
              <w:ind w:hanging="0"/>
              <w:jc w:val="start"/>
              <w:rPr/>
            </w:pPr>
            <w:r>
              <w:rPr>
                <w:rFonts w:eastAsia="Times New Roman" w:cs="Times New Roman"/>
                <w:color w:val="000000"/>
                <w:sz w:val="26"/>
              </w:rPr>
              <w:t>Mở ví, định danh, liên kết ngân hàng, nạp rút và thanh toán, phí, hạn mức, tra soát, bảo mật, dữ liệu, tạm khóa và chấm dứt.</w:t>
            </w:r>
          </w:p>
        </w:tc>
        <w:tc>
          <w:tcPr>
            <w:tcW w:w="3024" w:type="dxa"/>
            <w:tcBorders>
              <w:top w:val="single" w:sz="6" w:space="0" w:color="000000"/>
              <w:start w:val="single" w:sz="6" w:space="0" w:color="000000"/>
              <w:bottom w:val="single" w:sz="6" w:space="0" w:color="000000"/>
              <w:end w:val="single" w:sz="6" w:space="0" w:color="000000"/>
            </w:tcBorders>
            <w:shd w:color="auto" w:fill="FFFFFF" w:val="clear"/>
            <w:vAlign w:val="center"/>
          </w:tcPr>
          <w:p>
            <w:pPr>
              <w:pStyle w:val="Normal"/>
              <w:spacing w:lineRule="auto" w:line="240" w:before="0" w:after="0"/>
              <w:ind w:hanging="0"/>
              <w:jc w:val="start"/>
              <w:rPr/>
            </w:pPr>
            <w:r>
              <w:rPr>
                <w:rFonts w:eastAsia="Times New Roman" w:cs="Times New Roman"/>
                <w:color w:val="000000"/>
                <w:sz w:val="26"/>
              </w:rPr>
              <w:t>Chuẩn hóa quan hệ với khách hàng, bảo vệ người tiêu dùng và chứng minh khả năng vận hành tuân thủ.</w:t>
            </w:r>
          </w:p>
        </w:tc>
      </w:tr>
    </w:tbl>
    <w:p>
      <w:pPr>
        <w:pStyle w:val="Normal"/>
        <w:spacing w:lineRule="auto" w:line="312" w:before="0" w:after="120"/>
        <w:ind w:firstLine="567"/>
        <w:jc w:val="both"/>
        <w:rPr/>
      </w:pPr>
      <w:r>
        <w:rPr/>
      </w:r>
    </w:p>
    <w:p>
      <w:pPr>
        <w:pStyle w:val="Normal"/>
        <w:spacing w:lineRule="auto" w:line="312" w:before="0" w:after="120"/>
        <w:ind w:firstLine="567"/>
        <w:jc w:val="both"/>
        <w:rPr/>
      </w:pPr>
      <w:r>
        <w:rPr>
          <w:rFonts w:eastAsia="Times New Roman" w:cs="Times New Roman"/>
          <w:color w:val="000000"/>
          <w:sz w:val="26"/>
        </w:rPr>
        <w:t>Hai sản phẩm demo được lựa chọn vì đại diện cho hai trục pháp lý của dự án. Điều lệ điều chỉnh cách doanh nghiệp hình thành và ra quyết định; Hợp đồng mở và sử dụng ví điện tử điều chỉnh cách doanh nghiệp cung cấp dịch vụ cho khách hàng. Khi hai văn bản này thống nhất với mô hình được cấp phép, nhà đầu tư có thể nhìn thấy mối liên hệ từ quản trị nội bộ đến hoạt động kinh doanh thực tế.</w:t>
      </w:r>
    </w:p>
    <w:p>
      <w:pPr>
        <w:pStyle w:val="Heading1"/>
        <w:keepNext w:val="true"/>
        <w:spacing w:before="160" w:after="100"/>
        <w:jc w:val="center"/>
        <w:rPr/>
      </w:pPr>
      <w:r>
        <w:rPr>
          <w:rFonts w:eastAsia="Times New Roman" w:cs="Times New Roman" w:ascii="Times New Roman" w:hAnsi="Times New Roman"/>
          <w:b/>
          <w:color w:val="000000"/>
          <w:sz w:val="26"/>
        </w:rPr>
        <w:t>KẾT LUẬN VÀ KIẾN NGHỊ.</w:t>
      </w:r>
    </w:p>
    <w:p>
      <w:pPr>
        <w:pStyle w:val="Normal"/>
        <w:spacing w:lineRule="auto" w:line="312" w:before="0" w:after="120"/>
        <w:ind w:firstLine="567"/>
        <w:jc w:val="both"/>
        <w:rPr/>
      </w:pPr>
      <w:r>
        <w:rPr>
          <w:rFonts w:eastAsia="Times New Roman" w:cs="Times New Roman"/>
          <w:color w:val="000000"/>
          <w:sz w:val="26"/>
        </w:rPr>
        <w:t>Chương trình sáu nhóm dịch vụ của chúng tôi cung cấp cho nhà đầu tư một lộ trình pháp lý xuyên suốt từ ý tưởng đến vận hành và xử lý sự cố. Lợi ích không chỉ nằm ở việc có đủ văn bản, mà ở sự thống nhất giữa mô hình kinh doanh, cơ cấu quản trị, giấy phép, hợp đồng, quy trình dữ liệu và cơ chế kiểm soát rủi ro.</w:t>
      </w:r>
    </w:p>
    <w:p>
      <w:pPr>
        <w:pStyle w:val="Normal"/>
        <w:spacing w:lineRule="auto" w:line="312" w:before="0" w:after="120"/>
        <w:ind w:firstLine="567"/>
        <w:jc w:val="both"/>
        <w:rPr/>
      </w:pPr>
      <w:r>
        <w:rPr>
          <w:rFonts w:eastAsia="Times New Roman" w:cs="Times New Roman"/>
          <w:color w:val="000000"/>
          <w:sz w:val="26"/>
        </w:rPr>
        <w:t>Nhà đầu tư nên triển khai trước gói cơ bản để thẩm định mô hình, sau đó thực hiện gói tối thiểu đồng thời với quá trình thành lập và chuẩn bị cấp phép. Gói nâng cao được triển khai trước khi ra mắt chính thức và duy trì trong quá trình mở rộng đối tác. Mỗi giai đoạn cần có biên bản chốt phạm vi, danh mục hồ sơ đầu vào, sản phẩm bàn giao và người có thẩm quyền phê duyệt để tránh hiểu sai trách nhiệm giữa chúng tôi và khách hàng.</w:t>
      </w:r>
    </w:p>
    <w:p>
      <w:pPr>
        <w:pStyle w:val="Heading1"/>
        <w:keepNext w:val="true"/>
        <w:spacing w:before="160" w:after="100"/>
        <w:jc w:val="center"/>
        <w:rPr/>
      </w:pPr>
      <w:r>
        <w:rPr>
          <w:rFonts w:eastAsia="Times New Roman" w:cs="Times New Roman" w:ascii="Times New Roman" w:hAnsi="Times New Roman"/>
          <w:b/>
          <w:color w:val="000000"/>
          <w:sz w:val="26"/>
        </w:rPr>
        <w:t>DANH MỤC CĂN CỨ PHÁP LÝ.</w:t>
      </w:r>
    </w:p>
    <w:p>
      <w:pPr>
        <w:pStyle w:val="Normal"/>
        <w:spacing w:lineRule="auto" w:line="312" w:before="0" w:after="120"/>
        <w:ind w:hanging="0" w:start="0"/>
        <w:jc w:val="start"/>
        <w:rPr/>
      </w:pPr>
      <w:r>
        <w:rPr>
          <w:rFonts w:eastAsia="Times New Roman" w:cs="Times New Roman"/>
          <w:color w:val="000000"/>
          <w:sz w:val="26"/>
        </w:rPr>
        <w:t>1. Bộ luật Dân sự số 91/2015/QH13.</w:t>
      </w:r>
    </w:p>
    <w:p>
      <w:pPr>
        <w:pStyle w:val="Normal"/>
        <w:spacing w:lineRule="auto" w:line="312" w:before="0" w:after="120"/>
        <w:ind w:hanging="0" w:start="0"/>
        <w:jc w:val="start"/>
        <w:rPr/>
      </w:pPr>
      <w:r>
        <w:rPr>
          <w:rFonts w:eastAsia="Times New Roman" w:cs="Times New Roman"/>
          <w:color w:val="000000"/>
          <w:sz w:val="26"/>
        </w:rPr>
        <w:t>2. Bộ luật Lao động số 45/2019/QH14.</w:t>
      </w:r>
    </w:p>
    <w:p>
      <w:pPr>
        <w:pStyle w:val="Normal"/>
        <w:spacing w:lineRule="auto" w:line="312" w:before="0" w:after="120"/>
        <w:ind w:hanging="0" w:start="0"/>
        <w:jc w:val="start"/>
        <w:rPr/>
      </w:pPr>
      <w:r>
        <w:rPr>
          <w:rFonts w:eastAsia="Times New Roman" w:cs="Times New Roman"/>
          <w:color w:val="000000"/>
          <w:sz w:val="26"/>
        </w:rPr>
        <w:t>3. Luật Doanh nghiệp số 59/2020/QH14, được sửa đổi, bổ sung bởi Luật số 76/2025/QH15.</w:t>
      </w:r>
    </w:p>
    <w:p>
      <w:pPr>
        <w:pStyle w:val="Normal"/>
        <w:spacing w:lineRule="auto" w:line="312" w:before="0" w:after="120"/>
        <w:ind w:hanging="0" w:start="0"/>
        <w:jc w:val="start"/>
        <w:rPr/>
      </w:pPr>
      <w:r>
        <w:rPr>
          <w:rFonts w:eastAsia="Times New Roman" w:cs="Times New Roman"/>
          <w:color w:val="000000"/>
          <w:sz w:val="26"/>
        </w:rPr>
        <w:t>4. Luật Phòng, chống rửa tiền số 14/2022/QH15.</w:t>
      </w:r>
    </w:p>
    <w:p>
      <w:pPr>
        <w:pStyle w:val="Normal"/>
        <w:spacing w:lineRule="auto" w:line="312" w:before="0" w:after="120"/>
        <w:ind w:hanging="0" w:start="0"/>
        <w:jc w:val="start"/>
        <w:rPr/>
      </w:pPr>
      <w:r>
        <w:rPr>
          <w:rFonts w:eastAsia="Times New Roman" w:cs="Times New Roman"/>
          <w:color w:val="000000"/>
          <w:sz w:val="26"/>
        </w:rPr>
        <w:t>5. Luật Giao dịch điện tử số 20/2023/QH15.</w:t>
      </w:r>
    </w:p>
    <w:p>
      <w:pPr>
        <w:pStyle w:val="Normal"/>
        <w:spacing w:lineRule="auto" w:line="312" w:before="0" w:after="120"/>
        <w:ind w:hanging="0" w:start="0"/>
        <w:jc w:val="start"/>
        <w:rPr/>
      </w:pPr>
      <w:r>
        <w:rPr>
          <w:rFonts w:eastAsia="Times New Roman" w:cs="Times New Roman"/>
          <w:color w:val="000000"/>
          <w:sz w:val="26"/>
        </w:rPr>
        <w:t>6. Luật Bảo vệ quyền lợi người tiêu dùng số 19/2023/QH15.</w:t>
      </w:r>
    </w:p>
    <w:p>
      <w:pPr>
        <w:pStyle w:val="Normal"/>
        <w:spacing w:lineRule="auto" w:line="312" w:before="0" w:after="120"/>
        <w:ind w:hanging="0" w:start="0"/>
        <w:jc w:val="start"/>
        <w:rPr/>
      </w:pPr>
      <w:r>
        <w:rPr>
          <w:rFonts w:eastAsia="Times New Roman" w:cs="Times New Roman"/>
          <w:color w:val="000000"/>
          <w:sz w:val="26"/>
        </w:rPr>
        <w:t>7. Luật Dữ liệu số 60/2024/QH15.</w:t>
      </w:r>
    </w:p>
    <w:p>
      <w:pPr>
        <w:pStyle w:val="Normal"/>
        <w:spacing w:lineRule="auto" w:line="312" w:before="0" w:after="120"/>
        <w:ind w:hanging="0" w:start="0"/>
        <w:jc w:val="start"/>
        <w:rPr/>
      </w:pPr>
      <w:r>
        <w:rPr>
          <w:rFonts w:eastAsia="Times New Roman" w:cs="Times New Roman"/>
          <w:color w:val="000000"/>
          <w:sz w:val="26"/>
        </w:rPr>
        <w:t>8. Luật Bảo vệ dữ liệu cá nhân số 91/2025/QH15.</w:t>
      </w:r>
    </w:p>
    <w:p>
      <w:pPr>
        <w:pStyle w:val="Normal"/>
        <w:spacing w:lineRule="auto" w:line="312" w:before="0" w:after="120"/>
        <w:ind w:hanging="0" w:start="0"/>
        <w:jc w:val="start"/>
        <w:rPr/>
      </w:pPr>
      <w:r>
        <w:rPr>
          <w:rFonts w:eastAsia="Times New Roman" w:cs="Times New Roman"/>
          <w:color w:val="000000"/>
          <w:sz w:val="26"/>
        </w:rPr>
        <w:t>9. Luật Sở hữu trí tuệ năm 2005 và các luật sửa đổi, bổ sung có liên quan.</w:t>
      </w:r>
    </w:p>
    <w:p>
      <w:pPr>
        <w:pStyle w:val="Normal"/>
        <w:spacing w:lineRule="auto" w:line="312" w:before="0" w:after="120"/>
        <w:ind w:hanging="0" w:start="0"/>
        <w:jc w:val="both"/>
        <w:rPr/>
      </w:pPr>
      <w:r>
        <w:rPr>
          <w:rFonts w:eastAsia="Times New Roman" w:cs="Times New Roman"/>
          <w:color w:val="000000"/>
          <w:sz w:val="26"/>
        </w:rPr>
        <w:t>10. Nghị định số 52/2024/NĐ-CP của Chính phủ quy định về thanh toán không dùng tiền mặt.</w:t>
      </w:r>
    </w:p>
    <w:p>
      <w:pPr>
        <w:pStyle w:val="Normal"/>
        <w:spacing w:lineRule="auto" w:line="312" w:before="0" w:after="120"/>
        <w:ind w:hanging="0" w:start="0"/>
        <w:jc w:val="both"/>
        <w:rPr/>
      </w:pPr>
      <w:r>
        <w:rPr>
          <w:rFonts w:eastAsia="Times New Roman" w:cs="Times New Roman"/>
          <w:color w:val="000000"/>
          <w:sz w:val="26"/>
        </w:rPr>
        <w:t>11. Nghị định số 55/2024/NĐ-CP của Chính phủ quy định chi tiết một số điều của Luật Bảo vệ quyền lợi người tiêu dùng.</w:t>
      </w:r>
    </w:p>
    <w:p>
      <w:pPr>
        <w:pStyle w:val="Normal"/>
        <w:spacing w:lineRule="auto" w:line="312" w:before="0" w:after="120"/>
        <w:ind w:hanging="0" w:start="0"/>
        <w:jc w:val="both"/>
        <w:rPr/>
      </w:pPr>
      <w:r>
        <w:rPr>
          <w:rFonts w:eastAsia="Times New Roman" w:cs="Times New Roman"/>
          <w:color w:val="000000"/>
          <w:sz w:val="26"/>
        </w:rPr>
        <w:t>12. Nghị định số 356/2025/NĐ-CP của Chính phủ quy định chi tiết một số điều và biện pháp thi hành Luật Bảo vệ dữ liệu cá nhân.</w:t>
      </w:r>
    </w:p>
    <w:p>
      <w:pPr>
        <w:pStyle w:val="Normal"/>
        <w:spacing w:lineRule="auto" w:line="312" w:before="0" w:after="120"/>
        <w:ind w:hanging="0" w:start="0"/>
        <w:jc w:val="both"/>
        <w:rPr/>
      </w:pPr>
      <w:r>
        <w:rPr>
          <w:rFonts w:eastAsia="Times New Roman" w:cs="Times New Roman"/>
          <w:color w:val="000000"/>
          <w:sz w:val="26"/>
        </w:rPr>
        <w:t>13. Văn bản hợp nhất số 29/VBHN-NHNN ngày 08 tháng 12 năm 2025 của Ngân hàng Nhà nước Việt Nam quy định về hoạt động cung ứng dịch vụ trung gian thanh toán, hợp nhất Thông tư số 40/2024/TT-NHNN và Thông tư số 41/2025/TT-NHNN.</w:t>
      </w:r>
    </w:p>
    <w:p>
      <w:pPr>
        <w:pStyle w:val="Normal"/>
        <w:spacing w:lineRule="auto" w:line="312" w:before="0" w:after="120"/>
        <w:ind w:hanging="0" w:start="0"/>
        <w:jc w:val="both"/>
        <w:rPr/>
      </w:pPr>
      <w:r>
        <w:rPr>
          <w:rFonts w:eastAsia="Times New Roman" w:cs="Times New Roman"/>
          <w:color w:val="000000"/>
          <w:sz w:val="26"/>
        </w:rPr>
        <w:t>14. Nghị định số 145/2020/NĐ-CP quy định chi tiết và hướng dẫn thi hành một số điều của Bộ luật Lao động về điều kiện lao động và quan hệ lao động.</w:t>
      </w:r>
    </w:p>
    <w:sectPr>
      <w:headerReference w:type="even" r:id="rId16"/>
      <w:headerReference w:type="default" r:id="rId17"/>
      <w:headerReference w:type="first" r:id="rId18"/>
      <w:footerReference w:type="even" r:id="rId19"/>
      <w:footerReference w:type="default" r:id="rId20"/>
      <w:footerReference w:type="first" r:id="rId21"/>
      <w:type w:val="nextPage"/>
      <w:pgSz w:w="11906" w:h="16838"/>
      <w:pgMar w:left="1701" w:right="1134" w:gutter="0" w:header="567" w:top="1134"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color w:val="000000"/>
        <w:sz w:val="26"/>
      </w:rPr>
      <w:fldChar w:fldCharType="begin"/>
    </w:r>
    <w:r>
      <w:rPr>
        <w:rFonts w:eastAsia="Times New Roman" w:cs="Times New Roman"/>
        <w:color w:val="000000"/>
        <w:sz w:val="26"/>
      </w:rPr>
      <w:instrText xml:space="preserve"> PAGE </w:instrText>
    </w:r>
    <w:r>
      <w:rPr>
        <w:rFonts w:eastAsia="Times New Roman" w:cs="Times New Roman"/>
        <w:color w:val="000000"/>
        <w:sz w:val="26"/>
      </w:rPr>
      <w:fldChar w:fldCharType="separate"/>
    </w:r>
    <w:r>
      <w:rPr>
        <w:rFonts w:eastAsia="Times New Roman" w:cs="Times New Roman"/>
        <w:color w:val="000000"/>
        <w:sz w:val="26"/>
      </w:rPr>
      <w:t>0</w:t>
    </w:r>
    <w:r>
      <w:rPr>
        <w:rFonts w:eastAsia="Times New Roman" w:cs="Times New Roman"/>
        <w:color w:val="000000"/>
        <w:sz w:val="2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Times New Roman" w:cs="Times New Roman"/>
        <w:color w:val="000000"/>
        <w:sz w:val="26"/>
      </w:rPr>
      <w:fldChar w:fldCharType="begin"/>
    </w:r>
    <w:r>
      <w:rPr>
        <w:rFonts w:eastAsia="Times New Roman" w:cs="Times New Roman"/>
        <w:color w:val="000000"/>
        <w:sz w:val="26"/>
      </w:rPr>
      <w:instrText xml:space="preserve"> PAGE </w:instrText>
    </w:r>
    <w:r>
      <w:rPr>
        <w:rFonts w:eastAsia="Times New Roman" w:cs="Times New Roman"/>
        <w:color w:val="000000"/>
        <w:sz w:val="26"/>
      </w:rPr>
      <w:fldChar w:fldCharType="separate"/>
    </w:r>
    <w:r>
      <w:rPr>
        <w:rFonts w:eastAsia="Times New Roman" w:cs="Times New Roman"/>
        <w:color w:val="000000"/>
        <w:sz w:val="26"/>
      </w:rPr>
      <w:t>17</w:t>
    </w:r>
    <w:r>
      <w:rPr>
        <w:rFonts w:eastAsia="Times New Roman" w:cs="Times New Roman"/>
        <w:color w:val="000000"/>
        <w:sz w:val="26"/>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Times New Roman" w:cs="Times New Roman"/>
        <w:color w:val="000000"/>
        <w:sz w:val="26"/>
      </w:rPr>
      <w:fldChar w:fldCharType="begin"/>
    </w:r>
    <w:r>
      <w:rPr>
        <w:rFonts w:eastAsia="Times New Roman" w:cs="Times New Roman"/>
        <w:color w:val="000000"/>
        <w:sz w:val="26"/>
      </w:rPr>
      <w:instrText xml:space="preserve"> PAGE </w:instrText>
    </w:r>
    <w:r>
      <w:rPr>
        <w:rFonts w:eastAsia="Times New Roman" w:cs="Times New Roman"/>
        <w:color w:val="000000"/>
        <w:sz w:val="26"/>
      </w:rPr>
      <w:fldChar w:fldCharType="separate"/>
    </w:r>
    <w:r>
      <w:rPr>
        <w:rFonts w:eastAsia="Times New Roman" w:cs="Times New Roman"/>
        <w:color w:val="000000"/>
        <w:sz w:val="26"/>
      </w:rPr>
      <w:t>17</w:t>
    </w:r>
    <w:r>
      <w:rPr>
        <w:rFonts w:eastAsia="Times New Roman" w:cs="Times New Roman"/>
        <w:color w:val="000000"/>
        <w:sz w:val="2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color w:val="555555"/>
        <w:sz w:val="18"/>
      </w:rPr>
    </w:pPr>
    <w:r>
      <w:rPr>
        <w:b/>
        <w:color w:val="555555"/>
        <w:sz w:val="1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color w:val="555555"/>
        <w:sz w:val="18"/>
      </w:rPr>
    </w:pPr>
    <w:r>
      <w:rPr>
        <w:b/>
        <w:color w:val="555555"/>
        <w:sz w:val="18"/>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color w:val="555555"/>
        <w:sz w:val="18"/>
      </w:rPr>
    </w:pPr>
    <w:r>
      <w:rPr>
        <w:b/>
        <w:color w:val="555555"/>
        <w:sz w:val="18"/>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color w:val="555555"/>
        <w:sz w:val="18"/>
      </w:rPr>
    </w:pPr>
    <w:r>
      <w:rPr>
        <w:b/>
        <w:color w:val="555555"/>
        <w:sz w:val="18"/>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color w:val="555555"/>
        <w:sz w:val="18"/>
      </w:rPr>
    </w:pPr>
    <w:r>
      <w:rPr>
        <w:b/>
        <w:color w:val="555555"/>
        <w:sz w:val="18"/>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color w:val="555555"/>
        <w:sz w:val="18"/>
      </w:rPr>
    </w:pPr>
    <w:r>
      <w:rPr>
        <w:b/>
        <w:color w:val="555555"/>
        <w:sz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312" w:before="0" w:after="120"/>
      <w:ind w:firstLine="567"/>
      <w:jc w:val="both"/>
    </w:pPr>
    <w:rPr>
      <w:rFonts w:ascii="Times New Roman" w:hAnsi="Times New Roman" w:eastAsia="Times New Roman" w:cs="Times New Roman"/>
      <w:color w:val="000000"/>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60"/>
      <w:ind w:hanging="0"/>
      <w:jc w:val="start"/>
      <w:outlineLvl w:val="0"/>
    </w:pPr>
    <w:rPr>
      <w:rFonts w:ascii="Calibri" w:hAnsi="Calibri" w:eastAsia="" w:cs="" w:asciiTheme="majorHAnsi" w:cstheme="majorBidi" w:eastAsiaTheme="majorEastAsia" w:hAnsiTheme="majorHAnsi"/>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200" w:after="100"/>
      <w:ind w:hanging="0"/>
      <w:jc w:val="start"/>
      <w:outlineLvl w:val="1"/>
    </w:pPr>
    <w:rPr>
      <w:rFonts w:ascii="Calibri" w:hAnsi="Calibri" w:eastAsia=""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ind w:hanging="0"/>
      <w:jc w:val="start"/>
      <w:outlineLvl w:val="2"/>
    </w:pPr>
    <w:rPr>
      <w:rFonts w:ascii="Calibri" w:hAnsi="Calibri" w:eastAsia="" w:cs="" w:asciiTheme="majorHAnsi" w:cstheme="majorBidi" w:eastAsiaTheme="majorEastAsia" w:hAnsiTheme="majorHAnsi"/>
      <w:b/>
      <w:bCs/>
      <w:color w:val="000000"/>
      <w:sz w:val="2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000000"/>
      <w:sz w:val="26"/>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000000"/>
      <w:sz w:val="26"/>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000000"/>
      <w:sz w:val="26"/>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000000"/>
      <w:sz w:val="26"/>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000000"/>
      <w:sz w:val="26"/>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000000"/>
      <w:sz w:val="26"/>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customStyle="1">
    <w:name w:val="Heading"/>
    <w:basedOn w:val="Normal"/>
    <w:next w:val="BodyText"/>
    <w:qFormat/>
    <w:pPr>
      <w:keepNext w:val="true"/>
      <w:spacing w:before="240" w:after="120"/>
    </w:pPr>
    <w:rPr>
      <w:rFonts w:ascii="Times New Roman" w:hAnsi="Times New Roman" w:eastAsia="Times New Roman" w:cs="Times New Roman"/>
      <w:color w:val="000000"/>
      <w:sz w:val="26"/>
      <w:szCs w:val="28"/>
    </w:rPr>
  </w:style>
  <w:style w:type="paragraph" w:styleId="BodyText">
    <w:name w:val="Body Text"/>
    <w:basedOn w:val="Normal"/>
    <w:link w:val="BodyTextChar"/>
    <w:uiPriority w:val="99"/>
    <w:unhideWhenUsed/>
    <w:rsid w:val="00aa1d8d"/>
    <w:pPr/>
    <w:rPr>
      <w:rFonts w:ascii="Times New Roman" w:hAnsi="Times New Roman" w:eastAsia="Times New Roman" w:cs="Times New Roman"/>
      <w:color w:val="000000"/>
      <w:sz w:val="26"/>
    </w:rPr>
  </w:style>
  <w:style w:type="paragraph" w:styleId="List">
    <w:name w:val="List"/>
    <w:basedOn w:val="Normal"/>
    <w:uiPriority w:val="99"/>
    <w:unhideWhenUsed/>
    <w:rsid w:val="00aa1d8d"/>
    <w:pPr>
      <w:spacing w:before="0" w:after="120"/>
      <w:ind w:hanging="360" w:start="360"/>
      <w:contextualSpacing/>
    </w:pPr>
    <w:rPr>
      <w:rFonts w:ascii="Times New Roman" w:hAnsi="Times New Roman" w:eastAsia="Times New Roman" w:cs="Times New Roman"/>
      <w:color w:val="000000"/>
      <w:sz w:val="26"/>
    </w:rPr>
  </w:style>
  <w:style w:type="paragraph" w:styleId="Caption">
    <w:name w:val="caption"/>
    <w:basedOn w:val="Normal"/>
    <w:next w:val="Normal"/>
    <w:uiPriority w:val="35"/>
    <w:semiHidden/>
    <w:unhideWhenUsed/>
    <w:qFormat/>
    <w:rsid w:val="00fc693f"/>
    <w:pPr>
      <w:spacing w:lineRule="auto" w:line="240"/>
    </w:pPr>
    <w:rPr>
      <w:rFonts w:ascii="Times New Roman" w:hAnsi="Times New Roman" w:eastAsia="Times New Roman" w:cs="Times New Roman"/>
      <w:b/>
      <w:bCs/>
      <w:color w:val="000000"/>
      <w:sz w:val="26"/>
      <w:szCs w:val="18"/>
    </w:rPr>
  </w:style>
  <w:style w:type="paragraph" w:styleId="Index" w:customStyle="1">
    <w:name w:val="Index"/>
    <w:basedOn w:val="Normal"/>
    <w:qFormat/>
    <w:pPr>
      <w:suppressLineNumbers/>
    </w:pPr>
    <w:rPr>
      <w:rFonts w:ascii="Times New Roman" w:hAnsi="Times New Roman" w:eastAsia="Times New Roman" w:cs="Times New Roman"/>
      <w:color w:val="000000"/>
      <w:sz w:val="26"/>
    </w:rPr>
  </w:style>
  <w:style w:type="paragraph" w:styleId="HeaderandFooter" w:customStyle="1">
    <w:name w:val="Header and Footer"/>
    <w:basedOn w:val="Normal"/>
    <w:qFormat/>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Times New Roman" w:hAnsi="Times New Roman" w:eastAsia="Times New Roman" w:cs="Times New Roman"/>
      <w:color w:val="000000"/>
      <w:sz w:val="26"/>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Times New Roman" w:hAnsi="Times New Roman" w:eastAsia="Times New Roman" w:cs="Times New Roman"/>
      <w:color w:val="000000"/>
      <w:sz w:val="26"/>
    </w:rPr>
  </w:style>
  <w:style w:type="paragraph" w:styleId="NoSpacing">
    <w:name w:val="No Spacing"/>
    <w:uiPriority w:val="1"/>
    <w:qFormat/>
    <w:rsid w:val="00fc693f"/>
    <w:pPr>
      <w:widowControl/>
      <w:suppressAutoHyphens w:val="true"/>
      <w:bidi w:val="0"/>
      <w:spacing w:before="0" w:after="0"/>
      <w:jc w:val="start"/>
    </w:pPr>
    <w:rPr>
      <w:rFonts w:ascii="Cambria" w:hAnsi="Cambria" w:eastAsia="" w:cs="" w:asciiTheme="minorHAnsi" w:cstheme="minorBidi" w:eastAsiaTheme="minorEastAsia" w:hAnsiTheme="minorHAnsi"/>
      <w:color w:val="000000"/>
      <w:kern w:val="0"/>
      <w:sz w:val="26"/>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200"/>
      <w:ind w:hanging="0"/>
      <w:contextualSpacing/>
      <w:jc w:val="start"/>
    </w:pPr>
    <w:rPr>
      <w:rFonts w:ascii="Calibri" w:hAnsi="Calibri" w:eastAsia="" w:cs="" w:asciiTheme="majorHAnsi" w:cstheme="majorBidi" w:eastAsiaTheme="majorEastAsia" w:hAnsiTheme="majorHAnsi"/>
      <w:b/>
      <w:color w:val="000000"/>
      <w:spacing w:val="5"/>
      <w:kern w:val="2"/>
      <w:sz w:val="26"/>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000000"/>
      <w:spacing w:val="15"/>
      <w:sz w:val="26"/>
      <w:szCs w:val="24"/>
    </w:rPr>
  </w:style>
  <w:style w:type="paragraph" w:styleId="ListParagraph">
    <w:name w:val="List Paragraph"/>
    <w:basedOn w:val="Normal"/>
    <w:uiPriority w:val="34"/>
    <w:qFormat/>
    <w:rsid w:val="00fc693f"/>
    <w:pPr>
      <w:spacing w:before="0" w:after="120"/>
      <w:ind w:start="720"/>
      <w:contextualSpacing/>
    </w:pPr>
    <w:rPr>
      <w:rFonts w:ascii="Times New Roman" w:hAnsi="Times New Roman" w:eastAsia="Times New Roman" w:cs="Times New Roman"/>
      <w:color w:val="000000"/>
      <w:sz w:val="26"/>
    </w:rPr>
  </w:style>
  <w:style w:type="paragraph" w:styleId="BodyText2">
    <w:name w:val="Body Text 2"/>
    <w:basedOn w:val="Normal"/>
    <w:link w:val="BodyText2Char"/>
    <w:uiPriority w:val="99"/>
    <w:unhideWhenUsed/>
    <w:qFormat/>
    <w:rsid w:val="00aa1d8d"/>
    <w:pPr>
      <w:spacing w:lineRule="auto" w:line="480"/>
    </w:pPr>
    <w:rPr>
      <w:rFonts w:ascii="Times New Roman" w:hAnsi="Times New Roman" w:eastAsia="Times New Roman" w:cs="Times New Roman"/>
      <w:color w:val="000000"/>
      <w:sz w:val="26"/>
    </w:rPr>
  </w:style>
  <w:style w:type="paragraph" w:styleId="BodyText3">
    <w:name w:val="Body Text 3"/>
    <w:basedOn w:val="Normal"/>
    <w:link w:val="BodyText3Char"/>
    <w:uiPriority w:val="99"/>
    <w:unhideWhenUsed/>
    <w:qFormat/>
    <w:rsid w:val="00aa1d8d"/>
    <w:pPr/>
    <w:rPr>
      <w:rFonts w:ascii="Times New Roman" w:hAnsi="Times New Roman" w:eastAsia="Times New Roman" w:cs="Times New Roman"/>
      <w:color w:val="000000"/>
      <w:sz w:val="26"/>
      <w:szCs w:val="16"/>
    </w:rPr>
  </w:style>
  <w:style w:type="paragraph" w:styleId="List2">
    <w:name w:val="List 2"/>
    <w:basedOn w:val="Normal"/>
    <w:uiPriority w:val="99"/>
    <w:unhideWhenUsed/>
    <w:qFormat/>
    <w:rsid w:val="00326f90"/>
    <w:pPr>
      <w:spacing w:before="0" w:after="120"/>
      <w:ind w:hanging="360" w:start="720"/>
      <w:contextualSpacing/>
    </w:pPr>
    <w:rPr>
      <w:rFonts w:ascii="Times New Roman" w:hAnsi="Times New Roman" w:eastAsia="Times New Roman" w:cs="Times New Roman"/>
      <w:color w:val="000000"/>
      <w:sz w:val="26"/>
    </w:rPr>
  </w:style>
  <w:style w:type="paragraph" w:styleId="List3">
    <w:name w:val="List 3"/>
    <w:basedOn w:val="Normal"/>
    <w:uiPriority w:val="99"/>
    <w:unhideWhenUsed/>
    <w:qFormat/>
    <w:rsid w:val="00326f90"/>
    <w:pPr>
      <w:spacing w:before="0" w:after="120"/>
      <w:ind w:hanging="360" w:start="1080"/>
      <w:contextualSpacing/>
    </w:pPr>
    <w:rPr>
      <w:rFonts w:ascii="Times New Roman" w:hAnsi="Times New Roman" w:eastAsia="Times New Roman" w:cs="Times New Roman"/>
      <w:color w:val="000000"/>
      <w:sz w:val="26"/>
    </w:rPr>
  </w:style>
  <w:style w:type="paragraph" w:styleId="ListBullet">
    <w:name w:val="List Bullet"/>
    <w:basedOn w:val="Normal"/>
    <w:uiPriority w:val="99"/>
    <w:unhideWhenUsed/>
    <w:rsid w:val="00326f90"/>
    <w:pPr>
      <w:numPr>
        <w:ilvl w:val="0"/>
        <w:numId w:val="1"/>
      </w:numPr>
      <w:spacing w:before="0" w:after="120"/>
      <w:contextualSpacing/>
    </w:pPr>
    <w:rPr>
      <w:rFonts w:ascii="Times New Roman" w:hAnsi="Times New Roman" w:eastAsia="Times New Roman" w:cs="Times New Roman"/>
      <w:color w:val="000000"/>
      <w:sz w:val="26"/>
    </w:rPr>
  </w:style>
  <w:style w:type="paragraph" w:styleId="ListBullet2">
    <w:name w:val="List Bullet 2"/>
    <w:basedOn w:val="Normal"/>
    <w:uiPriority w:val="99"/>
    <w:unhideWhenUsed/>
    <w:rsid w:val="00326f90"/>
    <w:pPr>
      <w:numPr>
        <w:ilvl w:val="0"/>
        <w:numId w:val="2"/>
      </w:numPr>
      <w:spacing w:before="0" w:after="120"/>
      <w:contextualSpacing/>
    </w:pPr>
    <w:rPr>
      <w:rFonts w:ascii="Times New Roman" w:hAnsi="Times New Roman" w:eastAsia="Times New Roman" w:cs="Times New Roman"/>
      <w:color w:val="000000"/>
      <w:sz w:val="26"/>
    </w:rPr>
  </w:style>
  <w:style w:type="paragraph" w:styleId="ListBullet3">
    <w:name w:val="List Bullet 3"/>
    <w:basedOn w:val="Normal"/>
    <w:uiPriority w:val="99"/>
    <w:unhideWhenUsed/>
    <w:rsid w:val="00326f90"/>
    <w:pPr>
      <w:numPr>
        <w:ilvl w:val="0"/>
        <w:numId w:val="3"/>
      </w:numPr>
      <w:spacing w:before="0" w:after="120"/>
      <w:contextualSpacing/>
    </w:pPr>
    <w:rPr>
      <w:rFonts w:ascii="Times New Roman" w:hAnsi="Times New Roman" w:eastAsia="Times New Roman" w:cs="Times New Roman"/>
      <w:color w:val="000000"/>
      <w:sz w:val="26"/>
    </w:rPr>
  </w:style>
  <w:style w:type="paragraph" w:styleId="ListNumber">
    <w:name w:val="List Number"/>
    <w:basedOn w:val="Normal"/>
    <w:uiPriority w:val="99"/>
    <w:unhideWhenUsed/>
    <w:rsid w:val="00326f90"/>
    <w:pPr>
      <w:numPr>
        <w:ilvl w:val="0"/>
        <w:numId w:val="4"/>
      </w:numPr>
      <w:spacing w:before="0" w:after="120"/>
      <w:contextualSpacing/>
    </w:pPr>
    <w:rPr>
      <w:rFonts w:ascii="Times New Roman" w:hAnsi="Times New Roman" w:eastAsia="Times New Roman" w:cs="Times New Roman"/>
      <w:color w:val="000000"/>
      <w:sz w:val="26"/>
    </w:rPr>
  </w:style>
  <w:style w:type="paragraph" w:styleId="ListNumber2">
    <w:name w:val="List Number 2"/>
    <w:basedOn w:val="Normal"/>
    <w:uiPriority w:val="99"/>
    <w:unhideWhenUsed/>
    <w:rsid w:val="0029639d"/>
    <w:pPr>
      <w:numPr>
        <w:ilvl w:val="0"/>
        <w:numId w:val="5"/>
      </w:numPr>
      <w:spacing w:before="0" w:after="120"/>
      <w:contextualSpacing/>
    </w:pPr>
    <w:rPr>
      <w:rFonts w:ascii="Times New Roman" w:hAnsi="Times New Roman" w:eastAsia="Times New Roman" w:cs="Times New Roman"/>
      <w:color w:val="000000"/>
      <w:sz w:val="26"/>
    </w:rPr>
  </w:style>
  <w:style w:type="paragraph" w:styleId="ListNumber3">
    <w:name w:val="List Number 3"/>
    <w:basedOn w:val="Normal"/>
    <w:uiPriority w:val="99"/>
    <w:unhideWhenUsed/>
    <w:rsid w:val="0029639d"/>
    <w:pPr>
      <w:numPr>
        <w:ilvl w:val="0"/>
        <w:numId w:val="6"/>
      </w:numPr>
      <w:spacing w:before="0" w:after="120"/>
      <w:contextualSpacing/>
    </w:pPr>
    <w:rPr>
      <w:rFonts w:ascii="Times New Roman" w:hAnsi="Times New Roman" w:eastAsia="Times New Roman" w:cs="Times New Roman"/>
      <w:color w:val="000000"/>
      <w:sz w:val="26"/>
    </w:rPr>
  </w:style>
  <w:style w:type="paragraph" w:styleId="ListContinue">
    <w:name w:val="List Continue"/>
    <w:basedOn w:val="Normal"/>
    <w:uiPriority w:val="99"/>
    <w:unhideWhenUsed/>
    <w:rsid w:val="0029639d"/>
    <w:pPr>
      <w:spacing w:before="0" w:after="120"/>
      <w:ind w:start="360"/>
      <w:contextualSpacing/>
    </w:pPr>
    <w:rPr>
      <w:rFonts w:ascii="Times New Roman" w:hAnsi="Times New Roman" w:eastAsia="Times New Roman" w:cs="Times New Roman"/>
      <w:color w:val="000000"/>
      <w:sz w:val="26"/>
    </w:rPr>
  </w:style>
  <w:style w:type="paragraph" w:styleId="ListContinue2">
    <w:name w:val="List Continue 2"/>
    <w:basedOn w:val="Normal"/>
    <w:uiPriority w:val="99"/>
    <w:unhideWhenUsed/>
    <w:rsid w:val="0029639d"/>
    <w:pPr>
      <w:spacing w:before="0" w:after="120"/>
      <w:ind w:start="720"/>
      <w:contextualSpacing/>
    </w:pPr>
    <w:rPr>
      <w:rFonts w:ascii="Times New Roman" w:hAnsi="Times New Roman" w:eastAsia="Times New Roman" w:cs="Times New Roman"/>
      <w:color w:val="000000"/>
      <w:sz w:val="26"/>
    </w:rPr>
  </w:style>
  <w:style w:type="paragraph" w:styleId="ListContinue3">
    <w:name w:val="List Continue 3"/>
    <w:basedOn w:val="Normal"/>
    <w:uiPriority w:val="99"/>
    <w:unhideWhenUsed/>
    <w:rsid w:val="0029639d"/>
    <w:pPr>
      <w:spacing w:before="0" w:after="120"/>
      <w:ind w:start="1080"/>
      <w:contextualSpacing/>
    </w:pPr>
    <w:rPr>
      <w:rFonts w:ascii="Times New Roman" w:hAnsi="Times New Roman" w:eastAsia="Times New Roman" w:cs="Times New Roman"/>
      <w:color w:val="000000"/>
      <w:sz w:val="26"/>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Times New Roman" w:hAnsi="Times New Roman" w:eastAsia="" w:cs="" w:cstheme="minorBidi" w:eastAsiaTheme="minorEastAsia"/>
      <w:color w:val="000000"/>
      <w:kern w:val="0"/>
      <w:sz w:val="26"/>
      <w:szCs w:val="20"/>
      <w:lang w:val="en-US" w:eastAsia="en-US" w:bidi="ar-SA"/>
    </w:rPr>
  </w:style>
  <w:style w:type="paragraph" w:styleId="Quote">
    <w:name w:val="Quote"/>
    <w:basedOn w:val="Normal"/>
    <w:next w:val="Normal"/>
    <w:link w:val="QuoteChar"/>
    <w:uiPriority w:val="29"/>
    <w:qFormat/>
    <w:rsid w:val="00fc693f"/>
    <w:pPr/>
    <w:rPr>
      <w:rFonts w:ascii="Times New Roman" w:hAnsi="Times New Roman" w:eastAsia="Times New Roman" w:cs="Times New Roman"/>
      <w:i/>
      <w:iCs/>
      <w:color w:val="000000"/>
      <w:sz w:val="26"/>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rFonts w:ascii="Times New Roman" w:hAnsi="Times New Roman" w:eastAsia="Times New Roman" w:cs="Times New Roman"/>
      <w:b/>
      <w:bCs/>
      <w:i/>
      <w:iCs/>
      <w:color w:val="000000"/>
      <w:sz w:val="26"/>
    </w:rPr>
  </w:style>
  <w:style w:type="paragraph" w:styleId="IndexHeading">
    <w:name w:val="index heading"/>
    <w:basedOn w:val="Heading"/>
    <w:pPr/>
    <w:rPr>
      <w:rFonts w:ascii="Times New Roman" w:hAnsi="Times New Roman" w:eastAsia="Times New Roman" w:cs="Times New Roman"/>
      <w:color w:val="000000"/>
      <w:sz w:val="26"/>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6"/>
    </w:rPr>
  </w:style>
  <w:style w:type="paragraph" w:styleId="TOC1" w:customStyle="1">
    <w:name w:val="toc 1"/>
    <w:pPr>
      <w:widowControl/>
      <w:suppressAutoHyphens w:val="true"/>
      <w:bidi w:val="0"/>
      <w:spacing w:lineRule="auto" w:line="240" w:before="0" w:after="20"/>
      <w:ind w:hanging="0" w:start="0"/>
      <w:jc w:val="start"/>
    </w:pPr>
    <w:rPr>
      <w:rFonts w:ascii="Times New Roman" w:hAnsi="Times New Roman" w:eastAsia="Times New Roman" w:cs="Times New Roman"/>
      <w:b/>
      <w:color w:val="000000"/>
      <w:kern w:val="0"/>
      <w:sz w:val="26"/>
      <w:szCs w:val="22"/>
      <w:lang w:val="en-US" w:eastAsia="en-US" w:bidi="ar-SA"/>
    </w:rPr>
  </w:style>
  <w:style w:type="paragraph" w:styleId="TOC2" w:customStyle="1">
    <w:name w:val="toc 2"/>
    <w:pPr>
      <w:widowControl/>
      <w:suppressAutoHyphens w:val="true"/>
      <w:bidi w:val="0"/>
      <w:spacing w:lineRule="auto" w:line="240" w:before="0" w:after="20"/>
      <w:ind w:hanging="0" w:start="397"/>
      <w:jc w:val="start"/>
    </w:pPr>
    <w:rPr>
      <w:rFonts w:ascii="Times New Roman" w:hAnsi="Times New Roman" w:eastAsia="Times New Roman" w:cs="Times New Roman"/>
      <w:b w:val="false"/>
      <w:color w:val="000000"/>
      <w:kern w:val="0"/>
      <w:sz w:val="26"/>
      <w:szCs w:val="22"/>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Application>LibreOffice/26.2.4.2$MacOSX_AARCH64 LibreOffice_project/0229ac93fcf0d7cbc6376066c6f35021cef002dc</Application>
  <AppVersion>15.0000</AppVersion>
  <Pages>21</Pages>
  <Words>8600</Words>
  <Characters>30454</Characters>
  <CharactersWithSpaces>38729</CharactersWithSpaces>
  <Paragraphs>327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13</dc:creator>
  <dc:description>generated by python-docx</dc:description>
  <dc:language>en-US</dc:language>
  <cp:lastModifiedBy/>
  <dcterms:modified xsi:type="dcterms:W3CDTF">2026-09-09T01:07:23Z</dcterms:modified>
  <cp:revision>8</cp:revision>
  <dc:subject>Môn Thực hành nghề luật</dc:subject>
  <dc:title>Báo cáo sơ bộ dịch vụ pháp lý ví điện tử</dc:title>
</cp:coreProperties>
</file>

<file path=docProps/custom.xml><?xml version="1.0" encoding="utf-8"?>
<Properties xmlns="http://schemas.openxmlformats.org/officeDocument/2006/custom-properties" xmlns:vt="http://schemas.openxmlformats.org/officeDocument/2006/docPropsVTypes"/>
</file>