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520" w:after="120"/>
        <w:ind w:hanging="0" w:start="0"/>
        <w:jc w:val="center"/>
        <w:rPr/>
      </w:pPr>
      <w:r>
        <w:rPr/>
        <w:drawing>
          <wp:inline distT="0" distB="0" distL="0" distR="0">
            <wp:extent cx="1417320" cy="1651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17320" cy="1651635"/>
                    </a:xfrm>
                    <a:prstGeom prst="rect">
                      <a:avLst/>
                    </a:prstGeom>
                    <a:noFill/>
                  </pic:spPr>
                </pic:pic>
              </a:graphicData>
            </a:graphic>
          </wp:inline>
        </w:drawing>
      </w:r>
    </w:p>
    <w:p>
      <w:pPr>
        <w:pStyle w:val="Normal"/>
        <w:spacing w:lineRule="auto" w:line="312" w:before="0" w:after="120"/>
        <w:ind w:hanging="0" w:start="0"/>
        <w:jc w:val="center"/>
        <w:rPr/>
      </w:pPr>
      <w:r>
        <w:rPr>
          <w:rFonts w:eastAsia="Times New Roman" w:cs="Times New Roman"/>
          <w:b/>
          <w:color w:val="000000"/>
          <w:sz w:val="30"/>
        </w:rPr>
        <w:t>HỌC VIỆN NGÂN HÀNG</w:t>
      </w:r>
    </w:p>
    <w:p>
      <w:pPr>
        <w:pStyle w:val="Normal"/>
        <w:spacing w:lineRule="auto" w:line="312" w:before="0" w:after="120"/>
        <w:ind w:hanging="0" w:start="0"/>
        <w:jc w:val="center"/>
        <w:rPr/>
      </w:pPr>
      <w:r>
        <w:rPr>
          <w:rFonts w:eastAsia="Times New Roman" w:cs="Times New Roman"/>
          <w:b/>
          <w:color w:val="000000"/>
          <w:sz w:val="28"/>
        </w:rPr>
        <w:t>MÔN THỰC HÀNH NGHỀ LUẬT</w:t>
      </w:r>
    </w:p>
    <w:p>
      <w:pPr>
        <w:pStyle w:val="Normal"/>
        <w:spacing w:lineRule="auto" w:line="312" w:before="0" w:after="120"/>
        <w:ind w:hanging="0" w:start="0"/>
        <w:jc w:val="center"/>
        <w:rPr/>
      </w:pPr>
      <w:r>
        <w:rPr>
          <w:rFonts w:eastAsia="Times New Roman" w:cs="Times New Roman"/>
          <w:b/>
          <w:color w:val="000000"/>
          <w:sz w:val="40"/>
        </w:rPr>
        <w:t>BÁO CÁO TỔNG HỢP</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DỊCH VỤ PHÁP LÝ HỖ TRỢ THÀNH LẬP VÀ VẬN HÀNH</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DOANH NGHIỆP CUNG ỨNG VÍ ĐIỆN TỬ</w:t>
      </w:r>
    </w:p>
    <w:p>
      <w:pPr>
        <w:pStyle w:val="Normal"/>
        <w:spacing w:lineRule="auto" w:line="312" w:before="0" w:after="120"/>
        <w:ind w:hanging="0" w:start="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634" w:top="1201" w:footer="634" w:bottom="1201"/>
          <w:pgNumType w:fmt="decimal"/>
          <w:formProt w:val="false"/>
          <w:titlePg/>
          <w:textDirection w:val="lrTb"/>
          <w:docGrid w:type="default" w:linePitch="360" w:charSpace="0"/>
        </w:sectPr>
      </w:pPr>
      <w:r>
        <w:drawing>
          <wp:anchor distT="0" distB="0" distL="0" distR="0" simplePos="0" relativeHeight="3"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Khung viền bìa hoa văn Học viện Ngân hàng" descr="Khung viền trang trí màu xanh trên trang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ung viền bìa hoa văn Học viện Ngân hàng" descr="Khung viền trang trí màu xanh trên trang bìa"/>
                    <pic:cNvPicPr>
                      <a:picLocks noChangeAspect="1" noChangeArrowheads="1"/>
                    </pic:cNvPicPr>
                  </pic:nvPicPr>
                  <pic:blipFill>
                    <a:blip r:embed="rId3"/>
                    <a:stretch>
                      <a:fillRect/>
                    </a:stretch>
                  </pic:blipFill>
                  <pic:spPr bwMode="auto">
                    <a:xfrm>
                      <a:off x="0" y="0"/>
                      <a:ext cx="7560310" cy="10692130"/>
                    </a:xfrm>
                    <a:prstGeom prst="rect">
                      <a:avLst/>
                    </a:prstGeom>
                    <a:noFill/>
                  </pic:spPr>
                </pic:pic>
              </a:graphicData>
            </a:graphic>
          </wp:anchor>
        </w:drawing>
      </w:r>
      <w:r>
        <w:rPr>
          <w:rFonts w:eastAsia="Times New Roman" w:cs="Times New Roman"/>
          <w:b/>
          <w:color w:val="000000"/>
          <w:sz w:val="30"/>
        </w:rPr>
        <w:t>NHÓM 13</w:t>
      </w:r>
    </w:p>
    <w:p>
      <w:pPr>
        <w:pStyle w:val="Normal"/>
        <w:spacing w:lineRule="auto" w:line="312" w:before="360" w:after="120"/>
        <w:jc w:val="center"/>
        <w:rPr/>
      </w:pPr>
      <w:r>
        <w:rPr>
          <w:rFonts w:eastAsia="Times New Roman" w:cs="Times New Roman"/>
          <w:b/>
          <w:color w:val="000000"/>
          <w:sz w:val="26"/>
        </w:rPr>
        <w:t>DANH SÁCH THÀNH VIÊN NHÓM 13.</w:t>
      </w:r>
    </w:p>
    <w:tbl>
      <w:tblPr>
        <w:tblStyle w:val="TableGrid"/>
        <w:tblW w:w="9071" w:type="dxa"/>
        <w:jc w:val="center"/>
        <w:tblInd w:w="0" w:type="dxa"/>
        <w:tblLayout w:type="fixed"/>
        <w:tblCellMar>
          <w:top w:w="55" w:type="dxa"/>
          <w:start w:w="85" w:type="dxa"/>
          <w:bottom w:w="55" w:type="dxa"/>
          <w:end w:w="85" w:type="dxa"/>
        </w:tblCellMar>
        <w:tblLook w:noHBand="0" w:lastColumn="0" w:firstColumn="1" w:lastRow="0" w:firstRow="1" w:noVBand="1" w:val="04a0"/>
      </w:tblPr>
      <w:tblGrid>
        <w:gridCol w:w="1524"/>
        <w:gridCol w:w="4523"/>
        <w:gridCol w:w="3024"/>
      </w:tblGrid>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color w:val="000000"/>
                <w:kern w:val="0"/>
                <w:sz w:val="26"/>
                <w:szCs w:val="22"/>
                <w:lang w:val="en-US" w:eastAsia="en-US" w:bidi="ar-SA"/>
              </w:rPr>
              <w:t>STT</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color w:val="000000"/>
                <w:kern w:val="0"/>
                <w:sz w:val="26"/>
                <w:szCs w:val="22"/>
                <w:lang w:val="en-US" w:eastAsia="en-US" w:bidi="ar-SA"/>
              </w:rPr>
              <w:t>Họ và tên</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color w:val="000000"/>
                <w:kern w:val="0"/>
                <w:sz w:val="26"/>
                <w:szCs w:val="22"/>
                <w:lang w:val="en-US" w:eastAsia="en-US" w:bidi="ar-SA"/>
              </w:rPr>
              <w:t>Mã sinh viên</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Đoàn Anh Phương</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26A4062550</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Kiều Hoài Thu</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26A4060739</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3</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Trần Thị Thơ</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26A4060737</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4</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Lê Phương Thảo</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26A4062560</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5</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Vũ Anh Quân</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26A4062552</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6</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Lê Thị Hồng Nhung</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26A4062545</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7</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Phạm Dạ Thảo</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26A4060735</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8</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Nguyễn Huy Thái</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26A4062558</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9</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Phạm Văn Quang</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26A4062551</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10</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Trần Thị Thùy</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26A4062565</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11</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Vương Thu Thủy</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26A4062567</w:t>
            </w:r>
          </w:p>
        </w:tc>
      </w:tr>
      <w:tr>
        <w:trPr>
          <w:cantSplit/>
        </w:trPr>
        <w:tc>
          <w:tcPr>
            <w:tcW w:w="15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12</w:t>
            </w:r>
          </w:p>
        </w:tc>
        <w:tc>
          <w:tcPr>
            <w:tcW w:w="4523"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start"/>
              <w:rPr>
                <w:rFonts w:cs=""/>
                <w:kern w:val="0"/>
                <w:szCs w:val="22"/>
                <w:lang w:val="en-US" w:eastAsia="en-US" w:bidi="ar-SA"/>
              </w:rPr>
            </w:pPr>
            <w:r>
              <w:rPr>
                <w:rFonts w:eastAsia="Times New Roman" w:cs="Times New Roman"/>
                <w:b w:val="false"/>
                <w:color w:val="000000"/>
                <w:kern w:val="0"/>
                <w:sz w:val="26"/>
                <w:szCs w:val="22"/>
                <w:lang w:val="en-US" w:eastAsia="en-US" w:bidi="ar-SA"/>
              </w:rPr>
              <w:t>Vũ Phương Thảo</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widowControl/>
              <w:suppressAutoHyphens w:val="true"/>
              <w:spacing w:lineRule="auto" w:line="240" w:before="0" w:after="0"/>
              <w:ind w:hanging="0"/>
              <w:jc w:val="center"/>
              <w:rPr>
                <w:rFonts w:cs=""/>
                <w:kern w:val="0"/>
                <w:szCs w:val="22"/>
                <w:lang w:val="en-US" w:eastAsia="en-US" w:bidi="ar-SA"/>
              </w:rPr>
            </w:pPr>
            <w:r>
              <w:rPr>
                <w:rFonts w:eastAsia="Times New Roman" w:cs="Times New Roman"/>
                <w:b w:val="false"/>
                <w:color w:val="000000"/>
                <w:kern w:val="0"/>
                <w:sz w:val="26"/>
                <w:szCs w:val="22"/>
                <w:lang w:val="en-US" w:eastAsia="en-US" w:bidi="ar-SA"/>
              </w:rPr>
              <w:t>26A4060736</w:t>
            </w:r>
          </w:p>
        </w:tc>
      </w:tr>
    </w:tbl>
    <w:p>
      <w:pPr>
        <w:pStyle w:val="Normal"/>
        <w:rPr/>
      </w:pPr>
      <w:r>
        <w:rPr/>
      </w:r>
      <w:r>
        <w:br w:type="page"/>
      </w:r>
    </w:p>
    <w:p>
      <w:pPr>
        <w:pStyle w:val="Heading1"/>
        <w:spacing w:before="0" w:after="240"/>
        <w:ind w:hanging="0"/>
        <w:jc w:val="center"/>
        <w:rPr/>
      </w:pPr>
      <w:r>
        <w:rPr>
          <w:rFonts w:eastAsia="Times New Roman" w:cs="Times New Roman" w:ascii="Times New Roman" w:hAnsi="Times New Roman"/>
          <w:b/>
          <w:color w:val="000000"/>
          <w:sz w:val="26"/>
        </w:rPr>
        <w:t>MỤC LỤC</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1. TƯ VẤN XÁC ĐỊNH MÔ HÌNH FINTECH.</w:t>
        <w:tab/>
        <w:t>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1.1. Giới thiệu dịch vụ.</w:t>
        <w:tab/>
        <w:t>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1.2. Nội dung dịch vụ.</w:t>
        <w:tab/>
        <w:t>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1.3. Phạm vi dịch vụ.</w:t>
        <w:tab/>
        <w:t>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1.4. Mục đích dịch vụ.</w:t>
        <w:tab/>
        <w:t>6</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2. TƯ VẤN THÀNH LẬP DOANH NGHIỆP.</w:t>
        <w:tab/>
        <w:t>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2.1. Dịch vụ tư vấn thành lập công ty cổ phần.</w:t>
        <w:tab/>
        <w:t>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2.2. Điều lệ công ty (*).</w:t>
        <w:tab/>
        <w:t>11</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3. TƯ VẤN XÂY DỰNG CƠ SỞ PHÁP LÝ CHO HOẠT ĐỘNG NỘI BỘ.</w:t>
        <w:tab/>
        <w:t>14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3.1. Tư vấn tổ chức và tiến hành Đại hội đồng cổ đông.</w:t>
        <w:tab/>
        <w:t>14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3.2. Hợp đồng lao động (*).</w:t>
        <w:tab/>
        <w:t>16</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3.3. Hợp đồng bảo mật thông tin (*).</w:t>
        <w:tab/>
        <w:t>18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3.4. Thỏa thuận sở hữu trí tuệ.</w:t>
        <w:tab/>
        <w:t>20</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3.5. Hợp đồng với Giám đốc hoặc Tổng giám đốc.</w:t>
        <w:tab/>
        <w:t>23</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3.6. Thỏa thuận giữa các cổ đông.</w:t>
        <w:tab/>
        <w:t>26</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4. TƯ VẤN PHÁP LÝ PHỤC VỤ HOẠT ĐỘNG KINH DOANH.</w:t>
        <w:tab/>
        <w:t>31</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4.1. Hợp đồng mở và sử dụng ví điện tử (*).</w:t>
        <w:tab/>
        <w:t>31</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4.2. Hợp đồng thuê ngoài dịch vụ công nghệ thông tin.</w:t>
        <w:tab/>
        <w:t>35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4.3. Hợp đồng hợp tác khuyến mại.</w:t>
        <w:tab/>
        <w:t>40</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4.4. Hợp đồng hợp tác kinh doanh.</w:t>
        <w:tab/>
        <w:t>42</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4.5. Hợp đồng kết nối và mở tài khoản bảo đảm thanh toán (*).</w:t>
        <w:tab/>
        <w:t>44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4.6. Hợp đồng cung cấp dịch vụ thanh toán bằng ví điện tử.</w:t>
        <w:tab/>
        <w:t>49</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4.7. Hợp đồng với đơn vị chấp nhận thanh toán (*).</w:t>
        <w:tab/>
        <w:t>54</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4.8. Hợp đồng cung cấp dịch vụ tích hợp API ví điện tử.</w:t>
        <w:tab/>
        <w:t>58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4.9. Hợp đồng sử dụng dịch vụ ví điện tử liên kết ngân hàng (*).</w:t>
        <w:tab/>
        <w:t>65</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5. TƯ VẤN TUÂN THỦ VÀ QUẢN TRỊ RỦI RO PHÁP LÝ.</w:t>
        <w:tab/>
        <w:t>68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5.1. Chính sách bảo vệ dữ liệu cá nhân (*).</w:t>
        <w:tab/>
        <w:t>68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5.2. Quy trình xử lý khiếu nại và tra soát (*).</w:t>
        <w:tab/>
        <w:t>70</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5.3. Dịch vụ cập nhật pháp lý định kỳ.</w:t>
        <w:tab/>
        <w:t>72</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6. TƯ VẤN XỬ LÝ CÁC VẤN ĐỀ PHÁT SINH.</w:t>
        <w:tab/>
        <w:t>75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6.1. Giới thiệu dịch vụ.</w:t>
        <w:tab/>
        <w:t>75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6.2. Nội dung dịch vụ.</w:t>
        <w:tab/>
        <w:t>75</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6.3. Phạm vi dịch vụ.</w:t>
        <w:tab/>
        <w:t>76</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6.4. Mục đích dịch vụ.</w:t>
        <w:tab/>
        <w:t>76</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CHƯƠNG 7. HAI SẢN PHẨM DEMO.</w:t>
        <w:tab/>
        <w:t>78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7.1. Demo Điều lệ công ty cổ phần cung ứng dịch vụ ví điện tử.</w:t>
        <w:tab/>
        <w:t>78</w:t>
      </w:r>
    </w:p>
    <w:p>
      <w:pPr>
        <w:pStyle w:val="TOC2"/>
        <w:tabs>
          <w:tab w:val="clear" w:pos="720"/>
          <w:tab w:val="right" w:pos="8617" w:leader="dot"/>
        </w:tabs>
        <w:spacing w:lineRule="auto" w:line="240" w:before="0" w:after="40"/>
        <w:ind w:hanging="0" w:start="340"/>
        <w:rPr/>
      </w:pPr>
      <w:r>
        <w:rPr>
          <w:rFonts w:eastAsia="Times New Roman" w:cs="Times New Roman"/>
          <w:b w:val="false"/>
          <w:color w:val="000000"/>
          <w:sz w:val="26"/>
        </w:rPr>
        <w:t>7.2. Demo Hợp đồng mở và sử dụng ví điện tử.</w:t>
        <w:tab/>
        <w:t>78</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KẾT LUẬN VÀ KIẾN NGHỊ.</w:t>
        <w:tab/>
        <w:t>79</w:t>
      </w:r>
    </w:p>
    <w:p>
      <w:pPr>
        <w:pStyle w:val="TOC1"/>
        <w:tabs>
          <w:tab w:val="clear" w:pos="720"/>
          <w:tab w:val="right" w:pos="8617" w:leader="dot"/>
        </w:tabs>
        <w:spacing w:lineRule="auto" w:line="240" w:before="0" w:after="40"/>
        <w:ind w:hanging="0" w:start="0"/>
        <w:rPr/>
      </w:pPr>
      <w:r>
        <w:rPr>
          <w:rFonts w:eastAsia="Times New Roman" w:cs="Times New Roman"/>
          <w:b/>
          <w:color w:val="000000"/>
          <w:sz w:val="26"/>
        </w:rPr>
        <w:t>DANH MỤC CĂN CỨ PHÁP LÝ CẬP NHẬT.</w:t>
        <w:tab/>
        <w:t>79</w:t>
      </w:r>
    </w:p>
    <w:p>
      <w:pPr>
        <w:pStyle w:val="Normal"/>
        <w:spacing w:before="0" w:after="0"/>
        <w:ind w:hanging="0"/>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1. TƯ VẤN XÁC ĐỊNH MÔ HÌNH FINTECH.</w:t>
      </w:r>
    </w:p>
    <w:p>
      <w:pPr>
        <w:pStyle w:val="Normal"/>
        <w:spacing w:lineRule="auto" w:line="312" w:before="0" w:after="120"/>
        <w:ind w:firstLine="567"/>
        <w:jc w:val="both"/>
        <w:rPr/>
      </w:pPr>
      <w:r>
        <w:rPr>
          <w:rFonts w:eastAsia="Times New Roman" w:cs="Times New Roman"/>
          <w:color w:val="000000"/>
          <w:sz w:val="26"/>
        </w:rPr>
        <w:t>Về dịch vụ Tư vấn pháp lý thường xuyên (Nhánh thẩm định sản phẩm mới)</w:t>
      </w:r>
    </w:p>
    <w:p>
      <w:pPr>
        <w:pStyle w:val="Heading2"/>
        <w:keepNext w:val="true"/>
        <w:spacing w:before="120" w:after="100"/>
        <w:rPr/>
      </w:pPr>
      <w:r>
        <w:rPr>
          <w:rFonts w:eastAsia="Times New Roman" w:cs="Times New Roman" w:ascii="Times New Roman" w:hAnsi="Times New Roman"/>
          <w:b/>
          <w:color w:val="000000"/>
          <w:sz w:val="26"/>
        </w:rPr>
        <w:t>1.1. Giới thiệu dịch vụ.</w:t>
      </w:r>
    </w:p>
    <w:p>
      <w:pPr>
        <w:pStyle w:val="Normal"/>
        <w:spacing w:lineRule="auto" w:line="312" w:before="0" w:after="120"/>
        <w:ind w:firstLine="567"/>
        <w:jc w:val="both"/>
        <w:rPr/>
      </w:pPr>
      <w:r>
        <w:rPr>
          <w:rFonts w:eastAsia="Times New Roman" w:cs="Times New Roman"/>
          <w:color w:val="000000"/>
          <w:sz w:val="26"/>
        </w:rPr>
        <w:t>Công ty Luật TNHH Thịnh Vượng cung cấp dịch vụ tư vấn pháp lý thường xuyên cho doanh nghiệp trong suốt quá trình xây dựng, thẩm định và ra mắt sản phẩm ví điện tử (e-wallet). Trong quá trình vận hành, doanh nghiệp không chỉ cần luật sư khi đã có tranh chấp, bị thanh tra, bị đối tác chậm thanh toán hoặc phát sinh khiếu nại lao động. Ví điện tử là sản phẩm trung gian thanh toán chịu sự quản lý chặt chẽ của Ngân hàng Nhà nước (NHNN) và nhiều quy định pháp luật liên ngành về thanh toán, phòng, chống rửa tiền và bảo vệ dữ liệu cá nhân, nên đòi hỏi hoạt động tư vấn có chuyên môn sâu và được cập nhật liên tục. Vì vậy, chúng tôi đóng vai trò là đầu mối pháp lý đồng hành định kỳ, nắm hồ sơ, theo sát giao dịch và hỗ trợ ban lãnh đạo kiểm soát rủi ro trong quá trình kinh doanh.</w:t>
      </w:r>
    </w:p>
    <w:p>
      <w:pPr>
        <w:pStyle w:val="Heading2"/>
        <w:keepNext w:val="true"/>
        <w:spacing w:before="120" w:after="100"/>
        <w:rPr/>
      </w:pPr>
      <w:r>
        <w:rPr>
          <w:rFonts w:eastAsia="Times New Roman" w:cs="Times New Roman" w:ascii="Times New Roman" w:hAnsi="Times New Roman"/>
          <w:b/>
          <w:color w:val="000000"/>
          <w:sz w:val="26"/>
        </w:rPr>
        <w:t>1.2. Nội dung dịch vụ.</w:t>
      </w:r>
    </w:p>
    <w:p>
      <w:pPr>
        <w:pStyle w:val="Normal"/>
        <w:spacing w:lineRule="auto" w:line="312" w:before="0" w:after="120"/>
        <w:ind w:hanging="0" w:start="0"/>
        <w:jc w:val="both"/>
        <w:rPr/>
      </w:pPr>
      <w:r>
        <w:rPr>
          <w:rFonts w:eastAsia="Times New Roman" w:cs="Times New Roman"/>
          <w:color w:val="000000"/>
          <w:sz w:val="26"/>
        </w:rPr>
        <w:t>Bước 1: Chuẩn bị thông tin, hồ sơ về sản phẩm dự kiến ra mắt</w:t>
      </w:r>
    </w:p>
    <w:p>
      <w:pPr>
        <w:pStyle w:val="Normal"/>
        <w:spacing w:lineRule="auto" w:line="312" w:before="0" w:after="120"/>
        <w:ind w:hanging="0" w:start="0"/>
        <w:jc w:val="both"/>
        <w:rPr/>
      </w:pPr>
      <w:r>
        <w:rPr>
          <w:rFonts w:eastAsia="Times New Roman" w:cs="Times New Roman"/>
          <w:color w:val="000000"/>
          <w:sz w:val="26"/>
        </w:rPr>
        <w:t>Bước 2: Rà soát tư cách pháp lý và điều kiện cung ứng dịch vụ của doanh nghiệp</w:t>
      </w:r>
    </w:p>
    <w:p>
      <w:pPr>
        <w:pStyle w:val="Normal"/>
        <w:spacing w:lineRule="auto" w:line="312" w:before="0" w:after="120"/>
        <w:ind w:hanging="0" w:start="0"/>
        <w:jc w:val="both"/>
        <w:rPr/>
      </w:pPr>
      <w:r>
        <w:rPr>
          <w:rFonts w:eastAsia="Times New Roman" w:cs="Times New Roman"/>
          <w:color w:val="000000"/>
          <w:sz w:val="26"/>
        </w:rPr>
        <w:t>Bước 3: Thẩm định nội dung, tính năng sản phẩm đối chiếu với quy định pháp luật</w:t>
      </w:r>
    </w:p>
    <w:p>
      <w:pPr>
        <w:pStyle w:val="Normal"/>
        <w:spacing w:lineRule="auto" w:line="312" w:before="0" w:after="120"/>
        <w:ind w:hanging="0" w:start="0"/>
        <w:jc w:val="both"/>
        <w:rPr/>
      </w:pPr>
      <w:r>
        <w:rPr>
          <w:rFonts w:eastAsia="Times New Roman" w:cs="Times New Roman"/>
          <w:color w:val="000000"/>
          <w:sz w:val="26"/>
        </w:rPr>
        <w:t>Bước 4: Hoàn thiện hồ sơ và trình cấp có thẩm quyền phê duyệt</w:t>
      </w:r>
    </w:p>
    <w:p>
      <w:pPr>
        <w:pStyle w:val="Normal"/>
        <w:spacing w:lineRule="auto" w:line="312" w:before="0" w:after="120"/>
        <w:ind w:firstLine="567"/>
        <w:jc w:val="both"/>
        <w:rPr/>
      </w:pPr>
      <w:r>
        <w:rPr>
          <w:rFonts w:eastAsia="Times New Roman" w:cs="Times New Roman"/>
          <w:color w:val="000000"/>
          <w:sz w:val="26"/>
        </w:rPr>
        <w:t>Chúng tôi sẽ tiếp nhận thông tin về ý tưởng, mô hình vận hành và các tính năng của sản phẩm ví điện tử bao gồm: nạp/rút tiền, liên kết ngân hàng, thanh toán, chuyển tiền, thu hộ - chi hộ, hạn mức giao dịch,… để xác định sản phẩm có thuộc phạm vi điều chỉnh của pháp luật hay không, căn cứ theo khoản 16 Điều 3 Nghị định 52/2024/NĐ-CP. Trên cơ sở đó, tiến hành kiểm tra tư cách chủ thể của doanh nghiệp: doanh nghiệp đã được Ngân hàng Nhà nước cấp Giấy phép hoạt động cung ứng dịch vụ trung gian thanh toán hay chưa, hoặc nếu sản phẩm ví điện tử làm phát sinh dịch vụ trung gian thanh toán chưa nằm trong phạm vi Giấy phép hiện có thì cần thực hiện thủ tục xin sửa đổi, bổ sung Giấy phép.</w:t>
      </w:r>
    </w:p>
    <w:p>
      <w:pPr>
        <w:pStyle w:val="Normal"/>
        <w:spacing w:lineRule="auto" w:line="312" w:before="0" w:after="120"/>
        <w:ind w:firstLine="567"/>
        <w:jc w:val="both"/>
        <w:rPr/>
      </w:pPr>
      <w:r>
        <w:rPr>
          <w:rFonts w:eastAsia="Times New Roman" w:cs="Times New Roman"/>
          <w:color w:val="000000"/>
          <w:sz w:val="26"/>
        </w:rPr>
        <w:t>Đồng thời, thẩm định các điều kiện về pháp nhân, hệ thống kỹ thuật và giải pháp an toàn thông tin theo khoản 2 Điều 22 Nghị định 52/2024/NĐ-CP, bao gồm việc kiểm tra giấy phép thành lập/giấy chứng nhận đăng ký doanh nghiệp, tình trạng pháp lý của doanh nghiệp (không đang chia tách, hợp nhất, giải thể, phá sản), cũng như bản thuyết minh giải pháp kỹ thuật có đáp ứng yêu cầu an toàn hệ thống thông tin cấp độ 3 hay không. Đối với sản phẩm ví điện tử phục vụ khách hàng có tài khoản tại nhiều ngân hàng, rà soát thêm điều kiện liên kết với tổ chức cung ứng dịch vụ chuyển mạch tài chính và bù trừ điện tử đã được cấp phép, cũng như biên bản nghiệm thu kỹ thuật với ngân hàng hợp tác theo mẫu quy định.</w:t>
      </w:r>
    </w:p>
    <w:p>
      <w:pPr>
        <w:pStyle w:val="Normal"/>
        <w:spacing w:lineRule="auto" w:line="312" w:before="0" w:after="120"/>
        <w:ind w:firstLine="567"/>
        <w:jc w:val="both"/>
        <w:rPr/>
      </w:pPr>
      <w:r>
        <w:rPr>
          <w:rFonts w:eastAsia="Times New Roman" w:cs="Times New Roman"/>
          <w:color w:val="000000"/>
          <w:sz w:val="26"/>
        </w:rPr>
        <w:t>Rà soát nội dung, cơ chế vận hành của sản phẩm mới nhằm đảm bảo không rơi vào các hành vi bị nghiêm cấm theo Điều 8 Nghị định 52/2024/NĐ-CP, chẳng hạn như: cơ chế định danh khách hàng có nguy cơ dẫn đến việc mở hoặc duy trì ví điện tử nặc danh, mạo danh; tính năng cho phép chuyển nhượng/cho thuê/cho mượn ví điện tử; hoặc việc triển khai dịch vụ trung gian thanh toán khi chưa được cấp phép hợp lệ.</w:t>
      </w:r>
    </w:p>
    <w:p>
      <w:pPr>
        <w:pStyle w:val="Normal"/>
        <w:spacing w:lineRule="auto" w:line="312" w:before="0" w:after="120"/>
        <w:ind w:firstLine="567"/>
        <w:jc w:val="both"/>
        <w:rPr/>
      </w:pPr>
      <w:r>
        <w:rPr>
          <w:rFonts w:eastAsia="Times New Roman" w:cs="Times New Roman"/>
          <w:color w:val="000000"/>
          <w:sz w:val="26"/>
        </w:rPr>
        <w:t>Hỗ trợ doanh nghiệp trong việc xác định thời điểm và điều kiện được phép chính thức triển khai sản phẩm ra thị trường: về thời hạn triển khai tối đa 6 tháng kể từ ngày được cấp Giấy phép để tránh doanh nghiệp bị động, gián đoạn kế hoạch kinh doanh nếu không đáp ứng kịp tiến độ; về việc hệ thống kỹ thuật phải hoàn tất triển khai và đáp ứng đầy đủ điều kiện luật định trước khi được phép cung ứng dịch vụ ra thị trường, để tránh nguy cơ bị xử phạt do đưa sản phẩm vận hành khi chưa đủ điều kiện; về nghĩa vụ chuẩn bị đầy đủ hồ sơ, tài liệu chứng minh (bản thuyết minh kỹ thuật, biên bản nghiệm thu,…) để tránh phát sinh tranh chấp hoặc bị từ chối hồ sơ khi làm việc với Ngân hàng Nhà nước.</w:t>
      </w:r>
    </w:p>
    <w:p>
      <w:pPr>
        <w:pStyle w:val="Normal"/>
        <w:spacing w:lineRule="auto" w:line="312" w:before="0" w:after="120"/>
        <w:ind w:firstLine="567"/>
        <w:jc w:val="both"/>
        <w:rPr/>
      </w:pPr>
      <w:r>
        <w:rPr>
          <w:rFonts w:eastAsia="Times New Roman" w:cs="Times New Roman"/>
          <w:color w:val="000000"/>
          <w:sz w:val="26"/>
        </w:rPr>
        <w:t>Căn cứ vào khoản 2 Điều 22 và Điều 8 Nghị định 52/2024/NĐ-CP để xác định điều kiện cấp phép và giới hạn hành vi của doanh nghiệp trong quá trình thẩm định, triển khai sản phẩm ví điện tử mới.</w:t>
      </w:r>
    </w:p>
    <w:p>
      <w:pPr>
        <w:pStyle w:val="Heading2"/>
        <w:keepNext w:val="true"/>
        <w:spacing w:before="120" w:after="100"/>
        <w:rPr/>
      </w:pPr>
      <w:r>
        <w:rPr>
          <w:rFonts w:eastAsia="Times New Roman" w:cs="Times New Roman" w:ascii="Times New Roman" w:hAnsi="Times New Roman"/>
          <w:b/>
          <w:color w:val="000000"/>
          <w:sz w:val="26"/>
        </w:rPr>
        <w:t>1.3. Phạm vi dịch vụ.</w:t>
      </w:r>
    </w:p>
    <w:p>
      <w:pPr>
        <w:pStyle w:val="Normal"/>
        <w:spacing w:lineRule="auto" w:line="312" w:before="0" w:after="120"/>
        <w:ind w:firstLine="567"/>
        <w:jc w:val="both"/>
        <w:rPr/>
      </w:pPr>
      <w:r>
        <w:rPr>
          <w:rFonts w:eastAsia="Times New Roman" w:cs="Times New Roman"/>
          <w:color w:val="000000"/>
          <w:sz w:val="26"/>
        </w:rPr>
        <w:t>Hồ sơ thẩm định sản phẩm ví điện tử mới, ngoài các tài liệu thuyết minh cụ thể về mô hình vận hành và tính năng sản phẩm, thì phải đảm bảo đầy đủ các thành phần hồ sơ tối thiểu theo quy định tại khoản 2 Điều 22 Nghị định 52/2024/NĐ-CP, bao gồm giấy phép thành lập/giấy chứng nhận đăng ký doanh nghiệp, bản thuyết minh giải pháp kỹ thuật và các tài liệu chứng minh điều kiện an toàn hệ thống thông tin.</w:t>
      </w:r>
    </w:p>
    <w:p>
      <w:pPr>
        <w:pStyle w:val="Normal"/>
        <w:spacing w:lineRule="auto" w:line="312" w:before="0" w:after="120"/>
        <w:ind w:firstLine="567"/>
        <w:jc w:val="both"/>
        <w:rPr/>
      </w:pPr>
      <w:r>
        <w:rPr>
          <w:rFonts w:eastAsia="Times New Roman" w:cs="Times New Roman"/>
          <w:color w:val="000000"/>
          <w:sz w:val="26"/>
        </w:rPr>
        <w:t>Phạm vi dịch vụ cũng bao trùm việc thẩm định điều kiện liên kết hệ thống đối với các sản phẩm ví điện tử phục vụ khách hàng có tài khoản tại nhiều ngân hàng, cụ thể là kiểm tra tổ chức có được một đơn vị cung ứng dịch vụ chuyển mạch tài chính và bù trừ điện tử đã được Ngân hàng Nhà nước cấp phép hỗ trợ xử lý chuyển mạch giao dịch và bù trừ nghĩa vụ phát sinh hay không, cùng với biên bản nghiệm thu kỹ thuật đã ký với ngân hàng hợp tác theo mẫu quy định. Giai đoạn triển khai dịch vụ tư vấn thường xuyên sẽ diễn ra: từ ý tưởng sản phẩm → xây dựng hồ sơ xin phép/thẩm định nội bộ → làm việc với cơ quan quản lý → giám sát tuân thủ sau khi ra mắt.</w:t>
      </w:r>
    </w:p>
    <w:p>
      <w:pPr>
        <w:pStyle w:val="Normal"/>
        <w:spacing w:lineRule="auto" w:line="312" w:before="0" w:after="120"/>
        <w:ind w:firstLine="567"/>
        <w:jc w:val="both"/>
        <w:rPr/>
      </w:pPr>
      <w:r>
        <w:rPr>
          <w:rFonts w:eastAsia="Times New Roman" w:cs="Times New Roman"/>
          <w:color w:val="000000"/>
          <w:sz w:val="26"/>
        </w:rPr>
        <w:t>Về đối tượng áp dụng, phạm vi dịch vụ bao gồm mọi sản phẩm ví điện tử mới hoặc tính năng thay đổi lớn phát sinh trong thời hạn hợp đồng tư vấn (mở rộng hạn mức giao dịch, bổ sung hình thức liên kết ngân hàng, thêm chức năng thanh toán, hỗ trợ thu hộ – chi hộ mới,…), không giới hạn theo từng lần ra mắt sản phẩm riêng lẻ. Về thời điểm áp dụng, phạm vi tư vấn kéo dài xuyên suốt từ khi hình thành ý tưởng sản phẩm đến khi hoàn tất thẩm định nội bộ, chuẩn bị hồ sơ trình Ngân hàng Nhà nước, và theo dõi việc triển khai thực tế trong thời hạn tối đa 6 tháng kể từ ngày được cấp phép theo quy định.</w:t>
      </w:r>
    </w:p>
    <w:p>
      <w:pPr>
        <w:pStyle w:val="Normal"/>
        <w:spacing w:lineRule="auto" w:line="312" w:before="0" w:after="120"/>
        <w:ind w:firstLine="567"/>
        <w:jc w:val="both"/>
        <w:rPr/>
      </w:pPr>
      <w:r>
        <w:rPr>
          <w:rFonts w:eastAsia="Times New Roman" w:cs="Times New Roman"/>
          <w:color w:val="000000"/>
          <w:sz w:val="26"/>
        </w:rPr>
        <w:t>Phạm vi dịch vụ không bao gồm việc đại diện doanh nghiệp chịu trách nhiệm pháp lý trước Ngân hàng Nhà nước, không thẩm định sâu về mã nguồn hay hạ tầng kỹ thuật (chỉ đánh giá khía cạnh tuân thủ pháp lý của các yếu tố kỹ thuật theo luật định), và không bao gồm tư vấn thuế, kế toán chuyên sâu trừ khi có thỏa thuận riêng.</w:t>
      </w:r>
    </w:p>
    <w:p>
      <w:pPr>
        <w:pStyle w:val="Heading2"/>
        <w:keepNext w:val="true"/>
        <w:spacing w:before="120" w:after="100"/>
        <w:rPr/>
      </w:pPr>
      <w:r>
        <w:rPr>
          <w:rFonts w:eastAsia="Times New Roman" w:cs="Times New Roman" w:ascii="Times New Roman" w:hAnsi="Times New Roman"/>
          <w:b/>
          <w:color w:val="000000"/>
          <w:sz w:val="26"/>
        </w:rPr>
        <w:t>1.4. Mục đích dịch vụ.</w:t>
      </w:r>
    </w:p>
    <w:p>
      <w:pPr>
        <w:pStyle w:val="Normal"/>
        <w:spacing w:lineRule="auto" w:line="312" w:before="0" w:after="120"/>
        <w:ind w:firstLine="567"/>
        <w:jc w:val="both"/>
        <w:rPr/>
      </w:pPr>
      <w:r>
        <w:rPr>
          <w:rFonts w:eastAsia="Times New Roman" w:cs="Times New Roman"/>
          <w:color w:val="000000"/>
          <w:sz w:val="26"/>
        </w:rPr>
        <w:t>Thứ nhất, dịch vụ giúp doanh nghiệp tránh rủi ro bị từ chối cấp phép hoặc bị xử phạt do sản phẩm ví không tuân thủ quy định về trung gian thanh toán. Bởi việc cung ứng dịch vụ ví điện tử khi chưa được Ngân hàng Nhà nước cấp Giấy phép hoạt động cung ứng dịch vụ trung gian thanh toán là hành vi bị nghiêm cấm theo Điều 8 Nghị định 52/2024/NĐ-CP; đồng thời, hồ sơ đề nghị cấp phép phải đáp ứng đầy đủ các điều kiện về pháp nhân và hệ thống kỹ thuật theo khoản 2 Điều 22 Nghị định 52/2024/NĐ-CP. Việc được tư vấn rà soát trước giúp doanh nghiệp phát hiện sớm các thiếu sót trong hồ sơ, tránh bị NHNN từ chối hoặc yêu cầu bổ sung nhiều lần, kéo dài thời gian phê duyệt.</w:t>
      </w:r>
    </w:p>
    <w:p>
      <w:pPr>
        <w:pStyle w:val="Normal"/>
        <w:spacing w:lineRule="auto" w:line="312" w:before="0" w:after="120"/>
        <w:ind w:firstLine="567"/>
        <w:jc w:val="both"/>
        <w:rPr/>
      </w:pPr>
      <w:r>
        <w:rPr>
          <w:rFonts w:eastAsia="Times New Roman" w:cs="Times New Roman"/>
          <w:color w:val="000000"/>
          <w:sz w:val="26"/>
        </w:rPr>
        <w:t>Thứ hai, giảm thời gian ra mắt sản phẩm (time-to-market) nhờ chúng tôi nắm rõ hồ sơ và lịch sử làm việc với NHNN trong các lần thẩm định trước. Điều này đặc biệt có ý nghĩa khi pháp luật quy định thời hạn tối đa 06 tháng kể từ ngày được cấp Giấy phép để chính thức đưa dịch vụ ra thị trường; nếu doanh nghiệp không chuẩn bị kịp hệ thống kỹ thuật đáp ứng điều kiện tại điểm đ khoản 2 Điều 22 Nghị định 52/2024/NĐ-CP trong thời hạn này, có thể mất cơ hội kinh doanh hoặc phải thực hiện lại thủ tục.</w:t>
      </w:r>
    </w:p>
    <w:p>
      <w:pPr>
        <w:pStyle w:val="Normal"/>
        <w:spacing w:lineRule="auto" w:line="312" w:before="0" w:after="120"/>
        <w:ind w:firstLine="567"/>
        <w:jc w:val="both"/>
        <w:rPr/>
      </w:pPr>
      <w:r>
        <w:rPr>
          <w:rFonts w:eastAsia="Times New Roman" w:cs="Times New Roman"/>
          <w:color w:val="000000"/>
          <w:sz w:val="26"/>
        </w:rPr>
        <w:t>Thứ ba, kiểm soát rủi ro rửa tiền và gian lận tài chính - vấn đề đặc biệt nhạy cảm đối với ví điện tử do liên quan trực tiếp đến dòng tiền của người dùng. Việc tư vấn thường xuyên giúp doanh nghiệp thiết kế cơ chế định danh khách hàng (KYC) và giám sát giao dịch phù hợp, tránh rơi vào các hành vi bị cấm theo Điều 8 Nghị định 52/2024/NĐ-CP như mở hoặc duy trì ví điện tử nặc danh, mạo danh, hay để xảy ra tình trạng mua bán, cho thuê, cho mượn ví điện tử,… những hành vi thường bị lợi dụng để rửa tiền hoặc gian lận tài chính qua kênh thanh toán điện tử.</w:t>
      </w:r>
    </w:p>
    <w:p>
      <w:pPr>
        <w:pStyle w:val="Normal"/>
        <w:spacing w:lineRule="auto" w:line="312" w:before="0" w:after="120"/>
        <w:ind w:firstLine="567"/>
        <w:jc w:val="both"/>
        <w:rPr/>
      </w:pPr>
      <w:r>
        <w:rPr>
          <w:rFonts w:eastAsia="Times New Roman" w:cs="Times New Roman"/>
          <w:color w:val="000000"/>
          <w:sz w:val="26"/>
        </w:rPr>
        <w:t>Thứ tư, hỗ trợ đội ngũ pháp chế/tuân thủ nội bộ của doanh nghiệp vốn thường có nguồn lực mỏng, xử lý khối lượng công việc thẩm định lớn khi công ty phát triển sản phẩm liên tục. Với tính chất của một mô hình kinh doanh công nghệ có tốc độ đổi mới nhanh, doanh nghiệp thường khó bố trí đủ nhân sự pháp lý chuyên sâu về từng khía cạnh (giấy phép, an toàn thông tin, phòng chống rửa tiền,…) cho mọi sản phẩm mới; chúng tôi đóng vai trò như bộ phận pháp chế mở rộng, giúp san sẻ áp lực này.</w:t>
      </w:r>
    </w:p>
    <w:p>
      <w:pPr>
        <w:pStyle w:val="Normal"/>
        <w:spacing w:lineRule="auto" w:line="312" w:before="0" w:after="120"/>
        <w:ind w:firstLine="567"/>
        <w:jc w:val="both"/>
        <w:rPr/>
      </w:pPr>
      <w:r>
        <w:rPr>
          <w:rFonts w:eastAsia="Times New Roman" w:cs="Times New Roman"/>
          <w:color w:val="000000"/>
          <w:sz w:val="26"/>
        </w:rPr>
        <w:t>Thứ năm, tạo niềm tin với cơ quan quản lý (NHNN) và đối tác ngân hàng liên kết, nhờ hồ sơ tuân thủ nhất quán qua từng lần thẩm định và có tư vấn chuyên môn đồng hành lâu dài. Một doanh nghiệp có lịch sử hồ sơ minh bạch, tuân thủ đầy đủ điều kiện tại khoản 2 Điều 22 Nghị định 52/2024/NĐ-CP qua nhiều lần xin cấp/sửa đổi Giấy phép sẽ được cơ quan quản lý và ngân hàng hợp tác đánh giá cao về mức độ tín nhiệm. Từ đó thuận lợi hơn trong các lần mở rộng hợp tác hoặc xin cấp phép cho sản phẩm mới sau này.</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2. TƯ VẤN THÀNH LẬP DOANH NGHIỆP.</w:t>
      </w:r>
    </w:p>
    <w:p>
      <w:pPr>
        <w:pStyle w:val="Heading2"/>
        <w:keepNext w:val="true"/>
        <w:spacing w:before="120" w:after="100"/>
        <w:rPr/>
      </w:pPr>
      <w:r>
        <w:rPr>
          <w:rFonts w:eastAsia="Times New Roman" w:cs="Times New Roman" w:ascii="Times New Roman" w:hAnsi="Times New Roman"/>
          <w:b/>
          <w:color w:val="000000"/>
          <w:sz w:val="26"/>
        </w:rPr>
        <w:t>2.1. Dịch vụ tư vấn thành lập công ty cổ phần.</w:t>
      </w:r>
    </w:p>
    <w:p>
      <w:pPr>
        <w:pStyle w:val="Heading3"/>
        <w:keepNext w:val="true"/>
        <w:spacing w:before="120" w:after="100"/>
        <w:rPr/>
      </w:pPr>
      <w:r>
        <w:rPr>
          <w:rFonts w:eastAsia="Times New Roman" w:cs="Times New Roman" w:ascii="Times New Roman" w:hAnsi="Times New Roman"/>
          <w:b/>
          <w:color w:val="000000"/>
          <w:sz w:val="26"/>
        </w:rPr>
        <w:t>2.1.1. Giới thiệu dịch vụ.</w:t>
      </w:r>
    </w:p>
    <w:p>
      <w:pPr>
        <w:pStyle w:val="Normal"/>
        <w:spacing w:lineRule="auto" w:line="312" w:before="0" w:after="120"/>
        <w:ind w:firstLine="567"/>
        <w:jc w:val="both"/>
        <w:rPr/>
      </w:pPr>
      <w:r>
        <w:rPr>
          <w:rFonts w:eastAsia="Times New Roman" w:cs="Times New Roman"/>
          <w:color w:val="000000"/>
          <w:sz w:val="26"/>
        </w:rPr>
        <w:t>Trên cơ sở thông tin được cung cấp, doanh nghiệp dự kiến được thành lập bởi 05 nhà đầu tư trong nước, có vốn điều lệ dự kiến từ 50 đến 200 tỷ đồng, đặt trụ sở chính tại Việt Nam và hoạt động trên phạm vi toàn quốc. Doanh nghiệp dự kiến tuyển dụng từ 15 đến 30 người lao động trong năm đầu tiên và có định hướng huy động thêm vốn hoặc hợp tác với nhà đầu tư nước ngoài trong tương lai.</w:t>
      </w:r>
    </w:p>
    <w:p>
      <w:pPr>
        <w:pStyle w:val="Normal"/>
        <w:spacing w:lineRule="auto" w:line="312" w:before="0" w:after="120"/>
        <w:ind w:firstLine="567"/>
        <w:jc w:val="both"/>
        <w:rPr/>
      </w:pPr>
      <w:r>
        <w:rPr>
          <w:rFonts w:eastAsia="Times New Roman" w:cs="Times New Roman"/>
          <w:color w:val="000000"/>
          <w:sz w:val="26"/>
        </w:rPr>
        <w:t>Trên cơ sở các đặc điểm trên, đề xuất khách hàng lựa chọn công ty cổ phần làm loại hình doanh nghiệp.</w:t>
      </w:r>
    </w:p>
    <w:p>
      <w:pPr>
        <w:pStyle w:val="Normal"/>
        <w:spacing w:lineRule="auto" w:line="312" w:before="0" w:after="120"/>
        <w:ind w:firstLine="567"/>
        <w:jc w:val="both"/>
        <w:rPr/>
      </w:pPr>
      <w:r>
        <w:rPr>
          <w:rFonts w:eastAsia="Times New Roman" w:cs="Times New Roman"/>
          <w:color w:val="000000"/>
          <w:sz w:val="26"/>
        </w:rPr>
        <w:t>Việc lựa chọn công ty cổ phần được xem xét dựa trên số lượng nhà đầu tư, quy mô vốn dự kiến và định hướng phát triển của doanh nghiệp. Công ty cổ phần phù hợp với trường hợp có nhiều nhà đầu tư cùng góp vốn và tạo điều kiện thuận lợi cho việc tiếp nhận thêm nhà đầu tư, thay đổi cơ cấu sở hữu và huy động vốn trong quá trình phát triển.</w:t>
      </w:r>
    </w:p>
    <w:p>
      <w:pPr>
        <w:pStyle w:val="Normal"/>
        <w:spacing w:lineRule="auto" w:line="312" w:before="0" w:after="120"/>
        <w:ind w:firstLine="567"/>
        <w:jc w:val="both"/>
        <w:rPr/>
      </w:pPr>
      <w:r>
        <w:rPr>
          <w:rFonts w:eastAsia="Times New Roman" w:cs="Times New Roman"/>
          <w:color w:val="000000"/>
          <w:sz w:val="26"/>
        </w:rPr>
        <w:t>Dịch vụ này tập trung vào việc thiết lập tư cách pháp lý của doanh nghiệp, từ việc lựa chọn loại hình và các thông tin đăng ký cơ bản đến việc chuẩn bị, nộp và hoàn tất thủ tục đăng ký doanh nghiệp.</w:t>
      </w:r>
    </w:p>
    <w:p>
      <w:pPr>
        <w:pStyle w:val="Heading3"/>
        <w:keepNext w:val="true"/>
        <w:spacing w:before="120" w:after="100"/>
        <w:rPr/>
      </w:pPr>
      <w:r>
        <w:rPr>
          <w:rFonts w:eastAsia="Times New Roman" w:cs="Times New Roman" w:ascii="Times New Roman" w:hAnsi="Times New Roman"/>
          <w:b/>
          <w:color w:val="000000"/>
          <w:sz w:val="26"/>
        </w:rPr>
        <w:t>2.1.2. Nội dung dịch vụ.</w:t>
      </w:r>
    </w:p>
    <w:p>
      <w:pPr>
        <w:pStyle w:val="Normal"/>
        <w:spacing w:lineRule="auto" w:line="312" w:before="0" w:after="120"/>
        <w:ind w:hanging="0" w:start="0"/>
        <w:jc w:val="both"/>
        <w:rPr/>
      </w:pPr>
      <w:r>
        <w:rPr>
          <w:rFonts w:eastAsia="Times New Roman" w:cs="Times New Roman"/>
          <w:color w:val="000000"/>
          <w:sz w:val="26"/>
        </w:rPr>
        <w:t>- Thứ nhất, tư vấn lựa chọn loại hình doanh nghiệp. Tiến hành phân tích các loại hình doanh nghiệp có thể được lựa chọn theo quy định pháp luật và căn cứ vào đặc điểm, nhu cầu của khách hàng để đưa ra phương án phù hợp. Đối với dự án kinh doanh ví điện tử, chúng tôi đề xuất thành lập công ty cổ phần được quy định tại Điều 111 Luật Doanh nghiệp 2020, được sửa đổi, bổ sung năm 2025.</w:t>
      </w:r>
    </w:p>
    <w:p>
      <w:pPr>
        <w:pStyle w:val="Normal"/>
        <w:spacing w:lineRule="auto" w:line="312" w:before="0" w:after="120"/>
        <w:ind w:hanging="0" w:start="0"/>
        <w:jc w:val="both"/>
        <w:rPr/>
      </w:pPr>
      <w:r>
        <w:rPr>
          <w:rFonts w:eastAsia="Times New Roman" w:cs="Times New Roman"/>
          <w:color w:val="000000"/>
          <w:sz w:val="26"/>
        </w:rPr>
        <w:t>- Thứ hai, tư vấn cơ cấu cổ đông sáng lập. Tư vấn các vấn đề cần thiết để xác lập cơ cấu cổ đông ban đầu của doanh nghiệp, bao gồm:</w:t>
      </w:r>
    </w:p>
    <w:p>
      <w:pPr>
        <w:pStyle w:val="Normal"/>
        <w:numPr>
          <w:ilvl w:val="0"/>
          <w:numId w:val="0"/>
        </w:numPr>
        <w:spacing w:lineRule="auto" w:line="312" w:before="0" w:after="120"/>
        <w:ind w:hanging="0" w:start="0"/>
        <w:jc w:val="both"/>
        <w:rPr/>
      </w:pPr>
      <w:r>
        <w:rPr>
          <w:rFonts w:eastAsia="Times New Roman" w:cs="Times New Roman"/>
          <w:color w:val="000000"/>
          <w:sz w:val="26"/>
        </w:rPr>
        <w:t>+ Xác định số cổ đông sáng lập</w:t>
      </w:r>
    </w:p>
    <w:p>
      <w:pPr>
        <w:pStyle w:val="Normal"/>
        <w:numPr>
          <w:ilvl w:val="0"/>
          <w:numId w:val="0"/>
        </w:numPr>
        <w:spacing w:lineRule="auto" w:line="312" w:before="0" w:after="120"/>
        <w:ind w:hanging="0" w:start="0"/>
        <w:jc w:val="both"/>
        <w:rPr/>
      </w:pPr>
      <w:r>
        <w:rPr>
          <w:rFonts w:eastAsia="Times New Roman" w:cs="Times New Roman"/>
          <w:color w:val="000000"/>
          <w:sz w:val="26"/>
        </w:rPr>
        <w:t>+ Xác định số lượng cổ phần mỗi cổ đông đăng ký mua</w:t>
      </w:r>
    </w:p>
    <w:p>
      <w:pPr>
        <w:pStyle w:val="Normal"/>
        <w:spacing w:lineRule="auto" w:line="312" w:before="0" w:after="120"/>
        <w:ind w:hanging="0" w:start="0"/>
        <w:jc w:val="both"/>
        <w:rPr>
          <w:rFonts w:ascii="Times New Roman" w:hAnsi="Times New Roman" w:eastAsia="Times New Roman" w:cs="Times New Roman"/>
          <w:color w:val="000000"/>
          <w:sz w:val="26"/>
        </w:rPr>
      </w:pPr>
      <w:r>
        <w:rPr>
          <w:rFonts w:eastAsia="Times New Roman" w:cs="Times New Roman"/>
          <w:color w:val="000000"/>
          <w:sz w:val="26"/>
        </w:rPr>
        <w:t>+ Xác định tỷ lệ sở hữu tương ứng với phần vốn góp</w:t>
      </w:r>
    </w:p>
    <w:p>
      <w:pPr>
        <w:pStyle w:val="Normal"/>
        <w:spacing w:lineRule="auto" w:line="312" w:before="0" w:after="120"/>
        <w:ind w:hanging="0" w:start="0"/>
        <w:jc w:val="both"/>
        <w:rPr/>
      </w:pPr>
      <w:r>
        <w:rPr>
          <w:rFonts w:eastAsia="Times New Roman" w:cs="Times New Roman"/>
          <w:color w:val="000000"/>
          <w:sz w:val="26"/>
        </w:rPr>
        <w:t>+ Xác định loại cổ phần đăng ký</w:t>
      </w:r>
    </w:p>
    <w:p>
      <w:pPr>
        <w:pStyle w:val="Normal"/>
        <w:spacing w:lineRule="auto" w:line="312" w:before="0" w:after="120"/>
        <w:ind w:hanging="0" w:start="0"/>
        <w:jc w:val="both"/>
        <w:rPr/>
      </w:pPr>
      <w:r>
        <w:rPr>
          <w:rFonts w:eastAsia="Times New Roman" w:cs="Times New Roman"/>
          <w:color w:val="000000"/>
          <w:sz w:val="26"/>
        </w:rPr>
        <w:t>+ Xác định phần vốn góp của từng cổ đông</w:t>
      </w:r>
    </w:p>
    <w:p>
      <w:pPr>
        <w:pStyle w:val="Normal"/>
        <w:spacing w:lineRule="auto" w:line="312" w:before="0" w:after="120"/>
        <w:ind w:hanging="0" w:start="0"/>
        <w:jc w:val="both"/>
        <w:rPr/>
      </w:pPr>
      <w:r>
        <w:rPr>
          <w:rFonts w:eastAsia="Times New Roman" w:cs="Times New Roman"/>
          <w:color w:val="000000"/>
          <w:sz w:val="26"/>
        </w:rPr>
        <w:t>+ Tư vấn phương thức và thời hạn góp vốn theo quy định pháp luật</w:t>
      </w:r>
    </w:p>
    <w:p>
      <w:pPr>
        <w:pStyle w:val="Normal"/>
        <w:spacing w:lineRule="auto" w:line="312" w:before="0" w:after="120"/>
        <w:ind w:hanging="0" w:start="0"/>
        <w:jc w:val="both"/>
        <w:rPr/>
      </w:pPr>
      <w:r>
        <w:rPr>
          <w:rFonts w:eastAsia="Times New Roman" w:cs="Times New Roman"/>
          <w:color w:val="000000"/>
          <w:sz w:val="26"/>
        </w:rPr>
        <w:t>- Thứ ba, tư vấn vốn điều lệ. Đối với dự án, khách hàng dự kiến vốn điều lệ từ 50 đến 200 tỷ đồng. Từ đó tư vấn lựa chọn mức vốn cụ thể dựa trên:</w:t>
      </w:r>
    </w:p>
    <w:p>
      <w:pPr>
        <w:pStyle w:val="Normal"/>
        <w:spacing w:lineRule="auto" w:line="312" w:before="0" w:after="120"/>
        <w:ind w:hanging="0" w:start="0"/>
        <w:jc w:val="both"/>
        <w:rPr>
          <w:b w:val="false"/>
          <w:bCs w:val="false"/>
        </w:rPr>
      </w:pPr>
      <w:r>
        <w:rPr>
          <w:rFonts w:eastAsia="Times New Roman" w:cs="Times New Roman"/>
          <w:color w:val="000000"/>
          <w:sz w:val="26"/>
        </w:rPr>
        <w:t>+ Nhu cầu vốn để triển khai hoạt động kinh doanh</w:t>
      </w:r>
    </w:p>
    <w:p>
      <w:pPr>
        <w:pStyle w:val="Normal"/>
        <w:spacing w:lineRule="auto" w:line="312" w:before="0" w:after="120"/>
        <w:ind w:hanging="0" w:start="0"/>
        <w:jc w:val="both"/>
        <w:rPr>
          <w:b w:val="false"/>
          <w:bCs w:val="false"/>
        </w:rPr>
      </w:pPr>
      <w:r>
        <w:rPr>
          <w:rFonts w:eastAsia="Times New Roman" w:cs="Times New Roman"/>
          <w:color w:val="000000"/>
          <w:sz w:val="26"/>
        </w:rPr>
        <w:t>+ Khả năng góp vốn thực tế của các cổ đông</w:t>
      </w:r>
    </w:p>
    <w:p>
      <w:pPr>
        <w:pStyle w:val="Normal"/>
        <w:spacing w:lineRule="auto" w:line="312" w:before="0" w:after="120"/>
        <w:ind w:hanging="0" w:start="0"/>
        <w:jc w:val="both"/>
        <w:rPr>
          <w:b w:val="false"/>
          <w:bCs w:val="false"/>
        </w:rPr>
      </w:pPr>
      <w:r>
        <w:rPr>
          <w:rFonts w:eastAsia="Times New Roman" w:cs="Times New Roman"/>
          <w:color w:val="000000"/>
          <w:sz w:val="26"/>
        </w:rPr>
        <w:t>+ Quy mô hoạt động dự kiến</w:t>
      </w:r>
    </w:p>
    <w:p>
      <w:pPr>
        <w:pStyle w:val="Normal"/>
        <w:spacing w:lineRule="auto" w:line="312" w:before="0" w:after="120"/>
        <w:ind w:hanging="0" w:start="0"/>
        <w:jc w:val="both"/>
        <w:rPr>
          <w:b w:val="false"/>
          <w:bCs w:val="false"/>
        </w:rPr>
      </w:pPr>
      <w:r>
        <w:rPr>
          <w:rFonts w:eastAsia="Times New Roman" w:cs="Times New Roman"/>
          <w:color w:val="000000"/>
          <w:sz w:val="26"/>
        </w:rPr>
        <w:t>+ Các yêu cầu pháp lý liên quan đến hoạt động cung ứng dịch vụ ví điện tử</w:t>
      </w:r>
    </w:p>
    <w:p>
      <w:pPr>
        <w:pStyle w:val="Normal"/>
        <w:spacing w:lineRule="auto" w:line="312" w:before="0" w:after="120"/>
        <w:ind w:hanging="0" w:start="0"/>
        <w:jc w:val="both"/>
        <w:rPr>
          <w:b w:val="false"/>
          <w:bCs w:val="false"/>
        </w:rPr>
      </w:pPr>
      <w:r>
        <w:rPr>
          <w:rFonts w:eastAsia="Times New Roman" w:cs="Times New Roman"/>
          <w:color w:val="000000"/>
          <w:sz w:val="26"/>
        </w:rPr>
        <w:t>+ Kế hoạch huy động vốn và mở rộng doanh nghiệp trong tương lai</w:t>
      </w:r>
    </w:p>
    <w:p>
      <w:pPr>
        <w:pStyle w:val="Normal"/>
        <w:spacing w:lineRule="auto" w:line="312" w:before="0" w:after="120"/>
        <w:ind w:hanging="0" w:start="0"/>
        <w:jc w:val="both"/>
        <w:rPr/>
      </w:pPr>
      <w:r>
        <w:rPr>
          <w:rFonts w:eastAsia="Times New Roman" w:cs="Times New Roman"/>
          <w:color w:val="000000"/>
          <w:sz w:val="26"/>
        </w:rPr>
        <w:t>- Thứ tư, tư vấn tên doanh nghiệp và trụ sở chính. Hỗ trợ khách hàng lựa chọn tên doanh nghiệp phù hợp với quy định pháp luật, đồng thời kiểm tra khả năng sử dụng tên dự kiến trước khi chuẩn bị hồ sơ đăng ký. Đối với trụ sở chính, tư vấn về yêu cầu pháp lý đối với địa chỉ trụ sở và rà soát thông tin địa điểm do khách hàng cung cấp nhằm hạn chế rủi ro trong quá trình đăng ký doanh nghiệp.</w:t>
      </w:r>
    </w:p>
    <w:p>
      <w:pPr>
        <w:pStyle w:val="Normal"/>
        <w:spacing w:lineRule="auto" w:line="312" w:before="0" w:after="120"/>
        <w:ind w:hanging="0" w:start="0"/>
        <w:jc w:val="both"/>
        <w:rPr/>
      </w:pPr>
      <w:r>
        <w:rPr>
          <w:rFonts w:eastAsia="Times New Roman" w:cs="Times New Roman"/>
          <w:color w:val="000000"/>
          <w:sz w:val="26"/>
        </w:rPr>
        <w:t>- Thứ năm, tư vấn ngành, nghề kinh doanh. Xác định và tư vấn các ngành, nghề kinh doanh phù hợp với hoạt động mà doanh nghiệp dự kiến triển khai. Trên cơ sở mô hình kinh doanh dịch vụ ví điện tử, rà soát các hoạt động dự kiến của doanh nghiệp như:</w:t>
      </w:r>
    </w:p>
    <w:p>
      <w:pPr>
        <w:pStyle w:val="Normal"/>
        <w:spacing w:lineRule="auto" w:line="312" w:before="0" w:after="120"/>
        <w:ind w:hanging="0" w:start="0"/>
        <w:jc w:val="both"/>
        <w:rPr/>
      </w:pPr>
      <w:r>
        <w:rPr>
          <w:rFonts w:eastAsia="Times New Roman" w:cs="Times New Roman"/>
          <w:color w:val="000000"/>
          <w:sz w:val="26"/>
        </w:rPr>
        <w:t>+ Cung ứng dịch vụ ví điện tử</w:t>
      </w:r>
    </w:p>
    <w:p>
      <w:pPr>
        <w:pStyle w:val="Normal"/>
        <w:spacing w:lineRule="auto" w:line="312" w:before="0" w:after="120"/>
        <w:ind w:hanging="0" w:start="0"/>
        <w:jc w:val="both"/>
        <w:rPr/>
      </w:pPr>
      <w:r>
        <w:rPr>
          <w:rFonts w:eastAsia="Times New Roman" w:cs="Times New Roman"/>
          <w:color w:val="000000"/>
          <w:sz w:val="26"/>
        </w:rPr>
        <w:t>+ Thanh toán điện tử</w:t>
      </w:r>
    </w:p>
    <w:p>
      <w:pPr>
        <w:pStyle w:val="Normal"/>
        <w:spacing w:lineRule="auto" w:line="312" w:before="0" w:after="120"/>
        <w:ind w:hanging="0" w:start="0"/>
        <w:jc w:val="both"/>
        <w:rPr/>
      </w:pPr>
      <w:r>
        <w:rPr>
          <w:rFonts w:eastAsia="Times New Roman" w:cs="Times New Roman"/>
          <w:color w:val="000000"/>
          <w:sz w:val="26"/>
        </w:rPr>
        <w:t>+ Phát triển và vận hành nền tảng công nghệ</w:t>
      </w:r>
    </w:p>
    <w:p>
      <w:pPr>
        <w:pStyle w:val="Normal"/>
        <w:spacing w:lineRule="auto" w:line="312" w:before="0" w:after="120"/>
        <w:ind w:hanging="0" w:start="0"/>
        <w:jc w:val="both"/>
        <w:rPr/>
      </w:pPr>
      <w:r>
        <w:rPr>
          <w:rFonts w:eastAsia="Times New Roman" w:cs="Times New Roman"/>
          <w:color w:val="000000"/>
          <w:sz w:val="26"/>
        </w:rPr>
        <w:t>+ Cung cấp các dịch vụ hỗ trợ liên quan đến hệ thống thanh toán trong phạm vi pháp luật cho phép</w:t>
      </w:r>
    </w:p>
    <w:p>
      <w:pPr>
        <w:pStyle w:val="Normal"/>
        <w:spacing w:lineRule="auto" w:line="312" w:before="0" w:after="120"/>
        <w:ind w:firstLine="567"/>
        <w:jc w:val="both"/>
        <w:rPr/>
      </w:pPr>
      <w:r>
        <w:rPr>
          <w:rFonts w:eastAsia="Times New Roman" w:cs="Times New Roman"/>
          <w:color w:val="000000"/>
          <w:sz w:val="26"/>
        </w:rPr>
        <w:t>Đối với hoạt động ví điện tử, tư vấn cho khách hàng về việc đăng ký doanh nghiệp chỉ là bước xác lập tư cách pháp lý của công ty và không đồng nghĩa với việc doanh nghiệp đương nhiên được cung ứng dịch vụ ví điện tử. Doanh nghiệp phải tiếp tục đáp ứng các điều kiện và thực hiện thủ tục pháp lý cần thiết đối với hoạt động cung ứng dịch vụ trung gian thanh toán theo quy định pháp luật chuyên ngành.</w:t>
      </w:r>
    </w:p>
    <w:p>
      <w:pPr>
        <w:pStyle w:val="Normal"/>
        <w:spacing w:lineRule="auto" w:line="312" w:before="0" w:after="120"/>
        <w:ind w:hanging="0" w:start="0"/>
        <w:jc w:val="both"/>
        <w:rPr/>
      </w:pPr>
      <w:r>
        <w:rPr>
          <w:rFonts w:eastAsia="Times New Roman" w:cs="Times New Roman"/>
          <w:color w:val="000000"/>
          <w:sz w:val="26"/>
        </w:rPr>
        <w:t>- Thứ sáu, chuẩn bị và hoàn thiện hồ sơ đăng ký doanh nghiệp. Sau khi thống nhất các thông tin cơ bản, chuẩn bị hồ sơ đăng ký thành lập công ty cổ phần theo quy định pháp luật. Công việc bao gồm:</w:t>
      </w:r>
    </w:p>
    <w:p>
      <w:pPr>
        <w:pStyle w:val="Normal"/>
        <w:spacing w:lineRule="auto" w:line="312" w:before="0" w:after="120"/>
        <w:ind w:hanging="0" w:start="0"/>
        <w:jc w:val="both"/>
        <w:rPr>
          <w:b w:val="false"/>
          <w:bCs w:val="false"/>
        </w:rPr>
      </w:pPr>
      <w:r>
        <w:rPr>
          <w:rFonts w:eastAsia="Times New Roman" w:cs="Times New Roman"/>
          <w:color w:val="000000"/>
          <w:sz w:val="26"/>
        </w:rPr>
        <w:t>+ Soạn thảo giấy đề nghị đăng ký doanh nghiệp</w:t>
      </w:r>
    </w:p>
    <w:p>
      <w:pPr>
        <w:pStyle w:val="Normal"/>
        <w:numPr>
          <w:ilvl w:val="0"/>
          <w:numId w:val="0"/>
        </w:numPr>
        <w:spacing w:lineRule="auto" w:line="312" w:before="0" w:after="120"/>
        <w:ind w:hanging="0" w:start="0"/>
        <w:jc w:val="both"/>
        <w:rPr/>
      </w:pPr>
      <w:r>
        <w:rPr>
          <w:rFonts w:eastAsia="Times New Roman" w:cs="Times New Roman"/>
          <w:color w:val="000000"/>
          <w:sz w:val="26"/>
        </w:rPr>
        <w:t>+ Chuẩn bị danh sách cổ đông sáng lập</w:t>
      </w:r>
    </w:p>
    <w:p>
      <w:pPr>
        <w:pStyle w:val="Normal"/>
        <w:spacing w:lineRule="auto" w:line="312" w:before="0" w:after="120"/>
        <w:ind w:hanging="0" w:start="0"/>
        <w:jc w:val="both"/>
        <w:rPr/>
      </w:pPr>
      <w:r>
        <w:rPr>
          <w:rFonts w:eastAsia="Times New Roman" w:cs="Times New Roman"/>
          <w:color w:val="000000"/>
          <w:sz w:val="26"/>
        </w:rPr>
        <w:t>+ Chuẩn bị các tài liệu pháp lý của cổ đông và người có liên quan theo yêu cầu</w:t>
      </w:r>
    </w:p>
    <w:p>
      <w:pPr>
        <w:pStyle w:val="Normal"/>
        <w:spacing w:lineRule="auto" w:line="312" w:before="0" w:after="120"/>
        <w:ind w:hanging="0" w:start="0"/>
        <w:jc w:val="both"/>
        <w:rPr/>
      </w:pPr>
      <w:r>
        <w:rPr>
          <w:rFonts w:eastAsia="Times New Roman" w:cs="Times New Roman"/>
          <w:color w:val="000000"/>
          <w:sz w:val="26"/>
        </w:rPr>
        <w:t>+ Rà soát tính thống nhất của thông tin trong hồ sơ</w:t>
      </w:r>
    </w:p>
    <w:p>
      <w:pPr>
        <w:pStyle w:val="Normal"/>
        <w:spacing w:lineRule="auto" w:line="312" w:before="0" w:after="120"/>
        <w:ind w:hanging="0" w:start="0"/>
        <w:jc w:val="both"/>
        <w:rPr/>
      </w:pPr>
      <w:r>
        <w:rPr>
          <w:rFonts w:eastAsia="Times New Roman" w:cs="Times New Roman"/>
          <w:color w:val="000000"/>
          <w:sz w:val="26"/>
        </w:rPr>
        <w:t>+ Hướng dẫn khách hàng ký và hoàn thiện hồ sơ</w:t>
      </w:r>
    </w:p>
    <w:p>
      <w:pPr>
        <w:pStyle w:val="Normal"/>
        <w:spacing w:lineRule="auto" w:line="312" w:before="0" w:after="120"/>
        <w:ind w:hanging="0" w:start="0"/>
        <w:jc w:val="both"/>
        <w:rPr/>
      </w:pPr>
      <w:r>
        <w:rPr>
          <w:rFonts w:eastAsia="Times New Roman" w:cs="Times New Roman"/>
          <w:color w:val="000000"/>
          <w:sz w:val="26"/>
        </w:rPr>
        <w:t>+ Kiểm tra hồ sơ trước khi nộp</w:t>
      </w:r>
    </w:p>
    <w:p>
      <w:pPr>
        <w:pStyle w:val="Normal"/>
        <w:spacing w:lineRule="auto" w:line="312" w:before="0" w:after="120"/>
        <w:ind w:hanging="0" w:start="0"/>
        <w:jc w:val="both"/>
        <w:rPr/>
      </w:pPr>
      <w:r>
        <w:rPr>
          <w:rFonts w:eastAsia="Times New Roman" w:cs="Times New Roman"/>
          <w:color w:val="000000"/>
          <w:sz w:val="26"/>
        </w:rPr>
        <w:t>- Thứ bảy, thực hiện thủ tục đăng ký doanh nghiệp. Hỗ trợ khách hàng thực hiện thủ tục đăng ký thành lập doanh nghiệp với cơ quan đăng ký kinh doanh có thẩm quyền. Phạm vi công việc bao gồm:</w:t>
      </w:r>
    </w:p>
    <w:p>
      <w:pPr>
        <w:pStyle w:val="Normal"/>
        <w:spacing w:lineRule="auto" w:line="312" w:before="0" w:after="120"/>
        <w:ind w:hanging="0" w:start="0"/>
        <w:jc w:val="both"/>
        <w:rPr/>
      </w:pPr>
      <w:r>
        <w:rPr>
          <w:rFonts w:eastAsia="Times New Roman" w:cs="Times New Roman"/>
          <w:color w:val="000000"/>
          <w:sz w:val="26"/>
        </w:rPr>
        <w:t>+ Nộp hồ sơ đăng ký doanh nghiệp</w:t>
      </w:r>
    </w:p>
    <w:p>
      <w:pPr>
        <w:pStyle w:val="Normal"/>
        <w:spacing w:lineRule="auto" w:line="312" w:before="0" w:after="120"/>
        <w:ind w:hanging="0" w:start="0"/>
        <w:jc w:val="both"/>
        <w:rPr/>
      </w:pPr>
      <w:r>
        <w:rPr>
          <w:rFonts w:eastAsia="Times New Roman" w:cs="Times New Roman"/>
          <w:color w:val="000000"/>
          <w:sz w:val="26"/>
        </w:rPr>
        <w:t>+ Theo dõi tình trạng xử lý hồ sơ</w:t>
      </w:r>
    </w:p>
    <w:p>
      <w:pPr>
        <w:pStyle w:val="Normal"/>
        <w:spacing w:lineRule="auto" w:line="312" w:before="0" w:after="120"/>
        <w:ind w:hanging="0" w:start="0"/>
        <w:jc w:val="both"/>
        <w:rPr/>
      </w:pPr>
      <w:r>
        <w:rPr>
          <w:rFonts w:eastAsia="Times New Roman" w:cs="Times New Roman"/>
          <w:color w:val="000000"/>
          <w:sz w:val="26"/>
        </w:rPr>
        <w:t>+ Tiếp nhận và phản hồi yêu cầu sửa đổi, bổ sung hồ sơ nếu có</w:t>
      </w:r>
    </w:p>
    <w:p>
      <w:pPr>
        <w:pStyle w:val="Normal"/>
        <w:spacing w:lineRule="auto" w:line="312" w:before="0" w:after="120"/>
        <w:ind w:hanging="0" w:start="0"/>
        <w:jc w:val="both"/>
        <w:rPr/>
      </w:pPr>
      <w:r>
        <w:rPr>
          <w:rFonts w:eastAsia="Times New Roman" w:cs="Times New Roman"/>
          <w:color w:val="000000"/>
          <w:sz w:val="26"/>
        </w:rPr>
        <w:t>+ Hoàn thiện và nộp lại hồ sơ theo yêu cầu</w:t>
      </w:r>
    </w:p>
    <w:p>
      <w:pPr>
        <w:pStyle w:val="Normal"/>
        <w:spacing w:lineRule="auto" w:line="312" w:before="0" w:after="120"/>
        <w:ind w:hanging="0" w:start="0"/>
        <w:jc w:val="both"/>
        <w:rPr/>
      </w:pPr>
      <w:r>
        <w:rPr>
          <w:rFonts w:eastAsia="Times New Roman" w:cs="Times New Roman"/>
          <w:color w:val="000000"/>
          <w:sz w:val="26"/>
        </w:rPr>
        <w:t>- Thứ tám, hỗ trợ các công việc cơ bản sau khi thành lập. Sau khi doanh nghiệp được cấp Giấy chứng nhận đăng ký doanh nghiệp, hướng dẫn khách hàng thực hiện các công việc pháp lý cơ bản nhằm hoàn tất quá trình thành lập doanh nghiệp và chuẩn bị cho việc đưa doanh nghiệp vào hoạt động. Phạm vi hỗ trợ có thể bao gồm việc hướng dẫn công bố thông tin đăng ký doanh nghiệp, quản lý con dấu và các công việc pháp lý cơ bản khác theo quy định pháp luật.</w:t>
      </w:r>
    </w:p>
    <w:p>
      <w:pPr>
        <w:pStyle w:val="Heading3"/>
        <w:keepNext w:val="true"/>
        <w:spacing w:before="120" w:after="100"/>
        <w:rPr/>
      </w:pPr>
      <w:r>
        <w:rPr>
          <w:rFonts w:eastAsia="Times New Roman" w:cs="Times New Roman" w:ascii="Times New Roman" w:hAnsi="Times New Roman"/>
          <w:b/>
          <w:color w:val="000000"/>
          <w:sz w:val="26"/>
        </w:rPr>
        <w:t>2.1.3. Phạm vi dịch vụ.</w:t>
      </w:r>
    </w:p>
    <w:p>
      <w:pPr>
        <w:pStyle w:val="Normal"/>
        <w:spacing w:lineRule="auto" w:line="312" w:before="0" w:after="120"/>
        <w:ind w:firstLine="567"/>
        <w:jc w:val="both"/>
        <w:rPr/>
      </w:pPr>
      <w:r>
        <w:rPr>
          <w:rFonts w:eastAsia="Times New Roman" w:cs="Times New Roman"/>
          <w:color w:val="000000"/>
          <w:sz w:val="26"/>
        </w:rPr>
        <w:t>Phạm vi dịch vụ áp dụng đối với việc tư vấn thành lập công ty cổ phần cung ứng dịch vụ ví điện tử, bao gồm việc tư vấn lựa chọn loại hình doanh nghiệp, cơ cấu cổ đông sáng lập, vốn điều lệ, tên và trụ sở chính, ngành nghề kinh doanh, chuẩn bị và hoàn thiện hồ sơ đăng ký doanh nghiệp, thực hiện thủ tục đăng ký thành lập và hướng dẫn các công việc pháp lý cơ bản sau khi doanh nghiệp được thành lập.</w:t>
      </w:r>
    </w:p>
    <w:p>
      <w:pPr>
        <w:pStyle w:val="Normal"/>
        <w:spacing w:lineRule="auto" w:line="312" w:before="0" w:after="120"/>
        <w:ind w:firstLine="567"/>
        <w:jc w:val="both"/>
        <w:rPr/>
      </w:pPr>
      <w:r>
        <w:rPr>
          <w:rFonts w:eastAsia="Times New Roman" w:cs="Times New Roman"/>
          <w:color w:val="000000"/>
          <w:sz w:val="26"/>
        </w:rPr>
        <w:t>Về thời điểm áp dụng, dịch vụ được thực hiện từ thời điểm khách hàng cung cấp đầy đủ thông tin, tài liệu cần thiết cho đến khi hoàn tất các công việc thuộc phạm vi thành lập doanh nghiệp; thời gian xử lý của cơ quan nhà nước và thời gian khách hàng bổ sung hồ sơ không được tính vào thời hạn thực hiện dịch vụ.</w:t>
      </w:r>
    </w:p>
    <w:p>
      <w:pPr>
        <w:pStyle w:val="Normal"/>
        <w:spacing w:lineRule="auto" w:line="312" w:before="0" w:after="120"/>
        <w:ind w:firstLine="567"/>
        <w:jc w:val="both"/>
        <w:rPr/>
      </w:pPr>
      <w:r>
        <w:rPr>
          <w:rFonts w:eastAsia="Times New Roman" w:cs="Times New Roman"/>
          <w:color w:val="000000"/>
          <w:sz w:val="26"/>
        </w:rPr>
        <w:t>Phạm vi dịch vụ không bao gồm việc soạn thảo, tư vấn chuyên sâu về Điều lệ công ty; thực hiện thủ tục xin Giấy phép cung ứng dịch vụ trung gian thanh toán; tư vấn chuyên sâu về hệ thống kỹ thuật, an toàn thông tin và công nghệ phục vụ việc cấp phép ví điện tử; thủ tục đầu tư hoặc đăng ký góp vốn, mua cổ phần của nhà đầu tư nước ngoài; tư vấn thuế, kế toán, kiểm toán và các công việc pháp lý phục vụ quá trình vận hành doanh nghiệp, trừ trường hợp các bên có thỏa thuận riêng.</w:t>
      </w:r>
    </w:p>
    <w:p>
      <w:pPr>
        <w:pStyle w:val="Heading3"/>
        <w:keepNext w:val="true"/>
        <w:spacing w:before="120" w:after="100"/>
        <w:rPr/>
      </w:pPr>
      <w:r>
        <w:rPr>
          <w:rFonts w:eastAsia="Times New Roman" w:cs="Times New Roman" w:ascii="Times New Roman" w:hAnsi="Times New Roman"/>
          <w:b/>
          <w:color w:val="000000"/>
          <w:sz w:val="26"/>
        </w:rPr>
        <w:t>2.1.4. Mục đích dịch vụ.</w:t>
      </w:r>
    </w:p>
    <w:p>
      <w:pPr>
        <w:pStyle w:val="Normal"/>
        <w:spacing w:lineRule="auto" w:line="312" w:before="0" w:after="120"/>
        <w:ind w:firstLine="567"/>
        <w:jc w:val="both"/>
        <w:rPr/>
      </w:pPr>
      <w:r>
        <w:rPr>
          <w:rFonts w:eastAsia="Times New Roman" w:cs="Times New Roman"/>
          <w:color w:val="000000"/>
          <w:sz w:val="26"/>
        </w:rPr>
        <w:t>Dịch vụ tư vấn thành lập công ty nhằm hỗ trợ khách hàng xác lập tư cách pháp lý của doanh nghiệp một cách đầy đủ và đúng quy định, từ việc lựa chọn mô hình công ty cổ phần, xác định cơ cấu sở hữu và mức vốn điều lệ, đến việc chuẩn bị và hoàn thiện hồ sơ đăng ký doanh nghiệp. Qua đó, Công ty chúng tôi giúp hạn chế sai sót, rủi ro trong quá trình thành lập, bảo đảm doanh nghiệp được đăng ký hợp lệ và tạo nền tảng pháp lý để triển khai hoạt động kinh doanh trong tương lai.</w:t>
      </w:r>
    </w:p>
    <w:p>
      <w:pPr>
        <w:pStyle w:val="Heading2"/>
        <w:keepNext w:val="true"/>
        <w:spacing w:before="120" w:after="100"/>
        <w:rPr/>
      </w:pPr>
      <w:r>
        <w:rPr>
          <w:rFonts w:eastAsia="Times New Roman" w:cs="Times New Roman" w:ascii="Times New Roman" w:hAnsi="Times New Roman"/>
          <w:b/>
          <w:color w:val="000000"/>
          <w:sz w:val="26"/>
        </w:rPr>
        <w:t>2.2. Điều lệ công ty (*).</w:t>
      </w:r>
    </w:p>
    <w:p>
      <w:pPr>
        <w:pStyle w:val="Normal"/>
        <w:spacing w:lineRule="auto" w:line="312" w:before="0" w:after="120"/>
        <w:ind w:firstLine="567"/>
        <w:jc w:val="both"/>
        <w:rPr/>
      </w:pPr>
      <w:r>
        <w:rPr>
          <w:rFonts w:eastAsia="Times New Roman" w:cs="Times New Roman"/>
          <w:color w:val="000000"/>
          <w:sz w:val="26"/>
        </w:rPr>
        <w:t>Căn cứ vào Luật Doanh nghiệp số 59/2020/QH14, được sửa đổi, bổ sung bởi Luật số 76/2025/QH15 được Quốc hội nước Cộng hòa xã hội chủ nghĩa Việt Nam thông qua ngày 17 tháng 6 năm 2020. Luật sửa đổi, bổ sung một số điều của Luật Doanh nghiệp ngày 17 tháng 6 năm 2025 và các văn bản hướng dẫn thi hành</w:t>
      </w:r>
    </w:p>
    <w:p>
      <w:pPr>
        <w:pStyle w:val="Normal"/>
        <w:spacing w:lineRule="auto" w:line="312" w:before="0" w:after="120"/>
        <w:ind w:firstLine="567"/>
        <w:jc w:val="both"/>
        <w:rPr/>
      </w:pPr>
      <w:r>
        <w:rPr>
          <w:rFonts w:eastAsia="Times New Roman" w:cs="Times New Roman"/>
          <w:color w:val="000000"/>
          <w:sz w:val="26"/>
        </w:rPr>
        <w:t>Trên cơ sở thông tin do Công ty cung cấp về mô hình tổ chức, cơ cấu cổ đông và định hướng hoạt động trong lĩnh vực Fintech, đặc biệt là dự kiến cung ứng dịch vụ ví điện tử, chúng tôi nhận thấy Điều lệ Công ty cần được xây dựng vừa bảo đảm tuân thủ các quy định của pháp luật về doanh nghiệp, vừa phù hợp với các yêu cầu pháp lý đặc thù của hoạt động trung gian thanh toán. Theo đó, chúng tôi tư vấn Công ty xây dựng và hoàn thiện Điều lệ theo các nhóm nội dung trọng tâm sau.</w:t>
      </w:r>
    </w:p>
    <w:p>
      <w:pPr>
        <w:pStyle w:val="Heading3"/>
        <w:keepNext w:val="true"/>
        <w:spacing w:before="120" w:after="100"/>
        <w:rPr/>
      </w:pPr>
      <w:r>
        <w:rPr>
          <w:rFonts w:eastAsia="Times New Roman" w:cs="Times New Roman" w:ascii="Times New Roman" w:hAnsi="Times New Roman"/>
          <w:b/>
          <w:color w:val="000000"/>
          <w:sz w:val="26"/>
        </w:rPr>
        <w:t>2.2.1. Giới thiệu dịch vụ.</w:t>
      </w:r>
    </w:p>
    <w:p>
      <w:pPr>
        <w:pStyle w:val="Normal"/>
        <w:spacing w:lineRule="auto" w:line="312" w:before="0" w:after="120"/>
        <w:ind w:firstLine="567"/>
        <w:jc w:val="both"/>
        <w:rPr/>
      </w:pPr>
      <w:r>
        <w:rPr>
          <w:rFonts w:eastAsia="Times New Roman" w:cs="Times New Roman"/>
          <w:color w:val="000000"/>
          <w:sz w:val="26"/>
        </w:rPr>
        <w:t>Điều lệ công ty là văn bản pháp lý nội bộ quan trọng, quy định cơ cấu tổ chức, quản trị, quyền và nghĩa vụ của cổ đông, người quản lý và cơ chế vận hành của công ty cổ phần. Đối với doanh nghiệp cung ứng dịch vụ ví điện tử, Điều lệ không chỉ cần phù hợp với Luật Doanh nghiệp mà còn phải phản ánh đặc thù về cơ cấu sở hữu, huy động vốn, quản trị doanh nghiệp, quản lý tài chính và tuân thủ pháp luật chuyên ngành về trung gian thanh toán.</w:t>
      </w:r>
    </w:p>
    <w:p>
      <w:pPr>
        <w:pStyle w:val="Normal"/>
        <w:spacing w:lineRule="auto" w:line="312" w:before="0" w:after="120"/>
        <w:ind w:firstLine="567"/>
        <w:jc w:val="both"/>
        <w:rPr/>
      </w:pPr>
      <w:r>
        <w:rPr>
          <w:rFonts w:eastAsia="Times New Roman" w:cs="Times New Roman"/>
          <w:color w:val="000000"/>
          <w:sz w:val="26"/>
        </w:rPr>
        <w:t>Theo đó, cung cấp dịch vụ tư vấn xây dựng Điều lệ cho Công ty, trên cơ sở cơ cấu 05 cổ đông sáng lập, định hướng tiếp nhận nhà đầu tư mới và hoạt động cung ứng dịch vụ ví điện tử; đồng thời thiết lập các quy định nội bộ nhằm phân định rõ thẩm quyền, trách nhiệm của các cơ quan quản lý, bảo đảm tính minh bạch trong quản trị và hạn chế các rủi ro pháp lý trong quá trình hoạt động.</w:t>
      </w:r>
    </w:p>
    <w:p>
      <w:pPr>
        <w:pStyle w:val="Heading3"/>
        <w:keepNext w:val="true"/>
        <w:spacing w:before="120" w:after="100"/>
        <w:rPr>
          <w:rFonts w:ascii="Times New Roman" w:hAnsi="Times New Roman" w:eastAsia="Times New Roman"/>
        </w:rPr>
      </w:pPr>
      <w:r>
        <w:rPr>
          <w:rFonts w:eastAsia="Times New Roman" w:cs="Times New Roman" w:ascii="Times New Roman" w:hAnsi="Times New Roman"/>
          <w:b/>
          <w:color w:val="000000"/>
          <w:sz w:val="26"/>
        </w:rPr>
        <w:t>2.2.2. Nội dung dịch vụ.</w:t>
      </w:r>
    </w:p>
    <w:p>
      <w:pPr>
        <w:pStyle w:val="Normal"/>
        <w:spacing w:lineRule="auto" w:line="312" w:before="0" w:after="120"/>
        <w:ind w:hanging="0" w:start="0"/>
        <w:jc w:val="both"/>
        <w:rPr/>
      </w:pPr>
      <w:r>
        <w:rPr>
          <w:rFonts w:eastAsia="Times New Roman" w:cs="Times New Roman"/>
          <w:b/>
          <w:color w:val="000000"/>
          <w:sz w:val="26"/>
        </w:rPr>
        <w:t>Gồm 7 chương:</w:t>
      </w:r>
    </w:p>
    <w:p>
      <w:pPr>
        <w:pStyle w:val="Normal"/>
        <w:spacing w:lineRule="auto" w:line="312" w:before="0" w:after="120"/>
        <w:ind w:hanging="0" w:start="425"/>
        <w:jc w:val="both"/>
        <w:rPr/>
      </w:pPr>
      <w:r>
        <w:rPr>
          <w:rFonts w:eastAsia="Times New Roman" w:cs="Times New Roman"/>
          <w:color w:val="000000"/>
          <w:sz w:val="26"/>
        </w:rPr>
        <w:t>- Chương 1. Tư vấn xây dựng các quy định về hình thức, tên gọi, trụ sở, ngành nghề kinh doanh, vốn điều lệ, cơ cấu và phương thức huy động vốn, tăng giảm vốn điều lệ; cổ đông sáng lập, các loại cổ phần, cổ phiếu, sổ đăng ký cổ đông, quyền và nghĩa vụ của cổ đông; cổ phần ưu đãi biểu quyết, cổ phần ưu đãi cổ tức, cổ phần phổ thông của cổ đông sáng lập, thanh toán cổ phần đã đăng ký mua; chào bán, chuyển nhượng, mua lại cổ phần, chào bán và chuyển nhượng trái phiếu riêng lẻ, điều kiện thanh toán và xử lý cổ phần được mua lại, trả cổ tức và thu hồi tiền thanh toán cổ phần mua lại hoặc cổ tức.</w:t>
      </w:r>
    </w:p>
    <w:p>
      <w:pPr>
        <w:pStyle w:val="Normal"/>
        <w:spacing w:lineRule="auto" w:line="312" w:before="0" w:after="120"/>
        <w:ind w:hanging="0" w:start="425"/>
        <w:jc w:val="both"/>
        <w:rPr/>
      </w:pPr>
      <w:r>
        <w:rPr>
          <w:rFonts w:eastAsia="Times New Roman" w:cs="Times New Roman"/>
          <w:color w:val="000000"/>
          <w:sz w:val="26"/>
        </w:rPr>
        <w:t>- Chương 2. Cơ cấu tổ chức và quản lý công ty tư vấn xây dựng quy định về cơ cấu tổ chức, người đại diện theo pháp luật, con dấu và nghĩa vụ của người quản lý; thẩm quyền, tổ chức và hoạt động của Đại hội đồng cổ đông, Hội đồng quản trị, Tổng Giám đốc/Giám đốc và Ban kiểm soát; quy định về triệu tập, tiến hành họp, biểu quyết, thông qua nghị quyết, tiêu chuẩn, nhiệm kỳ, quyền và nghĩa vụ của các chức danh quản lý và cơ quan kiểm soát.</w:t>
      </w:r>
    </w:p>
    <w:p>
      <w:pPr>
        <w:pStyle w:val="Normal"/>
        <w:spacing w:lineRule="auto" w:line="312" w:before="0" w:after="120"/>
        <w:ind w:hanging="0" w:start="425"/>
        <w:jc w:val="both"/>
        <w:rPr/>
      </w:pPr>
      <w:r>
        <w:rPr>
          <w:rFonts w:eastAsia="Times New Roman" w:cs="Times New Roman"/>
          <w:color w:val="000000"/>
          <w:sz w:val="26"/>
        </w:rPr>
        <w:t>- Chương 3. Chủ sở hữu hưởng lợi của công ty sẽ tư vấn quy định về xác định chủ sở hữu hưởng lợi, kê khai thông tin và thông tin làm căn cứ xác định chủ sở hữu hưởng lợi; cập nhật khi có thay đổi và lưu giữ thông tin về chủ sở hữu hưởng lợi của Công ty.</w:t>
      </w:r>
    </w:p>
    <w:p>
      <w:pPr>
        <w:pStyle w:val="Normal"/>
        <w:spacing w:lineRule="auto" w:line="312" w:before="0" w:after="120"/>
        <w:ind w:hanging="0" w:start="425"/>
        <w:jc w:val="both"/>
        <w:rPr/>
      </w:pPr>
      <w:r>
        <w:rPr>
          <w:rFonts w:eastAsia="Times New Roman" w:cs="Times New Roman"/>
          <w:color w:val="000000"/>
          <w:sz w:val="26"/>
        </w:rPr>
        <w:t>- Chương 4. Căn cứ, phương pháp xác định thù lao, tiền lương và thưởng cho người quản lý và thành viên ban kiểm soát hoặc kiểm soát viên tư vấn thù lao, tiền lương và lợi ích khác của thành viên Hội đồng quản trị, Tổng Giám đốc; công khai các lợi ích liên quan; thù lao và lợi ích khác của thành viên Ban kiểm soát.</w:t>
      </w:r>
    </w:p>
    <w:p>
      <w:pPr>
        <w:pStyle w:val="Normal"/>
        <w:spacing w:lineRule="auto" w:line="312" w:before="0" w:after="120"/>
        <w:ind w:hanging="0" w:start="425"/>
        <w:jc w:val="both"/>
        <w:rPr/>
      </w:pPr>
      <w:r>
        <w:rPr>
          <w:rFonts w:eastAsia="Times New Roman" w:cs="Times New Roman"/>
          <w:color w:val="000000"/>
          <w:sz w:val="26"/>
        </w:rPr>
        <w:t>- Chương 5. Tài chính tư vấn thể lệ quyết toán, trả cổ tức và lập quỹ, nguyên tắc phân chia lợi nhuận sau thuế, xử lý lỗ trong kinh doanh.</w:t>
      </w:r>
    </w:p>
    <w:p>
      <w:pPr>
        <w:pStyle w:val="Normal"/>
        <w:spacing w:lineRule="auto" w:line="312" w:before="0" w:after="120"/>
        <w:ind w:hanging="0" w:start="425"/>
        <w:jc w:val="both"/>
        <w:rPr/>
      </w:pPr>
      <w:r>
        <w:rPr>
          <w:rFonts w:eastAsia="Times New Roman" w:cs="Times New Roman"/>
          <w:color w:val="000000"/>
          <w:sz w:val="26"/>
        </w:rPr>
        <w:t>- Chương 6. Hoạt động cung ứng dịch vụ ví điện tử và tuân thủ pháp luật chuyên ngành tư vấn xây dựng các quy định về nguyên tắc cung ứng dịch vụ ví điện tử, quản trị rủi ro, an toàn hệ thống và bảo mật thông tin, bảo vệ khách hàng, phòng chống gian lận, phòng chống rửa tiền, đồng thời quy định các vấn đề liên quan đến đề án cung ứng dịch vụ và giải pháp kỹ thuật.</w:t>
      </w:r>
    </w:p>
    <w:p>
      <w:pPr>
        <w:pStyle w:val="Normal"/>
        <w:spacing w:lineRule="auto" w:line="312" w:before="0" w:after="120"/>
        <w:ind w:hanging="0" w:start="425"/>
        <w:jc w:val="both"/>
        <w:rPr/>
      </w:pPr>
      <w:r>
        <w:rPr>
          <w:rFonts w:eastAsia="Times New Roman" w:cs="Times New Roman"/>
          <w:color w:val="000000"/>
          <w:sz w:val="26"/>
        </w:rPr>
        <w:t>- Chương 7. Điều khoản cuối cùng tư vấn quy định về các trường hợp và điều kiện giải thể doanh nghiệp, trình tự thủ tục giải thể, thanh lý tài sản, phá sản doanh nghiệp, giải quyết tranh chấp và các điều khoản về hiệu lực, sửa đổi, bổ sung Điều lệ.</w:t>
      </w:r>
    </w:p>
    <w:p>
      <w:pPr>
        <w:pStyle w:val="Normal"/>
        <w:spacing w:lineRule="auto" w:line="312" w:before="0" w:after="120"/>
        <w:ind w:firstLine="567"/>
        <w:jc w:val="both"/>
        <w:rPr/>
      </w:pPr>
      <w:r>
        <w:rPr>
          <w:rFonts w:eastAsia="Times New Roman" w:cs="Times New Roman"/>
          <w:color w:val="000000"/>
          <w:sz w:val="26"/>
        </w:rPr>
        <w:t>Về các dịch vụ cung cấp trong quá trình:</w:t>
      </w:r>
    </w:p>
    <w:p>
      <w:pPr>
        <w:pStyle w:val="Normal"/>
        <w:spacing w:lineRule="auto" w:line="312" w:before="0" w:after="120"/>
        <w:ind w:hanging="0" w:start="425"/>
        <w:jc w:val="both"/>
        <w:rPr/>
      </w:pPr>
      <w:r>
        <w:rPr>
          <w:rFonts w:eastAsia="Times New Roman" w:cs="Times New Roman"/>
          <w:color w:val="000000"/>
          <w:sz w:val="26"/>
        </w:rPr>
        <w:t>- Tư vấn xây dựng các quy định chung về tên, trụ sở, ngành nghề, vốn điều lệ, cổ đông sáng lập và các loại cổ phần.</w:t>
      </w:r>
    </w:p>
    <w:p>
      <w:pPr>
        <w:pStyle w:val="Normal"/>
        <w:spacing w:lineRule="auto" w:line="312" w:before="0" w:after="120"/>
        <w:ind w:hanging="0" w:start="425"/>
        <w:jc w:val="both"/>
        <w:rPr/>
      </w:pPr>
      <w:r>
        <w:rPr>
          <w:rFonts w:eastAsia="Times New Roman" w:cs="Times New Roman"/>
          <w:color w:val="000000"/>
          <w:sz w:val="26"/>
        </w:rPr>
        <w:t>- Tư vấn xây dựng cơ cấu tổ chức, quản trị và thẩm quyền của Đại hội đồng cổ đông, Hội đồng quản trị, Tổng Giám đốc/Giám đốc và Ban kiểm soát/Ủy ban kiểm toán.</w:t>
      </w:r>
    </w:p>
    <w:p>
      <w:pPr>
        <w:pStyle w:val="Normal"/>
        <w:spacing w:lineRule="auto" w:line="312" w:before="0" w:after="120"/>
        <w:ind w:hanging="0" w:start="425"/>
        <w:jc w:val="both"/>
        <w:rPr/>
      </w:pPr>
      <w:r>
        <w:rPr>
          <w:rFonts w:eastAsia="Times New Roman" w:cs="Times New Roman"/>
          <w:color w:val="000000"/>
          <w:sz w:val="26"/>
        </w:rPr>
        <w:t>- Tư vấn quy định về chủ sở hữu hưởng lợi, thù lao, tiền lương, lợi ích của người quản lý và cơ chế kiểm soát xung đột lợi ích.</w:t>
      </w:r>
    </w:p>
    <w:p>
      <w:pPr>
        <w:pStyle w:val="Normal"/>
        <w:spacing w:lineRule="auto" w:line="312" w:before="0" w:after="120"/>
        <w:ind w:hanging="0" w:start="425"/>
        <w:jc w:val="both"/>
        <w:rPr/>
      </w:pPr>
      <w:r>
        <w:rPr>
          <w:rFonts w:eastAsia="Times New Roman" w:cs="Times New Roman"/>
          <w:color w:val="000000"/>
          <w:sz w:val="26"/>
        </w:rPr>
        <w:t>- Tư vấn các quy định về tài chính, phân phối lợi nhuận, trả cổ tức, quản lý tài sản và nguồn vốn của Công ty.</w:t>
      </w:r>
    </w:p>
    <w:p>
      <w:pPr>
        <w:pStyle w:val="Normal"/>
        <w:spacing w:lineRule="auto" w:line="312" w:before="0" w:after="120"/>
        <w:ind w:hanging="0" w:start="425"/>
        <w:jc w:val="both"/>
        <w:rPr/>
      </w:pPr>
      <w:r>
        <w:rPr>
          <w:rFonts w:eastAsia="Times New Roman" w:cs="Times New Roman"/>
          <w:color w:val="000000"/>
          <w:sz w:val="26"/>
        </w:rPr>
        <w:t>- Tư vấn xây dựng các quy định đặc thù về cung ứng dịch vụ ví điện tử, quản trị rủi ro, an toàn hệ thống, bảo mật thông tin, bảo vệ khách hàng và phòng, chống gian lận, rửa tiền.</w:t>
      </w:r>
    </w:p>
    <w:p>
      <w:pPr>
        <w:pStyle w:val="Normal"/>
        <w:spacing w:lineRule="auto" w:line="312" w:before="0" w:after="120"/>
        <w:ind w:hanging="0" w:start="425"/>
        <w:jc w:val="both"/>
        <w:rPr/>
      </w:pPr>
      <w:r>
        <w:rPr>
          <w:rFonts w:eastAsia="Times New Roman" w:cs="Times New Roman"/>
          <w:color w:val="000000"/>
          <w:sz w:val="26"/>
        </w:rPr>
        <w:t>- Tư vấn các quy định về giải thể, phá sản, thanh lý tài sản, giải quyết tranh chấp, sửa đổi và bổ sung Điều lệ.</w:t>
      </w:r>
    </w:p>
    <w:p>
      <w:pPr>
        <w:pStyle w:val="Normal"/>
        <w:spacing w:lineRule="auto" w:line="312" w:before="0" w:after="120"/>
        <w:ind w:hanging="0" w:start="425"/>
        <w:jc w:val="both"/>
        <w:rPr/>
      </w:pPr>
      <w:r>
        <w:rPr>
          <w:rFonts w:eastAsia="Times New Roman" w:cs="Times New Roman"/>
          <w:color w:val="000000"/>
          <w:sz w:val="26"/>
        </w:rPr>
        <w:t>- Soạn thảo, rà soát và hoàn thiện Điều lệ bảo đảm thống nhất với hồ sơ đăng ký doanh nghiệp, cơ cấu 05 cổ đông sáng lập và định hướng hoạt động của Công ty.</w:t>
      </w:r>
    </w:p>
    <w:p>
      <w:pPr>
        <w:pStyle w:val="Heading3"/>
        <w:keepNext w:val="true"/>
        <w:spacing w:before="120" w:after="100"/>
        <w:rPr/>
      </w:pPr>
      <w:r>
        <w:rPr>
          <w:rFonts w:eastAsia="Times New Roman" w:cs="Times New Roman" w:ascii="Times New Roman" w:hAnsi="Times New Roman"/>
          <w:b/>
          <w:color w:val="000000"/>
          <w:sz w:val="26"/>
        </w:rPr>
        <w:t>2.2.3. Phạm vi dịch vụ.</w:t>
      </w:r>
    </w:p>
    <w:p>
      <w:pPr>
        <w:pStyle w:val="Normal"/>
        <w:spacing w:lineRule="auto" w:line="312" w:before="0" w:after="120"/>
        <w:ind w:firstLine="567"/>
        <w:jc w:val="both"/>
        <w:rPr/>
      </w:pPr>
      <w:r>
        <w:rPr>
          <w:rFonts w:eastAsia="Times New Roman" w:cs="Times New Roman"/>
          <w:color w:val="000000"/>
          <w:sz w:val="26"/>
        </w:rPr>
        <w:t>Phạm vi tư vấn bao gồm việc xây dựng, rà soát và hoàn thiện Điều lệ công ty cổ phần phù hợp với cơ cấu năm cổ đông sáng lập, định hướng huy động vốn và hoạt động cung ứng dịch vụ ví điện tử; không bao gồm thủ tục xin giấy phép trung gian thanh toán hoặc thẩm định kỹ thuật chuyên sâu nếu không có thỏa thuận riêng.</w:t>
      </w:r>
    </w:p>
    <w:p>
      <w:pPr>
        <w:pStyle w:val="Heading3"/>
        <w:keepNext w:val="true"/>
        <w:spacing w:before="120" w:after="100"/>
        <w:rPr/>
      </w:pPr>
      <w:r>
        <w:rPr>
          <w:rFonts w:eastAsia="Times New Roman" w:cs="Times New Roman" w:ascii="Times New Roman" w:hAnsi="Times New Roman"/>
          <w:b/>
          <w:color w:val="000000"/>
          <w:sz w:val="26"/>
        </w:rPr>
        <w:t>2.2.4. Mục đích dịch vụ.</w:t>
      </w:r>
    </w:p>
    <w:p>
      <w:pPr>
        <w:pStyle w:val="Normal"/>
        <w:spacing w:lineRule="auto" w:line="312" w:before="0" w:after="120"/>
        <w:ind w:firstLine="567"/>
        <w:jc w:val="both"/>
        <w:rPr/>
      </w:pPr>
      <w:r>
        <w:rPr>
          <w:rFonts w:eastAsia="Times New Roman" w:cs="Times New Roman"/>
          <w:color w:val="000000"/>
          <w:sz w:val="26"/>
        </w:rPr>
        <w:t>Việc tư vấn nhằm xây dựng Điều lệ phù hợp với mô hình Công ty cổ phần cung ứng dịch vụ ví điện tử, bảo đảm tuân thủ Luật Doanh nghiệp và pháp luật chuyên ngành; đồng thời phân định rõ quyền, nghĩa vụ và thẩm quyền của cổ đông, cơ quan quản lý, người điều hành, thiết lập cơ chế quản trị, tài chính và kiểm soát rủi ro, qua đó hạn chế tranh chấp và rủi ro pháp lý trong quá trình hoạt động của Công ty.</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3. TƯ VẤN XÂY DỰNG CƠ SỞ PHÁP LÝ CHO HOẠT ĐỘNG NỘI BỘ.</w:t>
      </w:r>
    </w:p>
    <w:p>
      <w:pPr>
        <w:pStyle w:val="Heading2"/>
        <w:keepNext w:val="true"/>
        <w:spacing w:before="120" w:after="100"/>
        <w:rPr/>
      </w:pPr>
      <w:r>
        <w:rPr>
          <w:rFonts w:eastAsia="Times New Roman" w:cs="Times New Roman" w:ascii="Times New Roman" w:hAnsi="Times New Roman"/>
          <w:b/>
          <w:color w:val="000000"/>
          <w:sz w:val="26"/>
        </w:rPr>
        <w:t>3.1. Tư vấn tổ chức và tiến hành Đại hội đồng cổ đông.</w:t>
      </w:r>
    </w:p>
    <w:p>
      <w:pPr>
        <w:pStyle w:val="Normal"/>
        <w:spacing w:lineRule="auto" w:line="312" w:before="0" w:after="120"/>
        <w:ind w:firstLine="567"/>
        <w:jc w:val="both"/>
        <w:rPr/>
      </w:pPr>
      <w:r>
        <w:rPr>
          <w:rFonts w:eastAsia="Times New Roman" w:cs="Times New Roman"/>
          <w:color w:val="000000"/>
          <w:sz w:val="26"/>
        </w:rPr>
        <w:t>Trước hết căn cứ vào Luật Doanh nghiệp số 59/2020/QH14, được sửa đổi, bổ sung bởi Luật số 76/2025/QH15 được Quốc hội nước Cộng hòa xã hội chủ nghĩa Việt Nam thông qua ngày 17 tháng 6 năm 2020. Luật sửa đổi, bổ sung một số điều của Luật Doanh nghiệp ngày 17 tháng 6 năm 2025 . Căn cứ 137, Điều 138 và các Điều từ 139 đến 152 Luật Doanh nghiệp năm 2020.</w:t>
      </w:r>
    </w:p>
    <w:p>
      <w:pPr>
        <w:pStyle w:val="Normal"/>
        <w:spacing w:lineRule="auto" w:line="312" w:before="0" w:after="120"/>
        <w:ind w:firstLine="567"/>
        <w:jc w:val="both"/>
        <w:rPr/>
      </w:pPr>
      <w:r>
        <w:rPr>
          <w:rFonts w:eastAsia="Times New Roman" w:cs="Times New Roman"/>
          <w:color w:val="000000"/>
          <w:sz w:val="26"/>
        </w:rPr>
        <w:t>Để bảo đảm việc tổ chức và tiến hành Đại hội đồng cổ đông của Công ty được thực hiện đúng thẩm quyền, trình tự, thủ tục theo quy định của pháp luật, đồng thời đáp ứng đặc thù về cơ cấu cổ đông và định hướng hoạt động Fintech, chúng tôi tư vấn như sau:</w:t>
      </w:r>
    </w:p>
    <w:p>
      <w:pPr>
        <w:pStyle w:val="Heading3"/>
        <w:keepNext w:val="true"/>
        <w:spacing w:before="120" w:after="100"/>
        <w:rPr/>
      </w:pPr>
      <w:r>
        <w:rPr>
          <w:rFonts w:eastAsia="Times New Roman" w:cs="Times New Roman" w:ascii="Times New Roman" w:hAnsi="Times New Roman"/>
          <w:b/>
          <w:color w:val="000000"/>
          <w:sz w:val="26"/>
        </w:rPr>
        <w:t>3.1.1. Giới thiệu dịch vụ.</w:t>
      </w:r>
    </w:p>
    <w:p>
      <w:pPr>
        <w:pStyle w:val="Normal"/>
        <w:spacing w:lineRule="auto" w:line="312" w:before="0" w:after="120"/>
        <w:ind w:firstLine="567"/>
        <w:jc w:val="both"/>
        <w:rPr/>
      </w:pPr>
      <w:r>
        <w:rPr>
          <w:rFonts w:eastAsia="Times New Roman" w:cs="Times New Roman"/>
          <w:color w:val="000000"/>
          <w:sz w:val="26"/>
        </w:rPr>
        <w:t>Đại hội đồng cổ đông là cơ quan có thẩm quyền quyết định các vấn đề quan trọng của công ty cổ phần. Đối với doanh nghiệp cung ứng dịch vụ ví điện tử, việc tổ chức Đại hội đồng cổ đông cần bảo đảm đúng quy định của Luật Doanh nghiệp và phù hợp với các quy định pháp luật chuyên ngành. Do đó, việc tư vấn tổ chức Đại hội nhằm bảo đảm đúng thẩm quyền, trình tự, điều kiện tiến hành và hiệu lực của các nghị quyết được thông qua.</w:t>
      </w:r>
    </w:p>
    <w:p>
      <w:pPr>
        <w:pStyle w:val="Heading3"/>
        <w:keepNext w:val="true"/>
        <w:spacing w:before="120" w:after="100"/>
        <w:rPr/>
      </w:pPr>
      <w:r>
        <w:rPr>
          <w:rFonts w:eastAsia="Times New Roman" w:cs="Times New Roman" w:ascii="Times New Roman" w:hAnsi="Times New Roman"/>
          <w:b/>
          <w:color w:val="000000"/>
          <w:sz w:val="26"/>
        </w:rPr>
        <w:t>3.1.2. Nội dung dịch vụ.</w:t>
      </w:r>
    </w:p>
    <w:p>
      <w:pPr>
        <w:pStyle w:val="Normal"/>
        <w:spacing w:lineRule="auto" w:line="312" w:before="0" w:after="120"/>
        <w:ind w:hanging="0" w:start="0"/>
        <w:jc w:val="both"/>
        <w:rPr/>
      </w:pPr>
      <w:r>
        <w:rPr>
          <w:rFonts w:eastAsia="Times New Roman" w:cs="Times New Roman"/>
          <w:color w:val="000000"/>
          <w:sz w:val="26"/>
        </w:rPr>
        <w:t>- Xác định chủ thể có thẩm quyền triệu tập Đại hội đồng cổ đông và rà soát điều kiện triệu tập theo quy định của Luật Doanh nghiệp.</w:t>
      </w:r>
    </w:p>
    <w:p>
      <w:pPr>
        <w:pStyle w:val="Normal"/>
        <w:spacing w:lineRule="auto" w:line="312" w:before="0" w:after="120"/>
        <w:ind w:hanging="0" w:start="0"/>
        <w:jc w:val="both"/>
        <w:rPr/>
      </w:pPr>
      <w:r>
        <w:rPr>
          <w:rFonts w:eastAsia="Times New Roman" w:cs="Times New Roman"/>
          <w:color w:val="000000"/>
          <w:sz w:val="26"/>
        </w:rPr>
        <w:t>- Rà soát cơ cấu 05 cổ đông sáng lập, xác định quyền tham dự, biểu quyết và tỷ lệ sở hữu của từng cổ đông.</w:t>
      </w:r>
    </w:p>
    <w:p>
      <w:pPr>
        <w:pStyle w:val="Normal"/>
        <w:spacing w:lineRule="auto" w:line="312" w:before="0" w:after="120"/>
        <w:ind w:hanging="0" w:start="0"/>
        <w:jc w:val="both"/>
        <w:rPr/>
      </w:pPr>
      <w:r>
        <w:rPr>
          <w:rFonts w:eastAsia="Times New Roman" w:cs="Times New Roman"/>
          <w:color w:val="000000"/>
          <w:sz w:val="26"/>
        </w:rPr>
        <w:t>- Xây dựng chương trình họp, xác định các nội dung thuộc thẩm quyền quyết định của Đại hội đồng cổ đông, đặc biệt đối với vốn điều lệ, cơ cấu cổ phần, Điều lệ, nhân sự quản lý và định hướng hoạt động Fintech.</w:t>
      </w:r>
    </w:p>
    <w:p>
      <w:pPr>
        <w:pStyle w:val="Normal"/>
        <w:spacing w:lineRule="auto" w:line="312" w:before="0" w:after="120"/>
        <w:ind w:hanging="0" w:start="0"/>
        <w:jc w:val="both"/>
        <w:rPr/>
      </w:pPr>
      <w:r>
        <w:rPr>
          <w:rFonts w:eastAsia="Times New Roman" w:cs="Times New Roman"/>
          <w:color w:val="000000"/>
          <w:sz w:val="26"/>
        </w:rPr>
        <w:t>- Tư vấn trình tự, thời hạn và hình thức gửi thông báo mời họp; rà soát tài liệu phục vụ Đại hội đồng cổ đông theo quy định pháp luật.</w:t>
      </w:r>
    </w:p>
    <w:p>
      <w:pPr>
        <w:pStyle w:val="Normal"/>
        <w:spacing w:lineRule="auto" w:line="312" w:before="0" w:after="120"/>
        <w:ind w:hanging="0" w:start="0"/>
        <w:jc w:val="both"/>
        <w:rPr/>
      </w:pPr>
      <w:r>
        <w:rPr>
          <w:rFonts w:eastAsia="Times New Roman" w:cs="Times New Roman"/>
          <w:color w:val="000000"/>
          <w:sz w:val="26"/>
        </w:rPr>
        <w:t>- Tư vấn điều kiện tiến hành Đại hội, cách thức biểu quyết, tỷ lệ thông qua nghị quyết và xử lý các trường hợp cổ đông vắng mặt, ủy quyền hoặc không đồng ý với nội dung được đưa ra biểu quyết.</w:t>
      </w:r>
    </w:p>
    <w:p>
      <w:pPr>
        <w:pStyle w:val="Normal"/>
        <w:spacing w:lineRule="auto" w:line="312" w:before="0" w:after="120"/>
        <w:ind w:hanging="0" w:start="0"/>
        <w:jc w:val="both"/>
        <w:rPr/>
      </w:pPr>
      <w:r>
        <w:rPr>
          <w:rFonts w:eastAsia="Times New Roman" w:cs="Times New Roman"/>
          <w:color w:val="000000"/>
          <w:sz w:val="26"/>
        </w:rPr>
        <w:t>- Rà soát các nội dung liên quan đến hoạt động cung ứng dịch vụ ví điện tử, bảo đảm nghị quyết của Đại hội đồng cổ đông phù hợp với quy định pháp luật chuyên ngành và không vượt quá thẩm quyền của Đại hội.</w:t>
      </w:r>
    </w:p>
    <w:p>
      <w:pPr>
        <w:pStyle w:val="Normal"/>
        <w:spacing w:lineRule="auto" w:line="312" w:before="0" w:after="120"/>
        <w:ind w:hanging="0" w:start="0"/>
        <w:jc w:val="both"/>
        <w:rPr/>
      </w:pPr>
      <w:r>
        <w:rPr>
          <w:rFonts w:eastAsia="Times New Roman" w:cs="Times New Roman"/>
          <w:color w:val="000000"/>
          <w:sz w:val="26"/>
        </w:rPr>
        <w:t>- Soạn thảo Biên bản họp, Nghị quyết Đại hội đồng cổ đông và các tài liệu liên quan; rà soát tính thống nhất giữa diễn biến cuộc họp, kết quả biểu quyết và nội dung nghị quyết.</w:t>
      </w:r>
    </w:p>
    <w:p>
      <w:pPr>
        <w:pStyle w:val="Heading3"/>
        <w:keepNext w:val="true"/>
        <w:numPr>
          <w:ilvl w:val="0"/>
          <w:numId w:val="0"/>
        </w:numPr>
        <w:spacing w:before="120" w:after="100"/>
        <w:ind w:hanging="0" w:start="567"/>
        <w:rPr/>
      </w:pPr>
      <w:r>
        <w:rPr>
          <w:rFonts w:eastAsia="Times New Roman" w:cs="Times New Roman" w:ascii="Times New Roman" w:hAnsi="Times New Roman"/>
          <w:b/>
          <w:color w:val="000000"/>
          <w:sz w:val="26"/>
        </w:rPr>
        <w:t>3.1.3.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Dịch vụ áp dụng đối với công ty cổ phần, cổ đông, người đại diện theo ủy quyền, thành viên Hội đồng quản trị, Ban kiểm soát/Ủy ban kiểm toán và các cá nhân có liên quan đến việc triệu tập, tổ chức, tiến hành Đại hội đồng cổ đông, đặc biệt đối với doanh nghiệp hoạt động trong lĩnh vực Fintech, cung ứng dịch vụ ví điện tử.</w:t>
      </w:r>
    </w:p>
    <w:p>
      <w:pPr>
        <w:pStyle w:val="Normal"/>
        <w:spacing w:lineRule="auto" w:line="312" w:before="0" w:after="120"/>
        <w:ind w:firstLine="567"/>
        <w:jc w:val="both"/>
        <w:rPr/>
      </w:pPr>
      <w:r>
        <w:rPr>
          <w:rFonts w:eastAsia="Times New Roman" w:cs="Times New Roman"/>
          <w:color w:val="000000"/>
          <w:sz w:val="26"/>
        </w:rPr>
        <w:t>Thứ hai, về thời điểm và thời hạn áp dụng. Dịch vụ được thực hiện trước, trong và sau Đại hội đồng cổ đông. Trước Đại hội, tư vấn, chuẩn bị hồ sơ, tài liệu và thực hiện thủ tục triệu tập theo đúng thời hạn luật định; trong Đại hội, hỗ trợ kiểm tra tư cách cổ đông, điều kiện tiến hành, biểu quyết và thông qua nghị quyết; sau Đại hội, hoàn thiện Biên bản họp, Nghị quyết và các hồ sơ liên quan theo quy định pháp luật.</w:t>
      </w:r>
    </w:p>
    <w:p>
      <w:pPr>
        <w:pStyle w:val="Normal"/>
        <w:spacing w:lineRule="auto" w:line="312" w:before="0" w:after="120"/>
        <w:ind w:firstLine="567"/>
        <w:jc w:val="both"/>
        <w:rPr/>
      </w:pPr>
      <w:r>
        <w:rPr>
          <w:rFonts w:eastAsia="Times New Roman" w:cs="Times New Roman"/>
          <w:color w:val="000000"/>
          <w:sz w:val="26"/>
        </w:rPr>
        <w:t>Thứ ba, về thời hạn thực hiện. Thời hạn cung cấp dịch vụ được xác định theo kế hoạch tổ chức Đại hội và phải bảo đảm tuân thủ các thời hạn luật định về triệu tập, lập danh sách cổ đông, gửi thông báo mời họp và tiến hành Đại hội theo Điều 139, Điều 140, Điều 141, Điều 143 và Điều 145 Luật Doanh nghiệp 2020.</w:t>
      </w:r>
    </w:p>
    <w:p>
      <w:pPr>
        <w:pStyle w:val="Normal"/>
        <w:spacing w:lineRule="auto" w:line="312" w:before="0" w:after="120"/>
        <w:ind w:firstLine="567"/>
        <w:jc w:val="both"/>
        <w:rPr/>
      </w:pPr>
      <w:r>
        <w:rPr>
          <w:rFonts w:eastAsia="Times New Roman" w:cs="Times New Roman"/>
          <w:color w:val="000000"/>
          <w:sz w:val="26"/>
        </w:rPr>
        <w:t>Thứ tư, về phạm vi không bao gồm. Dịch vụ không bao gồm giải quyết tranh chấp, khiếu kiện giữa các cổ đông; thủ tục thay đổi đăng ký doanh nghiệp sau Đại hội; thủ tục xin giấy phép, chấp thuận chuyên ngành về ví điện tử; các chi phí nhà nước, công chứng, chứng thực và các chi phí phát sinh khác</w:t>
      </w:r>
    </w:p>
    <w:p>
      <w:pPr>
        <w:pStyle w:val="Heading3"/>
        <w:keepNext w:val="true"/>
        <w:spacing w:before="120" w:after="100"/>
        <w:rPr/>
      </w:pPr>
      <w:r>
        <w:rPr>
          <w:rFonts w:eastAsia="Times New Roman" w:cs="Times New Roman" w:ascii="Times New Roman" w:hAnsi="Times New Roman"/>
          <w:b/>
          <w:color w:val="000000"/>
          <w:sz w:val="26"/>
        </w:rPr>
        <w:t>3.1.4. Mục đích dịch vụ.</w:t>
      </w:r>
    </w:p>
    <w:p>
      <w:pPr>
        <w:pStyle w:val="Normal"/>
        <w:spacing w:lineRule="auto" w:line="312" w:before="0" w:after="120"/>
        <w:ind w:firstLine="567"/>
        <w:jc w:val="both"/>
        <w:rPr/>
      </w:pPr>
      <w:r>
        <w:rPr>
          <w:rFonts w:eastAsia="Times New Roman" w:cs="Times New Roman"/>
          <w:color w:val="000000"/>
          <w:sz w:val="26"/>
        </w:rPr>
        <w:t>Việc tư vấn nhằm bảo đảm Đại hội đồng cổ đông được triệu tập và tiến hành đúng thẩm quyền, trình tự, thủ tục; các nghị quyết được thông qua đúng tỷ lệ và không vượt quá thẩm quyền của Đại hội, qua đó hạn chế nguy cơ nghị quyết bị yêu cầu hủy bỏ, tranh chấp giữa các cổ đông và rủi ro pháp lý trong quá trình doanh nghiệp triển khai hoạt động cung ứng dịch vụ ví điện tử.</w:t>
      </w:r>
    </w:p>
    <w:p>
      <w:pPr>
        <w:pStyle w:val="Heading2"/>
        <w:keepNext w:val="true"/>
        <w:spacing w:before="120" w:after="100"/>
        <w:rPr/>
      </w:pPr>
      <w:r>
        <w:rPr>
          <w:rFonts w:eastAsia="Times New Roman" w:cs="Times New Roman" w:ascii="Times New Roman" w:hAnsi="Times New Roman"/>
          <w:b/>
          <w:color w:val="000000"/>
          <w:sz w:val="26"/>
        </w:rPr>
        <w:t>3.2. Hợp đồng lao động (*).</w:t>
      </w:r>
    </w:p>
    <w:p>
      <w:pPr>
        <w:pStyle w:val="Heading3"/>
        <w:keepNext w:val="true"/>
        <w:spacing w:before="120" w:after="100"/>
        <w:rPr/>
      </w:pPr>
      <w:r>
        <w:rPr>
          <w:rFonts w:eastAsia="Times New Roman" w:cs="Times New Roman" w:ascii="Times New Roman" w:hAnsi="Times New Roman"/>
          <w:b/>
          <w:color w:val="000000"/>
          <w:sz w:val="26"/>
        </w:rPr>
        <w:t>3.2.1. Giới thiệu dịch vụ.</w:t>
      </w:r>
    </w:p>
    <w:p>
      <w:pPr>
        <w:pStyle w:val="Normal"/>
        <w:spacing w:lineRule="auto" w:line="312" w:before="0" w:after="120"/>
        <w:ind w:firstLine="567"/>
        <w:jc w:val="both"/>
        <w:rPr/>
      </w:pPr>
      <w:r>
        <w:rPr>
          <w:rFonts w:eastAsia="Times New Roman" w:cs="Times New Roman"/>
          <w:color w:val="000000"/>
          <w:sz w:val="26"/>
        </w:rPr>
        <w:t>Cũng giống như các doanh nghiệp kinh doanh trong các lĩnh vực khác, hợp đồng lao động là nền tảng để các bên có thể hợp tác và thực hiện các giao dịch một cách rõ ràng và là cơ sở để hình thành quan hệ lao động cá nhân. Hợp đồng lao động trong doanh nghiệp hoạt động trong lĩnh vực Fintech cung cấp dịch vụ ví điện tử có vị trí đặc biệt hơn hợp đồng lao động trong nhiều doanh nghiệp thông thường, không phải vì nó trở thành một loại hợp đồng hoàn toàn khác về bản chất, mà vì đối tượng công việc, mức độ rủi ro, yêu cầu về nhân sự và trách nhiệm tuân thủ của người lao động cao hơn đáng kể. Theo đó, tại khoản 2 Điều 13 Bộ luật Lao động 2019 quy định như sau: “Trước khi nhận người lao động vào làm việc thì người sử dụng lao động phải giao kết hợp đồng lao động với người lao động.” có thể thấy rằng việc giao kết hợp đồng lao động giữa người sử dụng lao động và người lao động là hoạt động pháp lý bắt buộc đối với tất cả doanh nghiệp và không có ngoại lệ. Điều này đặc biệt quan trọng với doanh nghiệp, do đặc thù hoạt động dựa nhiều vào nhân sự công nghệ, dữ liệu, tài chính, pháp chế, vận hành hệ thống,… doanh nghiệp thường có nhiều nhóm nhân sự và cộng tác viên. Việc phân định rõ hợp đồng lao động - hợp đồng dịch vụ - hợp đồng hợp tác ngay từ đầu giúp hạn chế rủi ro doanh nghiệp sử dụng một hợp đồng có tên gọi khác nhưng thực chất lại là quan hệ lao động gây hiểu lầm và phát sinh tranh chấp với người lao động.</w:t>
      </w:r>
    </w:p>
    <w:p>
      <w:pPr>
        <w:pStyle w:val="Heading3"/>
        <w:keepNext w:val="true"/>
        <w:spacing w:before="120" w:after="100"/>
        <w:rPr/>
      </w:pPr>
      <w:r>
        <w:rPr>
          <w:rFonts w:eastAsia="Times New Roman" w:cs="Times New Roman" w:ascii="Times New Roman" w:hAnsi="Times New Roman"/>
          <w:b/>
          <w:color w:val="000000"/>
          <w:sz w:val="26"/>
        </w:rPr>
        <w:t>3.2.2. Nội dung dịch vụ.</w:t>
      </w:r>
    </w:p>
    <w:p>
      <w:pPr>
        <w:pStyle w:val="Normal"/>
        <w:spacing w:lineRule="auto" w:line="312" w:before="0" w:after="120"/>
        <w:ind w:firstLine="567"/>
        <w:jc w:val="both"/>
        <w:rPr/>
      </w:pPr>
      <w:r>
        <w:rPr>
          <w:rFonts w:eastAsia="Times New Roman" w:cs="Times New Roman"/>
          <w:color w:val="000000"/>
          <w:sz w:val="26"/>
        </w:rPr>
        <w:t>Về trình tự, thủ tục cần tuân thủ khi soạn thảo hợp đồng lao động mà nhóm các nhà đầu tư cần chuẩn bị như sau:</w:t>
      </w:r>
    </w:p>
    <w:p>
      <w:pPr>
        <w:pStyle w:val="Normal"/>
        <w:spacing w:lineRule="auto" w:line="312" w:before="0" w:after="120"/>
        <w:ind w:hanging="0" w:start="0"/>
        <w:jc w:val="both"/>
        <w:rPr/>
      </w:pPr>
      <w:r>
        <w:rPr>
          <w:rFonts w:eastAsia="Times New Roman" w:cs="Times New Roman"/>
          <w:color w:val="000000"/>
          <w:sz w:val="26"/>
        </w:rPr>
        <w:t>Bước 1: Chuẩn bị thông tin cần thiết của doanh nghiệp</w:t>
      </w:r>
    </w:p>
    <w:p>
      <w:pPr>
        <w:pStyle w:val="Normal"/>
        <w:spacing w:lineRule="auto" w:line="312" w:before="0" w:after="120"/>
        <w:ind w:hanging="0" w:start="0"/>
        <w:jc w:val="both"/>
        <w:rPr/>
      </w:pPr>
      <w:r>
        <w:rPr>
          <w:rFonts w:eastAsia="Times New Roman" w:cs="Times New Roman"/>
          <w:color w:val="000000"/>
          <w:sz w:val="26"/>
        </w:rPr>
        <w:t>Bước 2: Soạn thảo hợp đồng lao động</w:t>
      </w:r>
    </w:p>
    <w:p>
      <w:pPr>
        <w:pStyle w:val="Normal"/>
        <w:spacing w:lineRule="auto" w:line="312" w:before="0" w:after="120"/>
        <w:ind w:hanging="0" w:start="0"/>
        <w:jc w:val="both"/>
        <w:rPr/>
      </w:pPr>
      <w:r>
        <w:rPr>
          <w:rFonts w:eastAsia="Times New Roman" w:cs="Times New Roman"/>
          <w:color w:val="000000"/>
          <w:sz w:val="26"/>
        </w:rPr>
        <w:t>Bước 3: Kiểm tra, rà soát nội dung hợp đồng</w:t>
      </w:r>
    </w:p>
    <w:p>
      <w:pPr>
        <w:pStyle w:val="Normal"/>
        <w:spacing w:lineRule="auto" w:line="312" w:before="0" w:after="120"/>
        <w:ind w:hanging="0" w:start="0"/>
        <w:jc w:val="both"/>
        <w:rPr/>
      </w:pPr>
      <w:r>
        <w:rPr>
          <w:rFonts w:eastAsia="Times New Roman" w:cs="Times New Roman"/>
          <w:color w:val="000000"/>
          <w:sz w:val="26"/>
        </w:rPr>
        <w:t>Bước 4: Ký kết hợp đồng</w:t>
      </w:r>
    </w:p>
    <w:p>
      <w:pPr>
        <w:pStyle w:val="Normal"/>
        <w:spacing w:lineRule="auto" w:line="312" w:before="0" w:after="120"/>
        <w:ind w:firstLine="567"/>
        <w:jc w:val="both"/>
        <w:rPr/>
      </w:pPr>
      <w:r>
        <w:rPr>
          <w:rFonts w:eastAsia="Times New Roman" w:cs="Times New Roman"/>
          <w:color w:val="000000"/>
          <w:sz w:val="26"/>
        </w:rPr>
        <w:t>Xây dựng mẫu hợp đồng lao động xác định thời hạn hoặc hợp đồng lao động không xác định thời hạn tùy thuộc vào thỏa thuận của nhóm nhà đầu tư đối với người lao động. Đồng thời thiết kế về điều khoản hợp đồng lao động phù hợp đối với từng vị trí đảm nhận của nhân sự (giao dịch viên, chuyên viên lập trình, chuyên viên vận hành hệ thống,…) cũng như từng bộ phận trong doanh nghiệp (bộ phận chăm sóc khách hàng, bộ phận công nghệ và phát triển sản phẩm, bộ phận phân tích dữ liệu,…). Đặc biệt là những điều khoản về bí mật kinh doanh, bí mật công nghệ, thông tin khách hàng, thông tin đối tác ngân hàng, thông tin về hệ thống bảo mật nội bộ.</w:t>
      </w:r>
    </w:p>
    <w:p>
      <w:pPr>
        <w:pStyle w:val="Normal"/>
        <w:spacing w:lineRule="auto" w:line="312" w:before="0" w:after="120"/>
        <w:ind w:firstLine="567"/>
        <w:jc w:val="both"/>
        <w:rPr/>
      </w:pPr>
      <w:r>
        <w:rPr>
          <w:rFonts w:eastAsia="Times New Roman" w:cs="Times New Roman"/>
          <w:color w:val="000000"/>
          <w:sz w:val="26"/>
        </w:rPr>
        <w:t>Ngoài ra, hỗ trợ doanh nghiệp trong việc xác định căn cứ chấm dứt hợp đồng lao động đối với nhân sự: về thời hạn báo trước để tránh doanh nghiệp rơi vào trạng thái bị động gây gián đoạn hệ thống nếu chẳng hạn như vị trí đó đòi hỏi nhân sự phải có trình độ chuyên môn cao không phải dễ dàng có thể tuyển được, về nghĩa vụ thanh toán (tiền lương, trợ cấp,…) chưa được thanh toán để tránh phát sinh tranh chấp sau khi chấm dứt hợp đồng lao động, về nghĩa vụ bàn giao tài sản và thu hồi quyền truy cập hệ thống để tránh nguy cơ sử dụng và truy cập trái phép khi đã chấm dứt hợp đồng lao động.</w:t>
      </w:r>
    </w:p>
    <w:p>
      <w:pPr>
        <w:pStyle w:val="Normal"/>
        <w:spacing w:lineRule="auto" w:line="312" w:before="0" w:after="120"/>
        <w:ind w:firstLine="567"/>
        <w:jc w:val="both"/>
        <w:rPr/>
      </w:pPr>
      <w:r>
        <w:rPr>
          <w:rFonts w:eastAsia="Times New Roman" w:cs="Times New Roman"/>
          <w:color w:val="000000"/>
          <w:sz w:val="26"/>
        </w:rPr>
        <w:t>Căn cứ vào khoản 3 Điều 18 Bộ luật Lao động 2019 để xác định thẩm quyền ký hợp đồng lao động của doanh nghiệp.</w:t>
      </w:r>
    </w:p>
    <w:p>
      <w:pPr>
        <w:pStyle w:val="Heading3"/>
        <w:keepNext w:val="true"/>
        <w:spacing w:before="120" w:after="100"/>
        <w:rPr/>
      </w:pPr>
      <w:r>
        <w:rPr>
          <w:rFonts w:eastAsia="Times New Roman" w:cs="Times New Roman" w:ascii="Times New Roman" w:hAnsi="Times New Roman"/>
          <w:b/>
          <w:color w:val="000000"/>
          <w:sz w:val="26"/>
        </w:rPr>
        <w:t>3.2.3. Phạm vi dịch vụ.</w:t>
      </w:r>
    </w:p>
    <w:p>
      <w:pPr>
        <w:pStyle w:val="Normal"/>
        <w:spacing w:lineRule="auto" w:line="312" w:before="0" w:after="120"/>
        <w:ind w:firstLine="567"/>
        <w:jc w:val="both"/>
        <w:rPr/>
      </w:pPr>
      <w:r>
        <w:rPr>
          <w:rFonts w:eastAsia="Times New Roman" w:cs="Times New Roman"/>
          <w:color w:val="000000"/>
          <w:sz w:val="26"/>
        </w:rPr>
        <w:t>Nội dung của hợp đồng ngoài những điều khoản cụ thể về quyền và nghĩa vụ của mỗi bên thì phải có những thông tin tối thiểu được quy định tại khoản 1 Điều 21 Bộ luật Lao động 2019.</w:t>
      </w:r>
    </w:p>
    <w:p>
      <w:pPr>
        <w:pStyle w:val="Normal"/>
        <w:spacing w:lineRule="auto" w:line="312" w:before="0" w:after="120"/>
        <w:ind w:firstLine="567"/>
        <w:jc w:val="both"/>
        <w:rPr/>
      </w:pPr>
      <w:r>
        <w:rPr>
          <w:rFonts w:eastAsia="Times New Roman" w:cs="Times New Roman"/>
          <w:color w:val="000000"/>
          <w:sz w:val="26"/>
        </w:rPr>
        <w:t>Hơn nữa, do doanh nghiệp hoạt động trong lĩnh vực Fintech cung ứng dịch vụ ví điện tử có liên quan trực tiếp đến bí mật công nghệ như mã nguồn, API, cơ chế xác thực, kiến trúc hệ thống ví,…nên cần phải có thêm thỏa thuận bằng văn bản với người lao động về nội dung, thời hạn bảo vệ bí mật kinh doanh, bảo vệ bí mật công nghệ, quyền lợi và việc bồi thường trong trường hợp vi phạm theo quy định tại khoản 2 Điều 21 Bộ luật Lao động 2019 để kiểm soát rủi ro xuất phát từ việc người lao động tiếp cận mã nguồn, dữ liệu khách hàng, thông tin giao dịch, thuật toán, kiến trúc hệ thống, cơ chế bảo mật, chiến lược kinh doanh và các thông tin mật khác của doanh nghiệp tiết lộ hoặc sử dụng trái phép thông tin sau khi chấm dứt quan hệ lao động. Thỏa thuận về bảo vệ bí mật kinh doanh, bí mật công nghệ có thể gồm những nội dung chủ yếu được quy định cụ thể tại Điều 4 Thông tư 10/2020/TT/BLĐTBXH.</w:t>
      </w:r>
    </w:p>
    <w:p>
      <w:pPr>
        <w:pStyle w:val="Heading3"/>
        <w:keepNext w:val="true"/>
        <w:spacing w:before="120" w:after="100"/>
        <w:rPr/>
      </w:pPr>
      <w:r>
        <w:rPr>
          <w:rFonts w:eastAsia="Times New Roman" w:cs="Times New Roman" w:ascii="Times New Roman" w:hAnsi="Times New Roman"/>
          <w:b/>
          <w:color w:val="000000"/>
          <w:sz w:val="26"/>
        </w:rPr>
        <w:t>3.2.4. Mục đích dịch vụ.</w:t>
      </w:r>
    </w:p>
    <w:p>
      <w:pPr>
        <w:pStyle w:val="Normal"/>
        <w:spacing w:lineRule="auto" w:line="312" w:before="0" w:after="120"/>
        <w:ind w:firstLine="567"/>
        <w:jc w:val="both"/>
        <w:rPr/>
      </w:pPr>
      <w:r>
        <w:rPr>
          <w:rFonts w:eastAsia="Times New Roman" w:cs="Times New Roman"/>
          <w:color w:val="000000"/>
          <w:sz w:val="26"/>
        </w:rPr>
        <w:t>Đối với mô hình ví điện tử, có thể thấy rằng hợp đồng lao động không chỉ là công cụ xác lập quan hệ lao động mà còn là một hành lang pháp lý bảo vệ hệ thống thanh toán, thông tin giao dịch, dữ liệu khách hàng và tài sản của doanh nghiệp, giải quyết rủi ro phát sinh, tranh chấp lao động xuất phát từ bên trong doanh nghiệp. Cụ thể:</w:t>
      </w:r>
    </w:p>
    <w:p>
      <w:pPr>
        <w:pStyle w:val="Normal"/>
        <w:spacing w:lineRule="auto" w:line="312" w:before="0" w:after="120"/>
        <w:ind w:firstLine="567"/>
        <w:jc w:val="both"/>
        <w:rPr/>
      </w:pPr>
      <w:r>
        <w:rPr>
          <w:rFonts w:eastAsia="Times New Roman" w:cs="Times New Roman"/>
          <w:color w:val="000000"/>
          <w:sz w:val="26"/>
        </w:rPr>
        <w:t>Thứ nhất, hợp đồng lao động là cơ sở phân định quyền và nghĩa vụ cũng như trách nhiệm của nhân sự trong từng bộ phận đối với những vị trí có khả năng tác động trực tiếp đến hệ thống ví điện tử, chẳng hạn như một nhân viên kỹ thuật có quyền truy cập hệ thống có thể không trực tiếp giữ tiền của khách hàng nhưng lại có khả năng tác động đến hệ thống xử lý giao dịch. Do đó, hợp đồng lao động cần xác định rõ những hệ thống người lao động được phép truy cập cũng như những dữ liệu được phép sử dụng và khi vi phạm quy trình bảo mật thì phải chịu trách nhiệm như thế nào. Ví dụ: Nhân viên phát triển phần mềm có trách nhiệm gì đối với mã nguồn? Nhân viên vận hành hệ thống có được truy cập dữ liệu khách hàng không? Nhân viên có được sao chép dữ liệu ra thiết bị cá nhân không?</w:t>
      </w:r>
    </w:p>
    <w:p>
      <w:pPr>
        <w:pStyle w:val="Normal"/>
        <w:spacing w:lineRule="auto" w:line="312" w:before="0" w:after="120"/>
        <w:ind w:firstLine="567"/>
        <w:jc w:val="both"/>
        <w:rPr/>
      </w:pPr>
      <w:r>
        <w:rPr>
          <w:rFonts w:eastAsia="Times New Roman" w:cs="Times New Roman"/>
          <w:color w:val="000000"/>
          <w:sz w:val="26"/>
        </w:rPr>
        <w:t>Thứ hai, hợp đồng lao động là công cụ bảo vệ dữ liệu khách hàng. Bởi ví điện tử gắn với một lượng lớn dữ liệu liên quan đến thông tin cá nhân của khách hàng như: họ tên, ngày tháng năm sinh, số điện thoại, thông tin tài khoản, lịch sử giao dịch, căn cước công dân,…nhân sự có thể lợi dụng quyền truy cập lấy thông tin khách hàng để sử dụng ngoài mục đích công việc. Do đó, điều khoản về bảo mật thông tin dữ liệu khách hàng trong hợp đồng lao động có giá trị quản trị rủi ro rất lớn.</w:t>
      </w:r>
    </w:p>
    <w:p>
      <w:pPr>
        <w:pStyle w:val="Normal"/>
        <w:spacing w:lineRule="auto" w:line="312" w:before="0" w:after="120"/>
        <w:ind w:firstLine="567"/>
        <w:jc w:val="both"/>
        <w:rPr/>
      </w:pPr>
      <w:r>
        <w:rPr>
          <w:rFonts w:eastAsia="Times New Roman" w:cs="Times New Roman"/>
          <w:color w:val="000000"/>
          <w:sz w:val="26"/>
        </w:rPr>
        <w:t>Thứ ba, hợp đồng lao động giúp doanh nghiệp bảo vệ tài sản trí tuệ và bí mật kinh doanh cũng như tài sản doanh nghiệp. Người lao động trong doanh nghiệp như đội ngũ lập trình, công nghệ và an ninh thông tin, có thể trực tiếp tham gia xây dựng, vận hành và kiểm soát hệ thống xử lý giao dịch tài chính, đồng thời tiếp cận mã nguồn, dữ liệu khách hàng, hệ thống bảo mật và các bí mật công nghệ của doanh nghiệp. Hơn nữa, công nghệ của Fintech có tính liên kết và phức tạp cao doanh nghiệp mất rất nhiều tiền và chất xám để xây dựng hệ thống ví điện tử, nếu như không có điều khoản về điều này mà nhân viên lập trình nội bộ sao chép, tiết lộ hoặc sử dụng cho doanh nghiệp khác, doanh nghiệp có thể phải đối mặt với nguy cơ mất lợi thế cạnh tranh và phát sinh tranh chấp về quyền sở hữu trí tuệ, bí mật kinh doanh có thể gây nên thiệt hại rất lớn cho nhóm các nhà đầu tư.</w:t>
      </w:r>
    </w:p>
    <w:p>
      <w:pPr>
        <w:pStyle w:val="Heading2"/>
        <w:keepNext w:val="true"/>
        <w:spacing w:before="120" w:after="100"/>
        <w:rPr/>
      </w:pPr>
      <w:r>
        <w:rPr>
          <w:rFonts w:eastAsia="Times New Roman" w:cs="Times New Roman" w:ascii="Times New Roman" w:hAnsi="Times New Roman"/>
          <w:b/>
          <w:color w:val="000000"/>
          <w:sz w:val="26"/>
        </w:rPr>
        <w:t>3.3. Hợp đồng bảo mật thông tin (*).</w:t>
      </w:r>
    </w:p>
    <w:p>
      <w:pPr>
        <w:pStyle w:val="Heading3"/>
        <w:keepNext w:val="true"/>
        <w:spacing w:before="120" w:after="100"/>
        <w:rPr/>
      </w:pPr>
      <w:r>
        <w:rPr>
          <w:rFonts w:eastAsia="Times New Roman" w:cs="Times New Roman" w:ascii="Times New Roman" w:hAnsi="Times New Roman"/>
          <w:b/>
          <w:color w:val="000000"/>
          <w:sz w:val="26"/>
        </w:rPr>
        <w:t>3.3.1. Giới thiệu dịch vụ.</w:t>
      </w:r>
    </w:p>
    <w:p>
      <w:pPr>
        <w:pStyle w:val="Normal"/>
        <w:spacing w:lineRule="auto" w:line="312" w:before="0" w:after="120"/>
        <w:ind w:firstLine="567"/>
        <w:jc w:val="both"/>
        <w:rPr/>
      </w:pPr>
      <w:r>
        <w:rPr>
          <w:rFonts w:eastAsia="Times New Roman" w:cs="Times New Roman"/>
          <w:color w:val="000000"/>
          <w:sz w:val="26"/>
        </w:rPr>
        <w:t>Dịch vụ tư vấn nhằm hỗ trợ Công ty xây dựng hệ thống hồ sơ bảo mật phù hợp với hoạt động fintech. Nội dung tập trung vào việc xác định, phân loại và bảo vệ các thông tin quan trọng như dữ liệu khách hàng, thông tin giao dịch, bí mật kinh doanh, mã nguồn và tài liệu công nghệ; xây dựng quy chế bảo mật, NDA, cơ chế phân quyền và quy trình xử lý sự cố. Qua đó, Công ty có cơ sở pháp lý để kiểm soát việc tiếp cận và sử dụng thông tin, bảo vệ tài sản và dữ liệu, hạn chế rủi ro rò rỉ thông tin và các tranh chấp pháp lý trong quá trình hoạt động.</w:t>
      </w:r>
    </w:p>
    <w:p>
      <w:pPr>
        <w:pStyle w:val="Heading3"/>
        <w:keepNext w:val="true"/>
        <w:spacing w:before="120" w:after="100"/>
        <w:rPr/>
      </w:pPr>
      <w:r>
        <w:rPr>
          <w:rFonts w:eastAsia="Times New Roman" w:cs="Times New Roman" w:ascii="Times New Roman" w:hAnsi="Times New Roman"/>
          <w:b/>
          <w:color w:val="000000"/>
          <w:sz w:val="26"/>
        </w:rPr>
        <w:t>3.3.2. Nội dung dịch vụ.</w:t>
      </w:r>
    </w:p>
    <w:p>
      <w:pPr>
        <w:pStyle w:val="Normal"/>
        <w:spacing w:lineRule="auto" w:line="312" w:before="0" w:after="120"/>
        <w:ind w:firstLine="567"/>
        <w:jc w:val="both"/>
        <w:rPr/>
      </w:pPr>
      <w:r>
        <w:rPr>
          <w:rFonts w:eastAsia="Times New Roman" w:cs="Times New Roman"/>
          <w:color w:val="000000"/>
          <w:sz w:val="26"/>
        </w:rPr>
        <w:t>Thứ nhất, xác định đối tượng cần bảo mật: (1) Thông tin khách hàng, (2) Dữ liệu giao dịch, (3) Thông tin tài chính, (4) Bí mật kinh doanh, (5) Cơ sở dữ liệu, (6) Thông tin về sản phẩm dịch vụ, (7) Chiến lược kinh doanh, (8) Hợp đồng và thông tin của đối tác, (9) Tài liệu, (10) Quy trình nội bộ.</w:t>
      </w:r>
    </w:p>
    <w:p>
      <w:pPr>
        <w:pStyle w:val="Normal"/>
        <w:spacing w:lineRule="auto" w:line="312" w:before="0" w:after="120"/>
        <w:ind w:firstLine="567"/>
        <w:jc w:val="both"/>
        <w:rPr/>
      </w:pPr>
      <w:r>
        <w:rPr>
          <w:rFonts w:eastAsia="Times New Roman" w:cs="Times New Roman"/>
          <w:color w:val="000000"/>
          <w:sz w:val="26"/>
        </w:rPr>
        <w:t>Thứ hai, xác định chủ thể có quyền tiếp cận thông tin. Doanh nghiệp cần xây dựng cơ chế phân quyền theo chức năng, vị trí và nhu cầu công việc.</w:t>
      </w:r>
    </w:p>
    <w:p>
      <w:pPr>
        <w:pStyle w:val="Normal"/>
        <w:spacing w:lineRule="auto" w:line="312" w:before="0" w:after="120"/>
        <w:ind w:firstLine="567"/>
        <w:jc w:val="both"/>
        <w:rPr/>
      </w:pPr>
      <w:r>
        <w:rPr>
          <w:rFonts w:eastAsia="Times New Roman" w:cs="Times New Roman"/>
          <w:color w:val="000000"/>
          <w:sz w:val="26"/>
        </w:rPr>
        <w:t>Thứ ba, xác định nghĩa vụ bảo mật. Doanh nghiệp cần quy định rõ nghĩa vụ của người lao động và các bên có liên quan trong công việc: không được tiết lộ thông tin, không sử dụng thông tin ngoài mục đích được phép, không sao chép hoặc chuyển giao trái quyền và bảo quản thông tin trong thời gian làm việc.</w:t>
      </w:r>
    </w:p>
    <w:p>
      <w:pPr>
        <w:pStyle w:val="Normal"/>
        <w:spacing w:lineRule="auto" w:line="312" w:before="0" w:after="120"/>
        <w:ind w:firstLine="567"/>
        <w:jc w:val="both"/>
        <w:rPr/>
      </w:pPr>
      <w:r>
        <w:rPr>
          <w:rFonts w:eastAsia="Times New Roman" w:cs="Times New Roman"/>
          <w:color w:val="000000"/>
          <w:sz w:val="26"/>
        </w:rPr>
        <w:t>Thứ tư, xác định trách nhiệm khi vi phạm. Hồ sơ cần quy định biện pháp xử lý khi có hành vi làm mất, tiết lộ hoặc sử dụng trái phép thông tin, bao gồm trách nhiệm theo hợp đồng, trách nhiệm bồi thường và các trách nhiệm pháp lý khác nếu có.</w:t>
      </w:r>
    </w:p>
    <w:p>
      <w:pPr>
        <w:pStyle w:val="Normal"/>
        <w:spacing w:lineRule="auto" w:line="312" w:before="0" w:after="120"/>
        <w:ind w:firstLine="567"/>
        <w:jc w:val="both"/>
        <w:rPr/>
      </w:pPr>
      <w:r>
        <w:rPr>
          <w:rFonts w:eastAsia="Times New Roman" w:cs="Times New Roman"/>
          <w:color w:val="000000"/>
          <w:sz w:val="26"/>
        </w:rPr>
        <w:t>Thứ năm, bảo đảm tuân thủ pháp luật về dữ liệu cá nhân. Đây là vấn đề đặc biệt quan trọng vì doanh nghiệp có thể xử lý dữ liệu của khách hàng, người lao động và đối tác. Hồ sơ bảo mật cần phải được thiết kế đồng bộ với các quy định của pháp luật hiện hành về bảo vệ dữ liệu cá nhân.</w:t>
      </w:r>
    </w:p>
    <w:p>
      <w:pPr>
        <w:pStyle w:val="Heading3"/>
        <w:keepNext w:val="true"/>
        <w:spacing w:before="120" w:after="100"/>
        <w:rPr/>
      </w:pPr>
      <w:r>
        <w:rPr>
          <w:rFonts w:eastAsia="Times New Roman" w:cs="Times New Roman" w:ascii="Times New Roman" w:hAnsi="Times New Roman"/>
          <w:b/>
          <w:color w:val="000000"/>
          <w:sz w:val="26"/>
        </w:rPr>
        <w:t>3.3.3. Phạm vi dịch vụ.</w:t>
      </w:r>
    </w:p>
    <w:p>
      <w:pPr>
        <w:pStyle w:val="Normal"/>
        <w:spacing w:lineRule="auto" w:line="312" w:before="0" w:after="120"/>
        <w:ind w:firstLine="567"/>
        <w:jc w:val="both"/>
        <w:rPr/>
      </w:pPr>
      <w:r>
        <w:rPr>
          <w:rFonts w:eastAsia="Times New Roman" w:cs="Times New Roman"/>
          <w:color w:val="000000"/>
          <w:sz w:val="26"/>
        </w:rPr>
        <w:t>Hồ sơ bảo mật được sử dụng đối với Công ty ví điện tử và cá nhân, tổ chức có liên quan đến việc tiếp cận, quản lý, sử dụng và xử lý các thông tin của công ty,trong đó bao gồm người lao động, nhân viên, cộng tác viên, đối tác, nhà cung cấp dịch vụ và bên thứ ba được quyền tiếp cận đến thông tin. Đối tượng bảo mật gồm dữ liệu của khách hàng, các thông tin giao dịch, thông tin tài khoản, bí mật kinh doanh, mã nguồn, thuật toán, tài liệu kỹ thuật, thông tin nội bộ và các thông tin liên quan khác được công ty xác định là thông tin mật.</w:t>
      </w:r>
    </w:p>
    <w:p>
      <w:pPr>
        <w:pStyle w:val="Normal"/>
        <w:spacing w:lineRule="auto" w:line="312" w:before="0" w:after="120"/>
        <w:ind w:firstLine="567"/>
        <w:jc w:val="both"/>
        <w:rPr/>
      </w:pPr>
      <w:r>
        <w:rPr>
          <w:rFonts w:eastAsia="Times New Roman" w:cs="Times New Roman"/>
          <w:color w:val="000000"/>
          <w:sz w:val="26"/>
        </w:rPr>
        <w:t>Các quy định liên quan đến bảo mật được áp dụng bắt đầu từ thời điểm cá nhân, tổ chức được tiếp cận hoặc xử lý thông tin mật của công ty và trong khoảng thời gian có quan hệ lao động, hợp tác hoặc cung cấp dịch vụ. Còn đối với các thông tin có tính chất bí mật, nghĩa vụ bảo mật vẫn có thể tiếp tục được duy trì sau khi quan hệ lao động chấm dứt hoặc hợp tác trong thời hạn do các bên thỏa thuận hoặc cho đến khi thông tin đã không còn đáp ứng điều kiện để được bảo vệ theo quy định pháp luật.</w:t>
      </w:r>
    </w:p>
    <w:p>
      <w:pPr>
        <w:pStyle w:val="Normal"/>
        <w:spacing w:lineRule="auto" w:line="312" w:before="0" w:after="120"/>
        <w:ind w:firstLine="567"/>
        <w:jc w:val="both"/>
        <w:rPr/>
      </w:pPr>
      <w:r>
        <w:rPr>
          <w:rFonts w:eastAsia="Times New Roman" w:cs="Times New Roman"/>
          <w:color w:val="000000"/>
          <w:sz w:val="26"/>
        </w:rPr>
        <w:t>Việc mà thu thập, sử dụng, lưu trữ, cung cấp và xử lý thông tin thì phải tuân thủ theo quy định pháp luật về bảo vệ dữ liệu cá nhân, an toàn thông tin và bí mật kinh doanh. Còn đối với dữ liệu cá nhân của khách hàng, việc xử lý này phải phù hợp với Luật Bảo vệ dữ liệu cá nhân 2025 và Nghị định 356/2025/NĐ-CP. Với bí mật kinh doanh, thông tin phải đáp ứng đủ điều kiện bảo hộ theo Điều 84 Luật Sở hữu trí tuệ. Công ty không được phép thỏa thuận hoặc áp dụng những biện pháp bảo mật nhằm hạn chế những quyền mà pháp luật có quy định bắt buộc phải bảo đảm cho khách hàng, người lao động hoặc cơ quan nhà nước có thẩm quyền.</w:t>
      </w:r>
    </w:p>
    <w:p>
      <w:pPr>
        <w:pStyle w:val="Normal"/>
        <w:spacing w:lineRule="auto" w:line="312" w:before="0" w:after="120"/>
        <w:ind w:firstLine="567"/>
        <w:jc w:val="both"/>
        <w:rPr/>
      </w:pPr>
      <w:r>
        <w:rPr>
          <w:rFonts w:eastAsia="Times New Roman" w:cs="Times New Roman"/>
          <w:color w:val="000000"/>
          <w:sz w:val="26"/>
        </w:rPr>
        <w:t>Dịch vụ tư vấn hồ sơ bảo mật sẽ không bao gồm những việc trực tiếp triển khai các giải pháp kỹ thuật về an ninh mạng như xây dựng hệ thống bảo mật, kiểm thử xâm nhập, giám sát an ninh mạng và khắc phục sự cố kỹ thuật hoặc điều tra số, trừ khi trường hợp có thỏa thuận riêng. Dịch vụ cũng không bao gồm những việc đại diện Công ty giải quyết tranh chấp hay khiếu nại hoặc tố tụng liên quan đến các hành vi vi phạm bảo mật nếu các nội dung này không có quy định riêng trong hợp đồng dịch vụ.</w:t>
      </w:r>
    </w:p>
    <w:p>
      <w:pPr>
        <w:pStyle w:val="Heading3"/>
        <w:keepNext w:val="true"/>
        <w:spacing w:before="120" w:after="100"/>
        <w:rPr/>
      </w:pPr>
      <w:r>
        <w:rPr>
          <w:rFonts w:eastAsia="Times New Roman" w:cs="Times New Roman" w:ascii="Times New Roman" w:hAnsi="Times New Roman"/>
          <w:b/>
          <w:color w:val="000000"/>
          <w:sz w:val="26"/>
        </w:rPr>
        <w:t>3.3.4. Mục đích dịch vụ.</w:t>
      </w:r>
    </w:p>
    <w:p>
      <w:pPr>
        <w:pStyle w:val="Normal"/>
        <w:spacing w:lineRule="auto" w:line="312" w:before="0" w:after="120"/>
        <w:ind w:firstLine="567"/>
        <w:jc w:val="both"/>
        <w:rPr/>
      </w:pPr>
      <w:r>
        <w:rPr>
          <w:rFonts w:eastAsia="Times New Roman" w:cs="Times New Roman"/>
          <w:color w:val="000000"/>
          <w:sz w:val="26"/>
        </w:rPr>
        <w:t>Thứ nhất,bảo vệ tài sản và lợi ích của doanh nghiệp. Hồ sơ bảo mật giúp doanh nghiệp bảo vệ các thông tin có giá trị như là dữ liệu của khách hàng, bí mật trong kinh doanh, công nghệ, chiến lược kinh doanh và thông tin tài chính.</w:t>
      </w:r>
    </w:p>
    <w:p>
      <w:pPr>
        <w:pStyle w:val="Normal"/>
        <w:spacing w:lineRule="auto" w:line="312" w:before="0" w:after="120"/>
        <w:ind w:firstLine="567"/>
        <w:jc w:val="both"/>
        <w:rPr/>
      </w:pPr>
      <w:r>
        <w:rPr>
          <w:rFonts w:eastAsia="Times New Roman" w:cs="Times New Roman"/>
          <w:color w:val="000000"/>
          <w:sz w:val="26"/>
        </w:rPr>
        <w:t>Thứ hai, bảo vệ khách hàng và dữ liệu cá nhân. Việc bảo mật không chỉ bảo vệ lợi ích của doanh nghiệp mà còn bảo vệ quyền và lợi ích hợp pháp của khách hàng. Có cơ chế bảo mật tốt sẽ làm giảm nguy cơ mất dữ liệu , lộ thông tin khách hàng, truy cập một cách trái phép và nguy cơ sử dụng dữ liệu sai mục đích.</w:t>
      </w:r>
    </w:p>
    <w:p>
      <w:pPr>
        <w:pStyle w:val="Normal"/>
        <w:spacing w:lineRule="auto" w:line="312" w:before="0" w:after="120"/>
        <w:ind w:firstLine="567"/>
        <w:jc w:val="both"/>
        <w:rPr/>
      </w:pPr>
      <w:r>
        <w:rPr>
          <w:rFonts w:eastAsia="Times New Roman" w:cs="Times New Roman"/>
          <w:color w:val="000000"/>
          <w:sz w:val="26"/>
        </w:rPr>
        <w:t>Thứ ba, tạo cơ sở pháp lý để xử vi phạm. Doanh nghiệp có cơ sở rõ ràng hơn để xác định hành vi vi phạm và áp dụng các biện pháp xử lý phù hợp.</w:t>
      </w:r>
    </w:p>
    <w:p>
      <w:pPr>
        <w:pStyle w:val="Normal"/>
        <w:spacing w:lineRule="auto" w:line="312" w:before="0" w:after="120"/>
        <w:ind w:firstLine="567"/>
        <w:jc w:val="both"/>
        <w:rPr/>
      </w:pPr>
      <w:r>
        <w:rPr>
          <w:rFonts w:eastAsia="Times New Roman" w:cs="Times New Roman"/>
          <w:color w:val="000000"/>
          <w:sz w:val="26"/>
        </w:rPr>
        <w:t>Thứ tư, nâng cao khả năng chứng minh quyền đối với bí mật kinh doanh. Biện pháp này giúp củng cố vị thế pháp lý của doanh nghiệp khi có tranh chấp.</w:t>
      </w:r>
    </w:p>
    <w:p>
      <w:pPr>
        <w:pStyle w:val="Normal"/>
        <w:spacing w:lineRule="auto" w:line="312" w:before="0" w:after="120"/>
        <w:ind w:firstLine="567"/>
        <w:jc w:val="both"/>
        <w:rPr/>
      </w:pPr>
      <w:r>
        <w:rPr>
          <w:rFonts w:eastAsia="Times New Roman" w:cs="Times New Roman"/>
          <w:color w:val="000000"/>
          <w:sz w:val="26"/>
        </w:rPr>
        <w:t>Thứ năm, giúp doanh nghiệp chuẩn hóa hoạt động quản trị nội bộ. Hồ sơ bảo mật tạo thành một quy trình thống nhất cho toàn doanh nghiệp thay vì mỗi phòng ban tự xử lý thông tin theo cách riêng.</w:t>
      </w:r>
    </w:p>
    <w:p>
      <w:pPr>
        <w:pStyle w:val="Heading2"/>
        <w:keepNext w:val="true"/>
        <w:spacing w:before="120" w:after="100"/>
        <w:rPr/>
      </w:pPr>
      <w:r>
        <w:rPr>
          <w:rFonts w:eastAsia="Times New Roman" w:cs="Times New Roman" w:ascii="Times New Roman" w:hAnsi="Times New Roman"/>
          <w:b/>
          <w:color w:val="000000"/>
          <w:sz w:val="26"/>
        </w:rPr>
        <w:t>3.4. Thỏa thuận sở hữu trí tuệ.</w:t>
      </w:r>
    </w:p>
    <w:p>
      <w:pPr>
        <w:pStyle w:val="Heading3"/>
        <w:keepNext w:val="true"/>
        <w:spacing w:before="120" w:after="100"/>
        <w:rPr/>
      </w:pPr>
      <w:r>
        <w:rPr>
          <w:rFonts w:eastAsia="Times New Roman" w:cs="Times New Roman" w:ascii="Times New Roman" w:hAnsi="Times New Roman"/>
          <w:b/>
          <w:color w:val="000000"/>
          <w:sz w:val="26"/>
        </w:rPr>
        <w:t>3.4.1. Giới thiệu dịch vụ.</w:t>
      </w:r>
    </w:p>
    <w:p>
      <w:pPr>
        <w:pStyle w:val="Normal"/>
        <w:spacing w:lineRule="auto" w:line="312" w:before="0" w:after="120"/>
        <w:ind w:firstLine="567"/>
        <w:jc w:val="both"/>
        <w:rPr/>
      </w:pPr>
      <w:r>
        <w:rPr>
          <w:rFonts w:eastAsia="Times New Roman" w:cs="Times New Roman"/>
          <w:color w:val="000000"/>
          <w:sz w:val="26"/>
        </w:rPr>
        <w:t>Dịch vụ tư vấn nhằm hỗ trợ cho công ty ví điện tử xây dựng văn bản thỏa thuận sở hữu trí tuệ nhằm để xác lập rõ quyền sở hữu, quyền sử dụng cùng với trách nhiệm của các bên đối với các tài sản trí tuệ được phát sinh trong quá trình hoạt động. Nội dung tư vấn tập trung vào việc xác định và bảo vệ các tài sản như phần mềm, mã nguồn, ứng dụng ví điện tử, giao diện, thuật toán, cơ sở dữ liệu, thương hiệu, logo, tài liệu công nghệ và bí mật kinh doanh. Qua đó, giúp công ty có cơ sở pháp lý vững chắc để quản lý và khai thác hiệu quả tài sản trí tuệ, hạn chế được các nguy cơ tranh chấp xảy ra về quyền sở hữu, quyền sử dụng và hành vi xâm phạm quyền sở hữu trí tuệ trong quá trình hoạt động kinh doanh.</w:t>
      </w:r>
    </w:p>
    <w:p>
      <w:pPr>
        <w:pStyle w:val="Heading3"/>
        <w:keepNext w:val="true"/>
        <w:spacing w:before="120" w:after="100"/>
        <w:rPr/>
      </w:pPr>
      <w:r>
        <w:rPr>
          <w:rFonts w:eastAsia="Times New Roman" w:cs="Times New Roman" w:ascii="Times New Roman" w:hAnsi="Times New Roman"/>
          <w:b/>
          <w:color w:val="000000"/>
          <w:sz w:val="26"/>
        </w:rPr>
        <w:t>3.4.2. Nội dung dịch vụ.</w:t>
      </w:r>
    </w:p>
    <w:p>
      <w:pPr>
        <w:pStyle w:val="Normal"/>
        <w:spacing w:lineRule="auto" w:line="312" w:before="0" w:after="120"/>
        <w:ind w:firstLine="567"/>
        <w:jc w:val="both"/>
        <w:rPr/>
      </w:pPr>
      <w:r>
        <w:rPr>
          <w:rFonts w:eastAsia="Times New Roman" w:cs="Times New Roman"/>
          <w:color w:val="000000"/>
          <w:sz w:val="26"/>
        </w:rPr>
        <w:t>Thứ nhất, xác định các tài sản sở hữu trí tuệ thuộc phạm vi trong thỏa thuận. Việc tư vấn để xác định các tài sản sở hữu trí tuệ của Công ty về ví điện tử, trong đó bao gồm chương trình máy tính, mã nguồn, giao diện ứng dụng, cơ sở dữ liệu, thương hiệu, logo, tài liệu kỹ thuật, sáng chế hoặc giải pháp kỹ thuật và bí mật kinh doanh. Còn đối với phần mềm, chương trình máy tính sẽ được bảo hộ theo các quy định về quyền tác giả tại Điều 22 Luật Sở hữu trí tuệ và bí mật kinh doanh được bảo hộ theo quy định tại Điều 84 Luật Sở hữu trí tuệ.</w:t>
      </w:r>
    </w:p>
    <w:p>
      <w:pPr>
        <w:pStyle w:val="Normal"/>
        <w:spacing w:lineRule="auto" w:line="312" w:before="0" w:after="120"/>
        <w:ind w:firstLine="567"/>
        <w:jc w:val="both"/>
        <w:rPr/>
      </w:pPr>
      <w:r>
        <w:rPr>
          <w:rFonts w:eastAsia="Times New Roman" w:cs="Times New Roman"/>
          <w:color w:val="000000"/>
          <w:sz w:val="26"/>
        </w:rPr>
        <w:t>Thứ hai, xác định được chủ sở hữu và các chủ thể có quyền đối với tài sản sở hữu trí tuệ. Việc tư vấn để xác định tác giả, chủ sở hữu quyền tác giả và quyền của công ty với các tài sản được tạo ra do nhân viên, do cộng tác viên hoặc do đối tác. Trong trường hợp công ty giao nhiệm vụ hoặc giao ký hợp đồng với tác giả để tạo ra sản phẩm, quyền sở hữu sẽ được xác định theo quy định tại Điều 39 Luật Sở hữu trí tuệ, trừ những trường hợp mà các bên có thỏa thuận khác. Trường hợp quyền tác giả được chuyển giao thì áp dụng theo Điều 41 Luật Sở hữu trí tuệ.</w:t>
      </w:r>
    </w:p>
    <w:p>
      <w:pPr>
        <w:pStyle w:val="Normal"/>
        <w:spacing w:lineRule="auto" w:line="312" w:before="0" w:after="120"/>
        <w:ind w:firstLine="567"/>
        <w:jc w:val="both"/>
        <w:rPr/>
      </w:pPr>
      <w:r>
        <w:rPr>
          <w:rFonts w:eastAsia="Times New Roman" w:cs="Times New Roman"/>
          <w:color w:val="000000"/>
          <w:sz w:val="26"/>
        </w:rPr>
        <w:t>Thứ ba, tư vấn phân biệt các tài sản sở hữu trí tuệ có trước và tài sản được tạo ra trong quá trình hợp tác. Tư vấn giúp rà soát và đưa ra phân định rõ tài sản trí tuệ mà mỗi bên đã sở hữu trước thời điểm ký kết với tài sản được đã được tạo ra trong quá trình thực hiện hợp đồng. Còn đối với tài sản mà phát sinh trong quá trình hợp tác, thì thỏa thuận phải cần xác định được rõ chủ sở hữu, phạm vi quyền sử dụng, khai thác và chuyển giao nhằm hạn chế tranh chấp. Nội dung này đã được xây dựng trên cơ sở tại Điều 385 và Điều 398 Bộ luật Dân sự 2015 liên quan đến hợp đồng và những nội dung thỏa thuận của các bên.</w:t>
      </w:r>
    </w:p>
    <w:p>
      <w:pPr>
        <w:pStyle w:val="Normal"/>
        <w:spacing w:lineRule="auto" w:line="312" w:before="0" w:after="120"/>
        <w:ind w:firstLine="567"/>
        <w:jc w:val="both"/>
        <w:rPr/>
      </w:pPr>
      <w:r>
        <w:rPr>
          <w:rFonts w:eastAsia="Times New Roman" w:cs="Times New Roman"/>
          <w:color w:val="000000"/>
          <w:sz w:val="26"/>
        </w:rPr>
        <w:t>Thứ tư, đưa ra tư vấn về những vấn đề quyền sở hữu và khai thác chương trình máy tính, mã nguồn và công nghệ. Tư vấn nhằm xác định được quyền đối với phần mềm, mã nguồn và các sản phẩm công nghệ được công ty hoặc nhân sự, đối tác tạo ra và cũng đồng thời quy định các quyền sửa chữa, nâng cấp, sao chép, sử dụng và khai thác phần mềm. Căn cứ theo Điều 22 của Luật Sở hữu trí tuệ và những quy định được hướng dẫn tại Nghị định 17/2023/NĐ-CP về quyền tác giả, quyền liên quan.</w:t>
      </w:r>
    </w:p>
    <w:p>
      <w:pPr>
        <w:pStyle w:val="Normal"/>
        <w:spacing w:lineRule="auto" w:line="312" w:before="0" w:after="120"/>
        <w:ind w:firstLine="567"/>
        <w:jc w:val="both"/>
        <w:rPr/>
      </w:pPr>
      <w:r>
        <w:rPr>
          <w:rFonts w:eastAsia="Times New Roman" w:cs="Times New Roman"/>
          <w:color w:val="000000"/>
          <w:sz w:val="26"/>
        </w:rPr>
        <w:t>Thứ năm, tư vấn về cách thức chuyển giao và sử dụng quyền sở hữu trí tuệ.Tư vấn nhằm xây dựng các điều khoản về chuyển nhượng, chuyển giao quyền sử dụng và khai thác tài sản sở hữu trí tuệ. Còn đối với quyền sở hữu công nghiệp thì việc chuyển nhượng sẽ phải được thực hiện thông qua hợp đồng bằng văn bản quy định tại Điều 138 Luật Sở hữu trí tuệ và nội dung hợp đồng về chuyển nhượng được quy định trong Điều 140 Luật Sở hữu trí tuệ.</w:t>
      </w:r>
    </w:p>
    <w:p>
      <w:pPr>
        <w:pStyle w:val="Normal"/>
        <w:spacing w:lineRule="auto" w:line="312" w:before="0" w:after="120"/>
        <w:ind w:firstLine="567"/>
        <w:jc w:val="both"/>
        <w:rPr/>
      </w:pPr>
      <w:r>
        <w:rPr>
          <w:rFonts w:eastAsia="Times New Roman" w:cs="Times New Roman"/>
          <w:color w:val="000000"/>
          <w:sz w:val="26"/>
        </w:rPr>
        <w:t>Thứ sáu, đưa ra tư vấn về quyền và nghĩa vụ đối với bí mật kinh doanh, bí mật công nghệ. Đối với nhân viên trực tiếp trong việc tiếp cận đến mã nguồn, thuật toán, dữ liệu kỹ thuật hoặc các bí mật kinh doanh của Công ty, tư vấn đưa ra đề xuất xây dựng việc thỏa thuận về phạm vi, thời hạn, phương thức bảo vệ và trách nhiệm khi vi phạm. Căn cứ theo quy định tại khoản 2 Điều 21 Bộ luật Lao động 2019 và Điều 4 của Nghị định 145/2020/NĐ-CP.</w:t>
      </w:r>
    </w:p>
    <w:p>
      <w:pPr>
        <w:pStyle w:val="Normal"/>
        <w:spacing w:lineRule="auto" w:line="312" w:before="0" w:after="120"/>
        <w:ind w:firstLine="567"/>
        <w:jc w:val="both"/>
        <w:rPr/>
      </w:pPr>
      <w:r>
        <w:rPr>
          <w:rFonts w:eastAsia="Times New Roman" w:cs="Times New Roman"/>
          <w:color w:val="000000"/>
          <w:sz w:val="26"/>
        </w:rPr>
        <w:t>Thứ bảy, xem xét rà soát việc sử dụng tài sản sở hữu trí tuệ của bên thứ ba. Đưa ra tư vấn kiểm tra về việc sử dụng phần mềm, thư viện mã nguồn mở, hình ảnh, nội dung, công nghệ hoặc các tài sản trí tuệ khác thuộc bên thứ ba, nhằm mục đích hạn chế nguy cơ xâm phạm đến quyền sở hữu trí tuệ và trách nhiệm pháp lý phát sinh.</w:t>
      </w:r>
    </w:p>
    <w:p>
      <w:pPr>
        <w:pStyle w:val="Heading3"/>
        <w:keepNext w:val="true"/>
        <w:spacing w:before="120" w:after="100"/>
        <w:rPr/>
      </w:pPr>
      <w:r>
        <w:rPr>
          <w:rFonts w:eastAsia="Times New Roman" w:cs="Times New Roman" w:ascii="Times New Roman" w:hAnsi="Times New Roman"/>
          <w:b/>
          <w:color w:val="000000"/>
          <w:sz w:val="26"/>
        </w:rPr>
        <w:t>3.4.3. Phạm vi dịch vụ.</w:t>
      </w:r>
    </w:p>
    <w:p>
      <w:pPr>
        <w:pStyle w:val="Normal"/>
        <w:spacing w:lineRule="auto" w:line="312" w:before="0" w:after="120"/>
        <w:ind w:firstLine="567"/>
        <w:jc w:val="both"/>
        <w:rPr/>
      </w:pPr>
      <w:r>
        <w:rPr>
          <w:rFonts w:eastAsia="Times New Roman" w:cs="Times New Roman"/>
          <w:color w:val="000000"/>
          <w:sz w:val="26"/>
        </w:rPr>
        <w:t>Thỏa thuận sở hữu trí tuệ được áp dụng với Công ty ví điện tử và các cá nhân, tổ chức có sự liên quan đến trong quá trình tạo lập, sử dụng, hoạt động quản lý hoặc hoạt động khai thác tài sản sở hữu trí tuệ của Công ty, trong đó sẽ bao gồm người lao động, nhân viên về công nghệ, cộng tác viên, đối tác và bên cung cấp các dịch vụ. Đối tượng của thỏa thuận này bao gồm phần mềm, mã nguồn, ứng dụng ví điện tử, giao diện, thuật toán, nhãn hiệu, logo, tài liệu kỹ thuật, bí mật trong kinh doanh và các tài sản trí tuệ khác liên quan đến quyền của Công ty.</w:t>
      </w:r>
    </w:p>
    <w:p>
      <w:pPr>
        <w:pStyle w:val="Normal"/>
        <w:spacing w:lineRule="auto" w:line="312" w:before="0" w:after="120"/>
        <w:ind w:firstLine="567"/>
        <w:jc w:val="both"/>
        <w:rPr/>
      </w:pPr>
      <w:r>
        <w:rPr>
          <w:rFonts w:eastAsia="Times New Roman" w:cs="Times New Roman"/>
          <w:color w:val="000000"/>
          <w:sz w:val="26"/>
        </w:rPr>
        <w:t>Thỏa thuận sở hữu trí tuệ được áp dụng bắt đầu kể từ thời điểm các bên thực hiện việc ký kết hoặc kể từ thời điểm được quy định cụ thể trong hợp đồng. Đối với các tài sản trí tuệ được tạo ra trong quá trình làm việc hoặc hợp tác, các điều khoản đến quyền sở hữu và khai thác được sẽ được áp dụng trong suốt thời gian phát sinh quyền đối với các tài sản đó. Trong trường hợp chấm dứt quan hệ lao động hoặc hợp tác, các nghĩa vụ liên quan về chuyển giao quyền, không được sử dụng trái phép và bảo vệ bí mật kinh doanh tiếp tục được thực hiện theo như thời hạn được thỏa thuận và theo quy định pháp luật.</w:t>
      </w:r>
    </w:p>
    <w:p>
      <w:pPr>
        <w:pStyle w:val="Normal"/>
        <w:spacing w:lineRule="auto" w:line="312" w:before="0" w:after="120"/>
        <w:ind w:firstLine="567"/>
        <w:jc w:val="both"/>
        <w:rPr/>
      </w:pPr>
      <w:r>
        <w:rPr>
          <w:rFonts w:eastAsia="Times New Roman" w:cs="Times New Roman"/>
          <w:color w:val="000000"/>
          <w:sz w:val="26"/>
        </w:rPr>
        <w:t>Việc xác lập quyền sở hữu hoặc chuyển giao quyền sở hữu trí tuệ quy định nằm trong phạm vi quyền mà pháp luật cho phép. Theo đó các bên không được thỏa thuận gây ảnh hưởng đến các quyền về nhân thân không thể chuyển giao của tác giả hoặc quyền của chủ thể khác. Còn đối với chương trình về máy tính, mã nguồn và các sản phẩm công nghệ, quyền của các bên sẽ được xác định theo quy định về quyền tác giả, theo đó chương trình máy tính thuộc đối tượng được bảo hộ quyền tác giả quy định tại Điều 22 Luật Sở hữu trí tuệ. Việc bí mật kinh doanh, việc bảo hộ phải đáp ứng điều kiện theo Điều 84 Luật Sở hữu trí tuệ. Ngoài ra, đối với người lao động tiếp cận đến bí mật kinh doanh, bí mật công nghệ, thỏa thuận đưa ra phải phù hợp với khoản 2 Điều 21 Bộ luật Lao động 2019.</w:t>
      </w:r>
    </w:p>
    <w:p>
      <w:pPr>
        <w:pStyle w:val="Heading3"/>
        <w:keepNext w:val="true"/>
        <w:spacing w:before="120" w:after="100"/>
        <w:rPr/>
      </w:pPr>
      <w:r>
        <w:rPr>
          <w:rFonts w:eastAsia="Times New Roman" w:cs="Times New Roman" w:ascii="Times New Roman" w:hAnsi="Times New Roman"/>
          <w:b/>
          <w:color w:val="000000"/>
          <w:sz w:val="26"/>
        </w:rPr>
        <w:t>3.4.4. Mục đích dịch vụ.</w:t>
      </w:r>
    </w:p>
    <w:p>
      <w:pPr>
        <w:pStyle w:val="Normal"/>
        <w:spacing w:lineRule="auto" w:line="312" w:before="0" w:after="120"/>
        <w:ind w:firstLine="567"/>
        <w:jc w:val="both"/>
        <w:rPr/>
      </w:pPr>
      <w:r>
        <w:rPr>
          <w:rFonts w:eastAsia="Times New Roman" w:cs="Times New Roman"/>
          <w:color w:val="000000"/>
          <w:sz w:val="26"/>
        </w:rPr>
        <w:t>Thứ nhất, xác lập rõ quyền sở hữu. Làm doanh nghiệp biết được chính xác các tài sản trí tuệ nào thuộc quyền sở hữu của mình, tránh xảy ra tranh chấp với nhân viên hoặc đối tác.</w:t>
      </w:r>
    </w:p>
    <w:p>
      <w:pPr>
        <w:pStyle w:val="Normal"/>
        <w:spacing w:lineRule="auto" w:line="312" w:before="0" w:after="120"/>
        <w:ind w:firstLine="567"/>
        <w:jc w:val="both"/>
        <w:rPr/>
      </w:pPr>
      <w:r>
        <w:rPr>
          <w:rFonts w:eastAsia="Times New Roman" w:cs="Times New Roman"/>
          <w:color w:val="000000"/>
          <w:sz w:val="26"/>
        </w:rPr>
        <w:t>Thứ hai, bảo vệ tài sản công nghệ. Đối với công ty hoạt động dịch vụ ví điện tử thì công nghệ sẽ thường là tài sản cốt lõi. Thỏa thuận được đưa vào nhằm kiểm soát việc sao chép mã nguồn, sử dụng thuật toán, chuyển giao công nghệ, khai thác phần mềm và việc sử dụng dữ liệu và tài liệu kỹ thuật.</w:t>
      </w:r>
    </w:p>
    <w:p>
      <w:pPr>
        <w:pStyle w:val="Normal"/>
        <w:spacing w:lineRule="auto" w:line="312" w:before="0" w:after="120"/>
        <w:ind w:firstLine="567"/>
        <w:jc w:val="both"/>
        <w:rPr/>
      </w:pPr>
      <w:r>
        <w:rPr>
          <w:rFonts w:eastAsia="Times New Roman" w:cs="Times New Roman"/>
          <w:color w:val="000000"/>
          <w:sz w:val="26"/>
        </w:rPr>
        <w:t>Thứ ba, hạn chế các tranh chấp có thể xảy ra khi nhân viên nghỉ việc. Vì vậy khi mà doanh nghiệp đã xây dựng được một cơ chế thỏa thuận sở hữu trí tuệ rõ ràng, minh bạch ngay từ đầu thì sẽ là một cơ sở pháp lý vững chắc, chính xác đề xác định quyền các bên trước và sau khi xảy ra tranh chấp.</w:t>
      </w:r>
    </w:p>
    <w:p>
      <w:pPr>
        <w:pStyle w:val="Normal"/>
        <w:spacing w:lineRule="auto" w:line="312" w:before="0" w:after="120"/>
        <w:ind w:firstLine="567"/>
        <w:jc w:val="both"/>
        <w:rPr/>
      </w:pPr>
      <w:r>
        <w:rPr>
          <w:rFonts w:eastAsia="Times New Roman" w:cs="Times New Roman"/>
          <w:color w:val="000000"/>
          <w:sz w:val="26"/>
        </w:rPr>
        <w:t>Thứ tư, tạo ra cơ sở để thực hiện thương mại hóa tài sản trí tuệ. Khi mà các quyền sở hữu tài sản đã được quy định rõ ràng, thì công ty có thể thực hiện vào các hoạt động thương mại hóa liên quan đến tài sản trí tuệ được quyền sở hữu như là được cấp phép, chuyển nhượng, định giá, góp vốn, thương mại hóa và khai thác sản phẩm công nghệ</w:t>
      </w:r>
    </w:p>
    <w:p>
      <w:pPr>
        <w:pStyle w:val="Heading2"/>
        <w:keepNext w:val="true"/>
        <w:spacing w:before="120" w:after="100"/>
        <w:rPr/>
      </w:pPr>
      <w:r>
        <w:rPr>
          <w:rFonts w:eastAsia="Times New Roman" w:cs="Times New Roman" w:ascii="Times New Roman" w:hAnsi="Times New Roman"/>
          <w:b/>
          <w:color w:val="000000"/>
          <w:sz w:val="26"/>
        </w:rPr>
        <w:t>3.5. Hợp đồng với Giám đốc hoặc Tổng giám đốc.</w:t>
      </w:r>
    </w:p>
    <w:p>
      <w:pPr>
        <w:pStyle w:val="Heading3"/>
        <w:keepNext w:val="true"/>
        <w:spacing w:before="120" w:after="100"/>
        <w:rPr/>
      </w:pPr>
      <w:r>
        <w:rPr>
          <w:rFonts w:eastAsia="Times New Roman" w:cs="Times New Roman" w:ascii="Times New Roman" w:hAnsi="Times New Roman"/>
          <w:b/>
          <w:color w:val="000000"/>
          <w:sz w:val="26"/>
        </w:rPr>
        <w:t>3.5.1. Giới thiệu dịch vụ.</w:t>
      </w:r>
    </w:p>
    <w:p>
      <w:pPr>
        <w:pStyle w:val="Normal"/>
        <w:spacing w:lineRule="auto" w:line="312" w:before="0" w:after="120"/>
        <w:ind w:firstLine="567"/>
        <w:jc w:val="both"/>
        <w:rPr/>
      </w:pPr>
      <w:r>
        <w:rPr>
          <w:rFonts w:eastAsia="Times New Roman" w:cs="Times New Roman"/>
          <w:color w:val="000000"/>
          <w:sz w:val="26"/>
        </w:rPr>
        <w:t>Hợp đồng với giám đốc, phó giám đốc là thỏa thuận giữa công ty và các nhân được tuyển dụng hoặc được bổ nhiệm và vị trí quản lý, theo đó cá nhân cam kết thực hiện công việc quản lý, điều hành trong phạm vi chức vụ được giao, còn công ty có nghĩa vụ trả lương, thưởng và các chế độ khác theo thỏa thuận.</w:t>
      </w:r>
    </w:p>
    <w:p>
      <w:pPr>
        <w:pStyle w:val="Heading3"/>
        <w:keepNext w:val="true"/>
        <w:spacing w:before="120" w:after="100"/>
        <w:rPr/>
      </w:pPr>
      <w:r>
        <w:rPr>
          <w:rFonts w:eastAsia="Times New Roman" w:cs="Times New Roman" w:ascii="Times New Roman" w:hAnsi="Times New Roman"/>
          <w:b/>
          <w:color w:val="000000"/>
          <w:sz w:val="26"/>
        </w:rPr>
        <w:t>3.5.2. Nội dung dịch vụ.</w:t>
      </w:r>
    </w:p>
    <w:p>
      <w:pPr>
        <w:pStyle w:val="Normal"/>
        <w:spacing w:lineRule="auto" w:line="312" w:before="0" w:after="120"/>
        <w:ind w:firstLine="567"/>
        <w:jc w:val="both"/>
        <w:rPr/>
      </w:pPr>
      <w:r>
        <w:rPr>
          <w:rFonts w:eastAsia="Times New Roman" w:cs="Times New Roman"/>
          <w:color w:val="000000"/>
          <w:sz w:val="26"/>
        </w:rPr>
        <w:t>Về trình tự, thủ tục cần thực hiện khi xây dựng hợp đồng với Giám đốc, Phó Giám đốc mà nhóm các nhà đầu tư cần chuẩn bị như sau:</w:t>
      </w:r>
    </w:p>
    <w:p>
      <w:pPr>
        <w:pStyle w:val="Normal"/>
        <w:spacing w:lineRule="auto" w:line="312" w:before="0" w:after="120"/>
        <w:ind w:firstLine="567"/>
        <w:jc w:val="both"/>
        <w:rPr/>
      </w:pPr>
      <w:r>
        <w:rPr>
          <w:rFonts w:eastAsia="Times New Roman" w:cs="Times New Roman"/>
          <w:color w:val="000000"/>
          <w:sz w:val="26"/>
        </w:rPr>
        <w:t>Thứ nhất, chuẩn bị thông tin cần thiết của doanh nghiệp và người quản lý. Xác định thông tin pháp lý của doanh nghiệp, cơ cấu tổ chức quản lý, chức danh,thời hạn đảm nhiệm chức vụ, quyền hạn dự kiến được giao, mức thù lao và các điều kiện làm việc của Giám đốc, Phó Giám đốc.</w:t>
      </w:r>
    </w:p>
    <w:p>
      <w:pPr>
        <w:pStyle w:val="Normal"/>
        <w:spacing w:lineRule="auto" w:line="312" w:before="0" w:after="120"/>
        <w:ind w:firstLine="567"/>
        <w:jc w:val="both"/>
        <w:rPr/>
      </w:pPr>
      <w:r>
        <w:rPr>
          <w:rFonts w:eastAsia="Times New Roman" w:cs="Times New Roman"/>
          <w:color w:val="000000"/>
          <w:sz w:val="26"/>
        </w:rPr>
        <w:t>Thứ hai, xác định cơ chế pháp lý đối với Giám đốc, Phó Giám đốc. Rà soát Điều lệ công ty, loại hình doanh nghiệp, cơ cấu quản trị và quyết định của cơ quan có thẩm quyền để xác định người có thẩm quyền bổ nhiệm và ký hợp đồng với Giám đốc, Phó Giám đốc.</w:t>
      </w:r>
    </w:p>
    <w:p>
      <w:pPr>
        <w:pStyle w:val="Normal"/>
        <w:spacing w:lineRule="auto" w:line="312" w:before="0" w:after="120"/>
        <w:ind w:firstLine="567"/>
        <w:jc w:val="both"/>
        <w:rPr/>
      </w:pPr>
      <w:r>
        <w:rPr>
          <w:rFonts w:eastAsia="Times New Roman" w:cs="Times New Roman"/>
          <w:color w:val="000000"/>
          <w:sz w:val="26"/>
        </w:rPr>
        <w:t>Đồng thời, cần phân biệt giữa chức danh quản lý trong doanh nghiệp và quan hệ lao động. Trường hợp Giám đốc, Phó Giám đốc đồng thời làm việc cho doanh nghiệp theo quan hệ lao động thì hợp đồng phải bảo đảm các nội dung của hợp đồng lao động theo Bộ luật Lao động 2019; trường hợp chỉ xác lập quan hệ thuê người quản lý thì cần thiết kế hợp đồng phù hợp với bản chất pháp lý của quan hệ này.</w:t>
      </w:r>
    </w:p>
    <w:p>
      <w:pPr>
        <w:pStyle w:val="Normal"/>
        <w:spacing w:lineRule="auto" w:line="312" w:before="0" w:after="120"/>
        <w:ind w:firstLine="567"/>
        <w:jc w:val="both"/>
        <w:rPr/>
      </w:pPr>
      <w:r>
        <w:rPr>
          <w:rFonts w:eastAsia="Times New Roman" w:cs="Times New Roman"/>
          <w:color w:val="000000"/>
          <w:sz w:val="26"/>
        </w:rPr>
        <w:t>Thứ ba, soạn thảo hợp đồng. Xây dựng hợp đồng trên cơ sở vị trí của từng người quản lý. Đối với Giám đốc, hợp đồng tập trung vào quyền điều hành tổng thể, chiến lược kinh doanh, quản lý nhân sự, tài chính, công nghệ, hoạt động cung ứng dịch vụ ví điện tử và trách nhiệm trước doanh nghiệp.</w:t>
      </w:r>
    </w:p>
    <w:p>
      <w:pPr>
        <w:pStyle w:val="Normal"/>
        <w:spacing w:lineRule="auto" w:line="312" w:before="0" w:after="120"/>
        <w:ind w:firstLine="567"/>
        <w:jc w:val="both"/>
        <w:rPr/>
      </w:pPr>
      <w:r>
        <w:rPr>
          <w:rFonts w:eastAsia="Times New Roman" w:cs="Times New Roman"/>
          <w:color w:val="000000"/>
          <w:sz w:val="26"/>
        </w:rPr>
        <w:t>Đối với Phó Giám đốc, hợp đồng cần xác định rõ phạm vi công việc được Giám đốc hoặc cơ quan có thẩm quyền giao, quyền đại diện trong phạm vi được ủy quyền, trách nhiệm quản lý bộ phận và giới hạn thẩm quyền để tránh tình trạng chồng chéo quyền hạn với Giám đốc.</w:t>
      </w:r>
    </w:p>
    <w:p>
      <w:pPr>
        <w:pStyle w:val="Normal"/>
        <w:spacing w:lineRule="auto" w:line="312" w:before="0" w:after="120"/>
        <w:ind w:firstLine="567"/>
        <w:jc w:val="both"/>
        <w:rPr/>
      </w:pPr>
      <w:r>
        <w:rPr>
          <w:rFonts w:eastAsia="Times New Roman" w:cs="Times New Roman"/>
          <w:color w:val="000000"/>
          <w:sz w:val="26"/>
        </w:rPr>
        <w:t>Thứ tư, kiểm tra, rà soát và ký kết hợp đồng. Sau khi hoàn thiện dự thảo, rà soát sự thống nhất giữa hợp đồng với Điều lệ công ty, quyết định bổ nhiệm, quy chế quản trị nội bộ và các văn bản ủy quyền của doanh nghiệp trước khi tiến hành ký kết.</w:t>
      </w:r>
    </w:p>
    <w:p>
      <w:pPr>
        <w:pStyle w:val="Normal"/>
        <w:spacing w:lineRule="auto" w:line="312" w:before="0" w:after="120"/>
        <w:ind w:firstLine="567"/>
        <w:jc w:val="both"/>
        <w:rPr/>
      </w:pPr>
      <w:r>
        <w:rPr>
          <w:rFonts w:eastAsia="Times New Roman" w:cs="Times New Roman"/>
          <w:color w:val="000000"/>
          <w:sz w:val="26"/>
        </w:rPr>
        <w:t>Đặc biệt, đối với doanh nghiệp kinh doanh trong lĩnh vực ví điện tử, hợp đồng cần được soạn thảo để tránh trường hợp Giám đốc hoặc Phó Giám đốc được trao quyền quá rộng nhưng không có cơ chế kiểm soát tương ứng, chẳng hạn như quyền truy cập hệ thống, quyền phê duyệt giao dịch, quyền sử dụng dữ liệu khách hàng, quyền ký kết hợp đồng với đối tác ngân hàng hoặc quyền quyết định các vấn đề liên quan đến hệ thống công nghệ.</w:t>
      </w:r>
    </w:p>
    <w:p>
      <w:pPr>
        <w:pStyle w:val="Heading3"/>
        <w:keepNext w:val="true"/>
        <w:spacing w:before="120" w:after="100"/>
        <w:rPr/>
      </w:pPr>
      <w:r>
        <w:rPr>
          <w:rFonts w:eastAsia="Times New Roman" w:cs="Times New Roman" w:ascii="Times New Roman" w:hAnsi="Times New Roman"/>
          <w:b/>
          <w:color w:val="000000"/>
          <w:sz w:val="26"/>
        </w:rPr>
        <w:t>3.5.3. Phạm vi dịch vụ.</w:t>
      </w:r>
    </w:p>
    <w:p>
      <w:pPr>
        <w:pStyle w:val="Normal"/>
        <w:spacing w:lineRule="auto" w:line="312" w:before="0" w:after="120"/>
        <w:ind w:firstLine="567"/>
        <w:jc w:val="both"/>
        <w:rPr/>
      </w:pPr>
      <w:r>
        <w:rPr>
          <w:rFonts w:eastAsia="Times New Roman" w:cs="Times New Roman"/>
          <w:color w:val="000000"/>
          <w:sz w:val="26"/>
        </w:rPr>
        <w:t>Thứ nhất, đối tượng áp dụng: Hợp đồng được áp dụng đối với Giám đốc và Phó Giám đốc của công ty, là những người giữ chức vụ quản lý, điều hành và thực hiện các quyền, nghĩa vụ theo quy định của pháp luật, Điều lệ công ty và quyết định của cơ quan có thẩm quyền. Đối tượng áp dụng của hợp đồng bao gồm cá nhân được bổ nhiệm, thuê hoặc ký kết hợp đồng để thực hiện chức danh Giám đốc, Phó Giám đốc và các bên có liên quan đến việc thực hiện quyền, nghĩa vụ của các chức danh đảm nhiệm. hợp đồng cần xác định rõ quyền hạn trong việc tổ chức hoạt động hằng ngày, xây dựng và thực hiện kế hoạch kinh doanh, quản lý nhân sự, quản lý rủi ro, kiểm soát việc tuân thủ các điều kiện cung ứng dịch vụ ví điện tử và đại diện cho công ty trong phạm vi thẩm quyền</w:t>
      </w:r>
    </w:p>
    <w:p>
      <w:pPr>
        <w:pStyle w:val="Normal"/>
        <w:spacing w:lineRule="auto" w:line="312" w:before="0" w:after="120"/>
        <w:ind w:firstLine="567"/>
        <w:jc w:val="both"/>
        <w:rPr/>
      </w:pPr>
      <w:r>
        <w:rPr>
          <w:rFonts w:eastAsia="Times New Roman" w:cs="Times New Roman"/>
          <w:color w:val="000000"/>
          <w:sz w:val="26"/>
        </w:rPr>
        <w:t>Thứ hai, thời điểm áp dụng hợp đồng: Hợp đồng nên quy định rõ thời điểm phát sinh quyền và nghĩa vụ của Giám đốc, Phó Giám đốc, có thể kể từ ngày hợp đồng có hiệu lực, ngày được bổ nhiệm hoặc một ngày cụ thể do các bên thỏa thuận.</w:t>
      </w:r>
    </w:p>
    <w:p>
      <w:pPr>
        <w:pStyle w:val="Normal"/>
        <w:spacing w:lineRule="auto" w:line="312" w:before="0" w:after="120"/>
        <w:ind w:firstLine="567"/>
        <w:jc w:val="both"/>
        <w:rPr/>
      </w:pPr>
      <w:r>
        <w:rPr>
          <w:rFonts w:eastAsia="Times New Roman" w:cs="Times New Roman"/>
          <w:color w:val="000000"/>
          <w:sz w:val="26"/>
        </w:rPr>
        <w:t>Thời hạn hợp đồng có thể được xác định theo nhiệm kỳ giữ chức vụ, theo thời hạn thỏa thuận giữa công ty và người quản lý hoặc theo thời hạn khác được quy định trong Điều lệ công ty. Hợp đồng cần quy định cụ thể trường hợp bổ nhiệm lại, miễn nhiệm, từ chức, chấm dứt hợp đồng hoặc thay đổi chức danh.</w:t>
      </w:r>
    </w:p>
    <w:p>
      <w:pPr>
        <w:pStyle w:val="Normal"/>
        <w:spacing w:lineRule="auto" w:line="312" w:before="0" w:after="120"/>
        <w:ind w:firstLine="567"/>
        <w:jc w:val="both"/>
        <w:rPr/>
      </w:pPr>
      <w:r>
        <w:rPr>
          <w:rFonts w:eastAsia="Times New Roman" w:cs="Times New Roman"/>
          <w:color w:val="000000"/>
          <w:sz w:val="26"/>
        </w:rPr>
        <w:t>Thứ ba, phạm vi không được áp dụng: Hợp đồng cần quy định rằng Giám đốc, Phó Giám đốc không được tự mình quyết định hoặc tổ chức cung ứng các dịch vụ nằm ngoài phạm vi hoạt động được pháp luật cho phép hoặc ngoài phạm vi Giấy phép cung ứng dịch vụ trung gian thanh toán của công ty. Đặc biệt, không được sử dụng hợp đồng để trao cho người quản lý quyền tự ý mở rộng sản phẩm ví điện tử, triển khai phương thức thanh toán mới hoặc cung ứng dịch vụ trung gian thanh toán khác khi chưa đáp ứng điều kiện pháp luật và chưa được cơ quan có thẩm quyền chấp thuận, nếu pháp luật yêu cầu.</w:t>
      </w:r>
    </w:p>
    <w:p>
      <w:pPr>
        <w:pStyle w:val="Heading3"/>
        <w:keepNext w:val="true"/>
        <w:spacing w:before="120" w:after="100"/>
        <w:rPr/>
      </w:pPr>
      <w:r>
        <w:rPr>
          <w:rFonts w:eastAsia="Times New Roman" w:cs="Times New Roman" w:ascii="Times New Roman" w:hAnsi="Times New Roman"/>
          <w:b/>
          <w:color w:val="000000"/>
          <w:sz w:val="26"/>
        </w:rPr>
        <w:t>3.5.4. Mục đích dịch vụ.</w:t>
      </w:r>
    </w:p>
    <w:p>
      <w:pPr>
        <w:pStyle w:val="Normal"/>
        <w:spacing w:lineRule="auto" w:line="312" w:before="0" w:after="120"/>
        <w:ind w:firstLine="567"/>
        <w:jc w:val="both"/>
        <w:rPr/>
      </w:pPr>
      <w:r>
        <w:rPr>
          <w:rFonts w:eastAsia="Times New Roman" w:cs="Times New Roman"/>
          <w:color w:val="000000"/>
          <w:sz w:val="26"/>
        </w:rPr>
        <w:t>Thứ nhất, hợp đồng bảo vệ hệ thống công nghệ và dữ liệu khách hàng. Đặc thù của doanh nghiệp ví điện tử là người quản lý có thể tiếp cận các thông tin đặc biệt quan trọng như dữ liệu khách hàng, thông tin giao dịch, hệ thống xác thực, API, kiến trúc hệ thống, cơ chế bảo mật, thông tin về đối tác ngân hàng và chiến lược phát triển sản phẩm. Vì vậy, hợp đồng cần gắn nghĩa vụ bảo mật với cơ chế thu hồi quyền truy cập, bàn giao dữ liệu và tài sản, đồng thời xác định trách nhiệm khi có hành vi sử dụng hoặc tiết lộ trái phép.</w:t>
      </w:r>
    </w:p>
    <w:p>
      <w:pPr>
        <w:pStyle w:val="Normal"/>
        <w:spacing w:lineRule="auto" w:line="312" w:before="0" w:after="120"/>
        <w:ind w:firstLine="567"/>
        <w:jc w:val="both"/>
        <w:rPr/>
      </w:pPr>
      <w:r>
        <w:rPr>
          <w:rFonts w:eastAsia="Times New Roman" w:cs="Times New Roman"/>
          <w:color w:val="000000"/>
          <w:sz w:val="26"/>
        </w:rPr>
        <w:t>Thứ hai, hợp đồng giúp bảo vệ lợi ích của doanh nghiệp và nhóm nhà đầu tư. Trong doanh nghiệp, một quyết định của Giám đốc hoặc Phó Giám đốc có thể ảnh hưởng đồng thời đến tài chính, công nghệ, khách hàng và khả năng duy trì hoạt động của hệ thống. Do đó, việc quy định rõ những quyết định nào người quản lý được tự mình thực hiện và những quyết định nào phải được cơ quan quản trị hoặc nhóm nhà đầu tư thông qua sẽ giúp hạn chế nguy cơ lạm quyền.</w:t>
      </w:r>
    </w:p>
    <w:p>
      <w:pPr>
        <w:pStyle w:val="Normal"/>
        <w:spacing w:lineRule="auto" w:line="312" w:before="0" w:after="120"/>
        <w:ind w:firstLine="567"/>
        <w:jc w:val="both"/>
        <w:rPr/>
      </w:pPr>
      <w:r>
        <w:rPr>
          <w:rFonts w:eastAsia="Times New Roman" w:cs="Times New Roman"/>
          <w:color w:val="000000"/>
          <w:sz w:val="26"/>
        </w:rPr>
        <w:t>Thứ ba, hợp đồng tạo cơ sở xử lý khi Giám đốc, Phó Giám đốc chấm dứt nhiệm vụ. Việc thay đổi người quản lý trong doanh nghiệp cần được kiểm soát chặt chẽ hơn doanh nghiệp thông thường do người quản lý có thể đang nắm giữ nhiều quyền truy cập và thông tin quan trọng. Hợp đồng cần quy định rõ thời điểm chấm dứt, nghĩa vụ bàn giao, thu hồi tài sản, khóa tài khoản, thu hồi quyền truy cập hệ thống, bảo mật thông tin và giải quyết các nghĩa vụ tài chính còn tồn đọng.</w:t>
      </w:r>
    </w:p>
    <w:p>
      <w:pPr>
        <w:pStyle w:val="Normal"/>
        <w:spacing w:lineRule="auto" w:line="312" w:before="0" w:after="120"/>
        <w:ind w:firstLine="567"/>
        <w:jc w:val="both"/>
        <w:rPr/>
      </w:pPr>
      <w:r>
        <w:rPr>
          <w:rFonts w:eastAsia="Times New Roman" w:cs="Times New Roman"/>
          <w:color w:val="000000"/>
          <w:sz w:val="26"/>
        </w:rPr>
        <w:t>Qua đó, hợp đồng với Giám đốc, Phó Giám đốc vừa là cơ sở xác lập quyền và nghĩa vụ của người quản lý, vừa là một công cụ để nhóm nhà đầu tư kiểm soát quyền lực quản lý, bảo vệ tài sản, dữ liệu khách hàng, công nghệ và hạn chế các tranh chấp có thể phát sinh trong quá trình vận hành doanh nghiệp ví điện tử.</w:t>
      </w:r>
    </w:p>
    <w:p>
      <w:pPr>
        <w:pStyle w:val="Heading2"/>
        <w:keepNext w:val="true"/>
        <w:spacing w:before="120" w:after="100"/>
        <w:rPr/>
      </w:pPr>
      <w:r>
        <w:rPr>
          <w:rFonts w:eastAsia="Times New Roman" w:cs="Times New Roman" w:ascii="Times New Roman" w:hAnsi="Times New Roman"/>
          <w:b/>
          <w:color w:val="000000"/>
          <w:sz w:val="26"/>
        </w:rPr>
        <w:t>3.6. Thỏa thuận giữa các cổ đông.</w:t>
      </w:r>
    </w:p>
    <w:p>
      <w:pPr>
        <w:pStyle w:val="Heading3"/>
        <w:keepNext w:val="true"/>
        <w:spacing w:before="120" w:after="100"/>
        <w:rPr/>
      </w:pPr>
      <w:r>
        <w:rPr>
          <w:rFonts w:eastAsia="Times New Roman" w:cs="Times New Roman" w:ascii="Times New Roman" w:hAnsi="Times New Roman"/>
          <w:b/>
          <w:color w:val="000000"/>
          <w:sz w:val="26"/>
        </w:rPr>
        <w:t>3.6.1. Giới thiệu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Thỏa thuận cổ đông là dịch vụ pháp lý nhằm thiết lập một khuôn khổ thỏa thuận thống nhất giữa các cổ đông của công ty về việc sở hữu, quản trị, điều hành, đầu tư, chuyển nhượng cổ phần và giải quyết các vấn đề phát sinh trong quá trình hoạt động của doanh nghiệp. Khác với Điều lệ công ty và các quy định bắt buộc của pháp luật doanh nghiệp, Thỏa thuận cổ đông tập trung điều chỉnh mối quan hệ giữa các cổ đông trên cơ sở thỏa thuận, qua đó xác định rõ quyền, nghĩa vụ, trách nhiệm và cơ chế phối hợp của từng cổ đông.</w:t>
      </w:r>
    </w:p>
    <w:p>
      <w:pPr>
        <w:pStyle w:val="Normal"/>
        <w:spacing w:lineRule="auto" w:line="312" w:before="0" w:after="120"/>
        <w:ind w:firstLine="567"/>
        <w:jc w:val="both"/>
        <w:rPr/>
      </w:pPr>
      <w:r>
        <w:rPr>
          <w:rFonts w:eastAsia="Times New Roman" w:cs="Times New Roman"/>
          <w:color w:val="000000"/>
          <w:sz w:val="26"/>
        </w:rPr>
        <w:t>Đối với công ty hoạt động trong lĩnh vực ví điện tử, Thỏa thuận cổ đông có ý nghĩa đặc biệt quan trọng bởi đây là lĩnh vực kinh doanh có tính đặc thù, chịu sự điều chỉnh không chỉ của pháp luật doanh nghiệp mà còn của pháp luật về thanh toán không dùng tiền mặt và hoạt động cung ứng dịch vụ trung gian thanh toán. Hiện nay, khung pháp lý về lĩnh vực này bao gồm Nghị định 52/2024/NĐ-CP về thanh toán không dùng tiền mặt và các quy định của Ngân hàng Nhà nước về hoạt động cung ứng dịch vụ trung gian thanh toán; đến tháng 5/2026, Ngân hàng Nhà nước đã ban hành Văn bản hợp nhất 76/VBHN-NHNN về hoạt động cung ứng dịch vụ trung gian thanh toán.</w:t>
      </w:r>
    </w:p>
    <w:p>
      <w:pPr>
        <w:pStyle w:val="Normal"/>
        <w:spacing w:lineRule="auto" w:line="312" w:before="0" w:after="120"/>
        <w:ind w:firstLine="567"/>
        <w:jc w:val="both"/>
        <w:rPr/>
      </w:pPr>
      <w:r>
        <w:rPr>
          <w:rFonts w:eastAsia="Times New Roman" w:cs="Times New Roman"/>
          <w:color w:val="000000"/>
          <w:sz w:val="26"/>
        </w:rPr>
        <w:t>Vì vậy, dịch vụ pháp lý của chúng tôi không chỉ đơn thuần là soạn một văn bản ghi nhận tỷ lệ sở hữu của các cổ đông mà còn phải thiết kế cơ chế quản trị và kiểm soát phù hợp với đặc điểm của doanh nghiệp, bảo đảm thỏa thuận giữa các cổ đông không xung đột với Điều lệ công ty, Luật Doanh nghiệp và các quy định pháp luật chuyên ngành có liên quan.</w:t>
      </w:r>
    </w:p>
    <w:p>
      <w:pPr>
        <w:pStyle w:val="Heading3"/>
        <w:keepNext w:val="true"/>
        <w:spacing w:before="120" w:after="100"/>
        <w:rPr/>
      </w:pPr>
      <w:r>
        <w:rPr>
          <w:rFonts w:eastAsia="Times New Roman" w:cs="Times New Roman" w:ascii="Times New Roman" w:hAnsi="Times New Roman"/>
          <w:b/>
          <w:color w:val="000000"/>
          <w:sz w:val="26"/>
        </w:rPr>
        <w:t>3.6.2. Nội dung dịch vụ.</w:t>
      </w:r>
    </w:p>
    <w:p>
      <w:pPr>
        <w:pStyle w:val="Normal"/>
        <w:spacing w:lineRule="auto" w:line="312" w:before="0" w:after="120"/>
        <w:ind w:firstLine="567"/>
        <w:jc w:val="both"/>
        <w:rPr/>
      </w:pPr>
      <w:r>
        <w:rPr>
          <w:rFonts w:eastAsia="Times New Roman" w:cs="Times New Roman"/>
          <w:color w:val="000000"/>
          <w:sz w:val="26"/>
        </w:rPr>
        <w:t>Thứ nhất, tư vấn và xác định cấu trúc quyền sở hữu của các cổ đông. Rà soát cơ cấu cổ đông hiện tại hoặc dự kiến của doanh nghiệp, tỷ lệ sở hữu của từng cổ đông, quyền biểu quyết, quyền nhận cổ tức, quyền tham gia quản trị và các quyền kinh tế khác. Trên cơ sở đó, luật sư tư vấn cách thức ghi nhận quyền và lợi ích của từng nhóm cổ đông trong Thỏa thuận cổ đông. Đối với doanh nghiệp có khả năng tiếp nhận vốn từ nhà đầu tư mới trong các vòng gọi vốn, nội dung này còn có thể bao gồm cơ chế bảo vệ tỷ lệ sở hữu của cổ đông hiện hữu, quyền ưu tiên tham gia các vòng gọi vốn tiếp theo và cơ chế xử lý trường hợp cổ đông bị pha loãng tỷ lệ sở hữu.</w:t>
      </w:r>
    </w:p>
    <w:p>
      <w:pPr>
        <w:pStyle w:val="Normal"/>
        <w:spacing w:lineRule="auto" w:line="312" w:before="0" w:after="120"/>
        <w:ind w:firstLine="567"/>
        <w:jc w:val="both"/>
        <w:rPr/>
      </w:pPr>
      <w:r>
        <w:rPr>
          <w:rFonts w:eastAsia="Times New Roman" w:cs="Times New Roman"/>
          <w:color w:val="000000"/>
          <w:sz w:val="26"/>
        </w:rPr>
        <w:t>Thứ hai, tư vấn cơ chế quản trị và quyền kiểm soát công ty. Đây là một trong những nội dung quan trọng nhất của Thỏa thuận cổ đông. Xây dựng các quy định về cơ cấu Hội đồng quản trị, quyền đề cử và bổ nhiệm thành viên Hội đồng quản trị, quyền đề cử người quản lý, tỷ lệ biểu quyết đối với từng nhóm quyết định và các vấn đề phải được sự chấp thuận của một tỷ lệ cổ đông nhất định. Đặc biệt, đối với công ty, có thể xác định một nhóm vấn đề trọng yếu mà Hội đồng quản trị hoặc Đại hội đồng cổ đông không được quyết định nếu chưa có sự đồng ý của cổ đông hoặc nhóm cổ đông đáp ứng một tỷ lệ biểu quyết nhất định.</w:t>
      </w:r>
    </w:p>
    <w:p>
      <w:pPr>
        <w:pStyle w:val="Normal"/>
        <w:spacing w:lineRule="auto" w:line="312" w:before="0" w:after="120"/>
        <w:ind w:firstLine="567"/>
        <w:jc w:val="both"/>
        <w:rPr/>
      </w:pPr>
      <w:r>
        <w:rPr>
          <w:rFonts w:eastAsia="Times New Roman" w:cs="Times New Roman"/>
          <w:color w:val="000000"/>
          <w:sz w:val="26"/>
        </w:rPr>
        <w:t>Ví dụ, các vấn đề trọng yếu có thể bao gồm: thay đổi ngành nghề kinh doanh cốt lõi; thay đổi mô hình kinh doanh ví điện tử; đầu tư hoặc bán tài sản có giá trị lớn; vay hoặc huy động vốn vượt một ngưỡng nhất định; phát hành thêm cổ phần; sáp nhập, hợp nhất, chia, tách hoặc giải thể công ty; thay đổi Điều lệ; giao dịch với bên có liên quan; hoặc thực hiện các giao dịch có khả năng làm thay đổi đáng kể quyền kiểm soát công ty.</w:t>
      </w:r>
    </w:p>
    <w:p>
      <w:pPr>
        <w:pStyle w:val="Normal"/>
        <w:spacing w:lineRule="auto" w:line="312" w:before="0" w:after="120"/>
        <w:ind w:firstLine="567"/>
        <w:jc w:val="both"/>
        <w:rPr/>
      </w:pPr>
      <w:r>
        <w:rPr>
          <w:rFonts w:eastAsia="Times New Roman" w:cs="Times New Roman"/>
          <w:color w:val="000000"/>
          <w:sz w:val="26"/>
        </w:rPr>
        <w:t>Thứ ba, tư vấn cơ chế chuyển nhượng cổ phần và kiểm soát sự gia nhập của cổ đông mới. Thỏa thuận có thể quy định quyền ưu tiên mua cổ phần, quyền chào bán trước, quyền cùng bán, quyền yêu cầu bán cùng, điều kiện đối với người nhận chuyển nhượng và thủ tục thực hiện việc chuyển nhượng. Mục đích là tránh trường hợp một cổ đông tự ý chuyển nhượng cổ phần cho một bên thứ ba không phù hợp với định hướng của công ty hoặc làm thay đổi cơ cấu kiểm soát mà các cổ đông còn lại không lường trước được. Những nội dung này phải được thiết kế tương thích với các quy định của Luật Doanh nghiệp về cổ phần và chuyển nhượng cổ phần. Luật Doanh nghiệp 2020 hiện là văn bản pháp luật nền tảng điều chỉnh tổ chức và hoạt động của công ty cổ phần.</w:t>
      </w:r>
    </w:p>
    <w:p>
      <w:pPr>
        <w:pStyle w:val="Normal"/>
        <w:spacing w:lineRule="auto" w:line="312" w:before="0" w:after="120"/>
        <w:ind w:firstLine="567"/>
        <w:jc w:val="both"/>
        <w:rPr/>
      </w:pPr>
      <w:r>
        <w:rPr>
          <w:rFonts w:eastAsia="Times New Roman" w:cs="Times New Roman"/>
          <w:color w:val="000000"/>
          <w:sz w:val="26"/>
        </w:rPr>
        <w:t>Thứ tư, tư vấn cơ chế bảo vệ quyền lợi của cổ đông và xử lý xung đột lợi ích. Xây dựng các điều khoản về bảo mật thông tin, không cạnh tranh, không lôi kéo nhân sự, bảo vệ tài sản trí tuệ, xử lý giao dịch với bên có liên quan và nghĩa vụ cung cấp thông tin giữa các cổ đông. Đối với công ty, nội dung này đặc biệt quan trọng bởi giá trị của doanh nghiệp không chỉ nằm ở vốn mà còn nằm ở công nghệ, phần mềm, dữ liệu, hệ thống vận hành, quan hệ với ngân hàng và đối tác thanh toán, giấy phép/điều kiện hoạt động và đội ngũ nhân sự chủ chốt.</w:t>
      </w:r>
    </w:p>
    <w:p>
      <w:pPr>
        <w:pStyle w:val="Normal"/>
        <w:spacing w:lineRule="auto" w:line="312" w:before="0" w:after="120"/>
        <w:ind w:firstLine="567"/>
        <w:jc w:val="both"/>
        <w:rPr/>
      </w:pPr>
      <w:r>
        <w:rPr>
          <w:rFonts w:eastAsia="Times New Roman" w:cs="Times New Roman"/>
          <w:color w:val="000000"/>
          <w:sz w:val="26"/>
        </w:rPr>
        <w:t>Thứ năm, xây dựng cơ chế xử lý tình trạng bế tắc trong quản trị. Trong trường hợp các cổ đông có tỷ lệ sở hữu tương đối cân bằng và không thể đạt được sự thống nhất về một vấn đề quan trọng, doanh nghiệp có thể rơi vào tình trạng không thể ra quyết định. Vì vậy, Thỏa thuận cổ đông có thể thiết lập một quy trình xử lý theo từng bước, chẳng hạn như đàm phán giữa các cổ đông → hòa giải → đưa vấn đề cho bên thứ ba độc lập → cơ chế mua bán cổ phần hoặc cơ chế thoái vốn nếu bế tắc kéo dài.</w:t>
      </w:r>
    </w:p>
    <w:p>
      <w:pPr>
        <w:pStyle w:val="Normal"/>
        <w:spacing w:lineRule="auto" w:line="312" w:before="0" w:after="120"/>
        <w:ind w:firstLine="567"/>
        <w:jc w:val="both"/>
        <w:rPr/>
      </w:pPr>
      <w:r>
        <w:rPr>
          <w:rFonts w:eastAsia="Times New Roman" w:cs="Times New Roman"/>
          <w:color w:val="000000"/>
          <w:sz w:val="26"/>
        </w:rPr>
        <w:t>Thứ sáu, tư vấn cơ chế thoái vốn và các sự kiện làm thay đổi quyền sở hữu. Đối với startup, khả năng gọi vốn, có nhà đầu tư chiến lược, sáp nhập hoặc bán doanh nghiệp là những tình huống có thể xảy ra. Do đó, thiết kế trước các cơ chế như quyền bán cổ phần, quyền yêu cầu mua lại trong một số trường hợp, quyền cùng bán, quyền yêu cầu bán cùng hoặc cơ chế Exit. Việc chuẩn bị trước những cơ chế này giúp hạn chế tranh chấp khi doanh nghiệp bước vào giai đoạn gọi vốn hoặc thay đổi cơ cấu sở hữu.</w:t>
      </w:r>
    </w:p>
    <w:p>
      <w:pPr>
        <w:pStyle w:val="Heading3"/>
        <w:keepNext w:val="true"/>
        <w:spacing w:before="120" w:after="100"/>
        <w:rPr/>
      </w:pPr>
      <w:r>
        <w:rPr>
          <w:rFonts w:eastAsia="Times New Roman" w:cs="Times New Roman" w:ascii="Times New Roman" w:hAnsi="Times New Roman"/>
          <w:b/>
          <w:color w:val="000000"/>
          <w:sz w:val="26"/>
        </w:rPr>
        <w:t>3.6.3. Phạm vi dịch vụ.</w:t>
      </w:r>
    </w:p>
    <w:p>
      <w:pPr>
        <w:pStyle w:val="Normal"/>
        <w:spacing w:lineRule="auto" w:line="312" w:before="0" w:after="120"/>
        <w:ind w:firstLine="567"/>
        <w:jc w:val="both"/>
        <w:rPr/>
      </w:pPr>
      <w:r>
        <w:rPr>
          <w:rFonts w:eastAsia="Times New Roman" w:cs="Times New Roman"/>
          <w:color w:val="000000"/>
          <w:sz w:val="26"/>
        </w:rPr>
        <w:t>Phạm vi dịch vụ tư vấn và soạn thảo Hợp đồng Thỏa thuận cổ đông được xác định cụ thể nhằm làm rõ ranh giới trách nhiệm của chúng tôi cũng như quyền lợi của khách hàng trong suốt quá trình cung cấp dịch vụ pháp lý. Việc thiết lập phạm vi chi tiết ngay từ đầu giúp các bên nắm rõ lộ trình triển khai, tối ưu hóa cơ chế phối hợp và ngăn ngừa những hiểu lầm không đáng có liên quan đến nghĩa vụ của tư vấn pháp lý. Phạm vi dịch vụ cụ thể được xác định thông qua các khía cạnh sau:</w:t>
      </w:r>
    </w:p>
    <w:p>
      <w:pPr>
        <w:pStyle w:val="Normal"/>
        <w:spacing w:lineRule="auto" w:line="312" w:before="0" w:after="120"/>
        <w:ind w:firstLine="567"/>
        <w:jc w:val="both"/>
        <w:rPr/>
      </w:pPr>
      <w:r>
        <w:rPr>
          <w:rFonts w:eastAsia="Times New Roman" w:cs="Times New Roman"/>
          <w:color w:val="000000"/>
          <w:sz w:val="26"/>
        </w:rPr>
        <w:t>Về đối tượng áp dụng, dịch vụ được thiết kế trực tiếp cho các cổ đông của công ty hoạt động trong lĩnh vực ví điện tử và trung gian thanh toán, bao gồm cổ đông sáng lập, cổ đông hiện hữu, các nhà đầu tư chiến lược, nhà đầu tư tài chính cũng như các bên dự kiến tham gia vào các vòng gọi vốn tương lai. Đồng thời, đối tượng áp dụng còn bao gồm chính bản thân công ty với tư cách là chủ thể chịu sự tác động trực tiếp từ các cơ chế quản trị, điều hành, kiểm soát và chuyển nhượng vốn được xác lập trong Thỏa thuận cổ đông.</w:t>
      </w:r>
    </w:p>
    <w:p>
      <w:pPr>
        <w:pStyle w:val="Normal"/>
        <w:spacing w:lineRule="auto" w:line="312" w:before="0" w:after="120"/>
        <w:ind w:firstLine="567"/>
        <w:jc w:val="both"/>
        <w:rPr/>
      </w:pPr>
      <w:r>
        <w:rPr>
          <w:rFonts w:eastAsia="Times New Roman" w:cs="Times New Roman"/>
          <w:color w:val="000000"/>
          <w:sz w:val="26"/>
        </w:rPr>
        <w:t>Về thời điểm và thời hạn áp dụng, dịch vụ được thực hiện xuyên suốt toàn bộ thời gian thiết lập thỏa thuận, bắt đầu từ giai đoạn tiếp nhận nhu cầu ban đầu cho đến khi hoàn thiện, ký kết và hỗ trợ triển khai thực tế. Cụ thể, giai đoạn đầu tiên là rà soát và đánh giá pháp lý, nơi chúng tôi nghiên cứu cơ cấu cổ đông, Điều lệ công ty, Giấy chứng nhận đăng ký doanh nghiệp, các thỏa thuận đầu tư hiện hữu và hồ sơ gọi vốn để xác định rủi ro. Giai đoạn thứ hai tập trung vào tư vấn và xây dựng cấu trúc, thông qua việc đàm phán với từng nhóm cổ đông nhằm làm rõ mục tiêu riêng biệt—như bảo vệ quyền kiểm soát cho cổ đông sáng lập hay cơ chế thoái vốn cho nhà đầu tư—để thiết kế cấu trúc phù hợp. Giai đoạn thứ ba là soạn thảo và hoàn thiện hợp đồng, trong đó chúng tôi sẽ xây dựng dự thảo, bảo đảm tính đồng bộ với Điều lệ, đồng thời tham gia các cuộc họp đàm phán để giải thích và bảo vệ các điều khoản. Giai đoạn cuối cùng là hỗ trợ ký kết và triển khai, bao gồm việc tư vấn thủ tục, chuẩn bị hồ sơ đồng bộ hóa vào Điều lệ hoặc Nghị quyết công ty, và có thể mở rộng thành dịch vụ tư vấn pháp lý định kỳ trong quá trình thực thi thỏa thuận nếu các bên có nhu cầu.</w:t>
      </w:r>
    </w:p>
    <w:p>
      <w:pPr>
        <w:pStyle w:val="Normal"/>
        <w:spacing w:lineRule="auto" w:line="312" w:before="0" w:after="120"/>
        <w:ind w:firstLine="567"/>
        <w:jc w:val="both"/>
        <w:rPr/>
      </w:pPr>
      <w:r>
        <w:rPr>
          <w:rFonts w:eastAsia="Times New Roman" w:cs="Times New Roman"/>
          <w:color w:val="000000"/>
          <w:sz w:val="26"/>
        </w:rPr>
        <w:t>Về giới hạn và hạn chế bởi quy định pháp luật, việc tư vấn và thiết kế Thỏa thuận cổ đông bị hạn chế bởi khung pháp lý cấm hoặc bắt buộc của Luật Doanh nghiệp 2020 cùng các quy định pháp luật chuyên ngành về thanh toán không dùng tiền mặt và trung gian thanh toán, cụ thể như Nghị định 52/2024/NĐ-CP và Văn bản hợp nhất 76/VBHN-NHNN năm 2026 của Ngân hàng Nhà nước. Các điều khoản thỏa thuận giữa các cổ đông dù dựa trên sự tự nguyện tuyệt đối nhưng cũng không được trái với các quy định mang tính cấm đoán của pháp luật, không được vi phạm các điều kiện về tỷ lệ sở hữu nước ngoài, điều kiện nhân sự hay các chuẩn mực quản trị bắt buộc do Ngân hàng Nhà nước quy định đối với tổ chức cung ứng dịch vụ trung gian thanh toán.</w:t>
      </w:r>
    </w:p>
    <w:p>
      <w:pPr>
        <w:pStyle w:val="Normal"/>
        <w:spacing w:lineRule="auto" w:line="312" w:before="0" w:after="120"/>
        <w:ind w:firstLine="567"/>
        <w:jc w:val="both"/>
        <w:rPr/>
      </w:pPr>
      <w:r>
        <w:rPr>
          <w:rFonts w:eastAsia="Times New Roman" w:cs="Times New Roman"/>
          <w:color w:val="000000"/>
          <w:sz w:val="26"/>
        </w:rPr>
        <w:t>Về phạm vi dịch vụ này thì hoàn toàn không bao gồm việc bảo đảm hay cam kết rằng doanh nghiệp sẽ được Ngân hàng Nhà nước cấp Giấy phép hoạt động cung ứng dịch vụ trung gian thanh toán (ví điện tử), cũng như không bao gồm việc đại diện thay thế cơ quan nhà nước trong việc chấp thuận hay thẩm định các điều kiện hoạt động của doanh nghiệp. Việc cấp phép, phê duyệt hoặc giám sát hoạt động cung ứng dịch vụ thanh toán vẫn thuộc thẩm quyền định đoạt riêng biệt và tuyệt đối của Ngân hàng Nhà nước và các cơ quan nhà nước có thẩm quyền theo quy định.</w:t>
      </w:r>
    </w:p>
    <w:p>
      <w:pPr>
        <w:pStyle w:val="Heading3"/>
        <w:keepNext w:val="true"/>
        <w:spacing w:before="120" w:after="100"/>
        <w:rPr/>
      </w:pPr>
      <w:r>
        <w:rPr>
          <w:rFonts w:eastAsia="Times New Roman" w:cs="Times New Roman" w:ascii="Times New Roman" w:hAnsi="Times New Roman"/>
          <w:b/>
          <w:color w:val="000000"/>
          <w:sz w:val="26"/>
        </w:rPr>
        <w:t>3.6.4. Mục đích dịch vụ.</w:t>
      </w:r>
    </w:p>
    <w:p>
      <w:pPr>
        <w:pStyle w:val="Normal"/>
        <w:spacing w:lineRule="auto" w:line="312" w:before="0" w:after="120"/>
        <w:ind w:firstLine="567"/>
        <w:jc w:val="both"/>
        <w:rPr/>
      </w:pPr>
      <w:r>
        <w:rPr>
          <w:rFonts w:eastAsia="Times New Roman" w:cs="Times New Roman"/>
          <w:color w:val="000000"/>
          <w:sz w:val="26"/>
        </w:rPr>
        <w:t>Thứ nhất, hạn chế tranh chấp giữa các cổ đông. Trong thực tế, Điều lệ công ty thường chỉ quy định những vấn đề mang tính tổ chức và quản trị theo yêu cầu của pháp luật. Trong khi đó, các cổ đông có thể có những thỏa thuận cụ thể hơn về quyền kiểm soát, chuyển nhượng cổ phần, gọi vốn, thoái vốn hoặc xử lý khi có bất đồng. Thỏa thuận cổ đông giúp chuyển những thống nhất này thành các điều khoản có tính ràng buộc giữa các bên, qua đó giảm nguy cơ tranh chấp khi quyền lợi của các cổ đông phát sinh xung đột.</w:t>
      </w:r>
    </w:p>
    <w:p>
      <w:pPr>
        <w:pStyle w:val="Normal"/>
        <w:spacing w:lineRule="auto" w:line="312" w:before="0" w:after="120"/>
        <w:ind w:firstLine="567"/>
        <w:jc w:val="both"/>
        <w:rPr/>
      </w:pPr>
      <w:r>
        <w:rPr>
          <w:rFonts w:eastAsia="Times New Roman" w:cs="Times New Roman"/>
          <w:color w:val="000000"/>
          <w:sz w:val="26"/>
        </w:rPr>
        <w:t>Thứ hai, xác định rõ ai có quyền quyết định vấn đề gì. Đây là vấn đề đặc biệt quan trọng đối với công ty. Khi doanh nghiệp phát triển, quyết định của một nhóm cổ đông có thể ảnh hưởng trực tiếp đến chiến lược kinh doanh, công nghệ, vốn đầu tư và khả năng duy trì hoạt động. Thỏa thuận cổ đông giúp phân định trước quyền quyết định, quyền phủ quyết và những vấn đề phải đạt được sự đồng thuận, từ đó hạn chế tình trạng một cổ đông hoặc một nhóm cổ đông đơn phương kiểm soát các quyết định quan trọng.</w:t>
      </w:r>
    </w:p>
    <w:p>
      <w:pPr>
        <w:pStyle w:val="Normal"/>
        <w:spacing w:lineRule="auto" w:line="312" w:before="0" w:after="120"/>
        <w:ind w:firstLine="567"/>
        <w:jc w:val="both"/>
        <w:rPr/>
      </w:pPr>
      <w:r>
        <w:rPr>
          <w:rFonts w:eastAsia="Times New Roman" w:cs="Times New Roman"/>
          <w:color w:val="000000"/>
          <w:sz w:val="26"/>
        </w:rPr>
        <w:t>Thứ ba, bảo vệ nhà đầu tư và cổ đông sáng lập trong quá trình gọi vốn. Khi công ty huy động vốn, tỷ lệ sở hữu của cổ đông có thể thay đổi. Nếu không có cơ chế bảo vệ phù hợp, cổ đông sáng lập có thể mất quyền kiểm soát hoặc nhà đầu tư có thể không có đủ quyền bảo vệ khoản đầu tư của mình. Thỏa thuận cổ đông có thể giải quyết vấn đề này thông qua các cơ chế như quyền ưu tiên đầu tư, quyền tham gia vòng gọi vốn mới, quyền phủ quyết đối với vấn đề trọng yếu và cơ chế bảo vệ khi có giao dịch làm thay đổi quyền kiểm soát.</w:t>
      </w:r>
    </w:p>
    <w:p>
      <w:pPr>
        <w:pStyle w:val="Normal"/>
        <w:spacing w:lineRule="auto" w:line="312" w:before="0" w:after="120"/>
        <w:ind w:firstLine="567"/>
        <w:jc w:val="both"/>
        <w:rPr/>
      </w:pPr>
      <w:r>
        <w:rPr>
          <w:rFonts w:eastAsia="Times New Roman" w:cs="Times New Roman"/>
          <w:color w:val="000000"/>
          <w:sz w:val="26"/>
        </w:rPr>
        <w:t>Thứ tư, kiểm soát việc chuyển nhượng cổ phần. Đối với một doanh nghiệp, việc một cổ đông chuyển nhượng cổ phần cho một bên thứ ba không phù hợp có thể ảnh hưởng đến chiến lược kinh doanh, quyền kiểm soát và thậm chí tạo ra những vấn đề về quản trị, tuân thủ. Thỏa thuận cổ đông cho phép các bên dự liệu trước trường hợp này và xây dựng cơ chế kiểm soát việc chuyển nhượng.</w:t>
      </w:r>
    </w:p>
    <w:p>
      <w:pPr>
        <w:pStyle w:val="Normal"/>
        <w:spacing w:lineRule="auto" w:line="312" w:before="0" w:after="120"/>
        <w:ind w:firstLine="567"/>
        <w:jc w:val="both"/>
        <w:rPr/>
      </w:pPr>
      <w:r>
        <w:rPr>
          <w:rFonts w:eastAsia="Times New Roman" w:cs="Times New Roman"/>
          <w:color w:val="000000"/>
          <w:sz w:val="26"/>
        </w:rPr>
        <w:t>Thứ năm, xử lý tình trạng bế tắc giữa các cổ đông. Thay vì đến khi tranh chấp xảy ra mới tìm phương án giải quyết, Thỏa thuận cổ đông có thể thiết lập sẵn cơ chế xử lý deadlock. Đây là giá trị quan trọng của dịch vụ: không chỉ giải quyết tranh chấp đã xảy ra mà còn dữ liệu rủi ro và thiết kế cơ chế pháp lý để ngăn tranh chấp phát sinh.</w:t>
      </w:r>
    </w:p>
    <w:p>
      <w:pPr>
        <w:pStyle w:val="Normal"/>
        <w:spacing w:lineRule="auto" w:line="312" w:before="0" w:after="120"/>
        <w:ind w:firstLine="567"/>
        <w:jc w:val="both"/>
        <w:rPr/>
      </w:pPr>
      <w:r>
        <w:rPr>
          <w:rFonts w:eastAsia="Times New Roman" w:cs="Times New Roman"/>
          <w:color w:val="000000"/>
          <w:sz w:val="26"/>
        </w:rPr>
        <w:t>Thứ sáu, bảo đảm sự thống nhất giữa quyền lợi của cổ đông và yêu cầu pháp luật chuyên ngành. Công ty ví điện tử không phải là một doanh nghiệp thông thường chỉ chịu sự điều chỉnh của Luật Doanh nghiệp. Hoạt động thanh toán không dùng tiền mặt và trung gian thanh toán có khung pháp lý chuyên ngành của Ngân hàng Nhà nước; hiện đã có Nghị định 52/2024/NĐ-CP và Văn bản hợp nhất 76/VBHN-NHNN năm 2026 về hoạt động cung ứng dịch vụ trung gian thanh toán. Do đó, việc tư vấn Thỏa thuận cổ đông cần đặt trong tổng thể pháp lý của doanh nghiệp, tránh thiết kế các quyền của cổ đông theo cách có thể ảnh hưởng đến khả năng tuân thủ pháp luật hoặc hoạt động được cấp phép của công ty.</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4. TƯ VẤN PHÁP LÝ PHỤC VỤ HOẠT ĐỘNG KINH DOANH.</w:t>
      </w:r>
    </w:p>
    <w:p>
      <w:pPr>
        <w:pStyle w:val="Heading2"/>
        <w:keepNext w:val="true"/>
        <w:spacing w:before="120" w:after="100"/>
        <w:rPr/>
      </w:pPr>
      <w:r>
        <w:rPr>
          <w:rFonts w:eastAsia="Times New Roman" w:cs="Times New Roman" w:ascii="Times New Roman" w:hAnsi="Times New Roman"/>
          <w:b/>
          <w:color w:val="000000"/>
          <w:sz w:val="26"/>
        </w:rPr>
        <w:t>4.1. Hợp đồng mở và sử dụng ví điện tử (*).</w:t>
      </w:r>
    </w:p>
    <w:p>
      <w:pPr>
        <w:pStyle w:val="Heading3"/>
        <w:keepNext w:val="true"/>
        <w:spacing w:before="120" w:after="100"/>
        <w:rPr/>
      </w:pPr>
      <w:r>
        <w:rPr>
          <w:rFonts w:eastAsia="Times New Roman" w:cs="Times New Roman" w:ascii="Times New Roman" w:hAnsi="Times New Roman"/>
          <w:b/>
          <w:color w:val="000000"/>
          <w:sz w:val="26"/>
        </w:rPr>
        <w:t>4.1.1. Giới thiệu dịch vụ.</w:t>
      </w:r>
    </w:p>
    <w:p>
      <w:pPr>
        <w:pStyle w:val="Normal"/>
        <w:spacing w:lineRule="auto" w:line="312" w:before="0" w:after="120"/>
        <w:ind w:firstLine="567"/>
        <w:jc w:val="both"/>
        <w:rPr/>
      </w:pPr>
      <w:r>
        <w:rPr>
          <w:rFonts w:eastAsia="Times New Roman" w:cs="Times New Roman"/>
          <w:color w:val="000000"/>
          <w:sz w:val="26"/>
        </w:rPr>
        <w:t>Dịch vụ ví điện tử là dịch vụ trung gian thanh toán được cung ứng thông quan phương tiện điện tư, cho phép khách hàng đăng ký, mở và sử dụng tài khoản ví điện tử theo quy định của pháp luật và quy định của tổ chức cung ứng dịch vụ. Hợp đồng cung ứng dịch vụ mở và cung ứng dịch vụ ví điện tử là văn bản pháp lý thiết lập mối quan hệ giữa tổ chức cung ứng dịch vụ ví điện từ và khách hàng, làm cơ sở điều chỉnh việc đăng ký, mở, quản lý và sử dụng ví điện tử cũng như thực hiện các giao dịch thông qua ví theo phạm vi dịch vụ được cung ứng. Hợp đồng có vai trò xác lập rõ quyền, nghĩa vụ và trách nhiệm của các bên trong toàn bộ quá trình sử dụng dịch vụ, từ khi khách hàng đăng ký mở ví, xác thực thông tin, sử dụng các tính năng của ví, thực hiện giao dịch thanh toán, đến việc kiểm tra, ra soat, kiến nại và chấm dứt việc sử dụng dịch vụ.</w:t>
      </w:r>
    </w:p>
    <w:p>
      <w:pPr>
        <w:pStyle w:val="Heading3"/>
        <w:keepNext w:val="true"/>
        <w:spacing w:before="120" w:after="100"/>
        <w:rPr/>
      </w:pPr>
      <w:r>
        <w:rPr>
          <w:rFonts w:eastAsia="Times New Roman" w:cs="Times New Roman" w:ascii="Times New Roman" w:hAnsi="Times New Roman"/>
          <w:b/>
          <w:color w:val="000000"/>
          <w:sz w:val="26"/>
        </w:rPr>
        <w:t>4.1.2. Nội dung dịch vụ.</w:t>
      </w:r>
    </w:p>
    <w:p>
      <w:pPr>
        <w:pStyle w:val="Normal"/>
        <w:spacing w:lineRule="auto" w:line="312" w:before="0" w:after="120"/>
        <w:ind w:firstLine="567"/>
        <w:jc w:val="both"/>
        <w:rPr/>
      </w:pPr>
      <w:r>
        <w:rPr>
          <w:rFonts w:eastAsia="Times New Roman" w:cs="Times New Roman"/>
          <w:color w:val="000000"/>
          <w:sz w:val="26"/>
        </w:rPr>
        <w:t>Bước 1: Chuẩn bị và xác định các thông tin cần thiết. Doanh nghiệp cần chuẩn bị các thông tin liên quan đến chủ thể cung ứng dịch vụ, loại ví điện tử, điều kiện mở và sử dụng ví, hạn mức giao dịch, biểu phí, phương thức xác thực, quy trình xử lý giao dịch và cơ chế hỗ trợ khách hàng. Đối với khách hàng, cần xác định các thông tin cần thu thập để phục vụ việc xác minh, nhận biết khách hàng và quản lý tài khoản theo quy định pháp luật. Theo điều 18, điều 22 thông tư 40/2024/ TT-NHNN đặt ra yêu cầu về hồ sơ mở ví điện tử và việc mở ví bằng phương tiện điện tử. Theo đó ngân hàng nhà nước cũng nhấn mạnh yêu cầu đối chiếu thông tin sinh trắc học trong quá trình mở ví điện tử bằng phương tiện điện tử.</w:t>
      </w:r>
    </w:p>
    <w:p>
      <w:pPr>
        <w:pStyle w:val="Normal"/>
        <w:spacing w:lineRule="auto" w:line="312" w:before="0" w:after="120"/>
        <w:ind w:firstLine="567"/>
        <w:jc w:val="both"/>
        <w:rPr/>
      </w:pPr>
      <w:r>
        <w:rPr>
          <w:rFonts w:eastAsia="Times New Roman" w:cs="Times New Roman"/>
          <w:color w:val="000000"/>
          <w:sz w:val="26"/>
        </w:rPr>
        <w:t>Bước 2: Soạn thảo Hợp đồng mở và cung ứng dịch vụ ví điện tử. Xây dựng hợp đồng bao gồm các nội dung cơ bản ( quy định tại khoản 1 điều 19 thông tư 40/ 2024/ TT- NHNN)</w:t>
      </w:r>
    </w:p>
    <w:p>
      <w:pPr>
        <w:pStyle w:val="Normal"/>
        <w:spacing w:lineRule="auto" w:line="312" w:before="0" w:after="120"/>
        <w:ind w:hanging="0" w:start="425"/>
        <w:jc w:val="both"/>
        <w:rPr>
          <w:b w:val="false"/>
          <w:bCs w:val="false"/>
        </w:rPr>
      </w:pPr>
      <w:r>
        <w:rPr>
          <w:rFonts w:eastAsia="Times New Roman" w:cs="Times New Roman"/>
          <w:color w:val="000000"/>
          <w:sz w:val="26"/>
        </w:rPr>
        <w:t>- Điều kiện và thủ tục mở ví điện tử;</w:t>
      </w:r>
    </w:p>
    <w:p>
      <w:pPr>
        <w:pStyle w:val="Normal"/>
        <w:spacing w:lineRule="auto" w:line="312" w:before="0" w:after="120"/>
        <w:ind w:hanging="0" w:start="425"/>
        <w:jc w:val="both"/>
        <w:rPr>
          <w:b w:val="false"/>
          <w:bCs w:val="false"/>
        </w:rPr>
      </w:pPr>
      <w:r>
        <w:rPr>
          <w:rFonts w:eastAsia="Times New Roman" w:cs="Times New Roman"/>
          <w:color w:val="000000"/>
          <w:sz w:val="26"/>
        </w:rPr>
        <w:t>- Quyền và nghĩa vụ của doanh nghiệp và khách hàng;</w:t>
      </w:r>
    </w:p>
    <w:p>
      <w:pPr>
        <w:pStyle w:val="Normal"/>
        <w:spacing w:lineRule="auto" w:line="312" w:before="0" w:after="120"/>
        <w:ind w:hanging="0" w:start="425"/>
        <w:jc w:val="both"/>
        <w:rPr>
          <w:b w:val="false"/>
          <w:bCs w:val="false"/>
        </w:rPr>
      </w:pPr>
      <w:r>
        <w:rPr>
          <w:rFonts w:eastAsia="Times New Roman" w:cs="Times New Roman"/>
          <w:color w:val="000000"/>
          <w:sz w:val="26"/>
        </w:rPr>
        <w:t>- Cách thức sử dụng ví điện tử;</w:t>
      </w:r>
    </w:p>
    <w:p>
      <w:pPr>
        <w:pStyle w:val="Normal"/>
        <w:spacing w:lineRule="auto" w:line="312" w:before="0" w:after="120"/>
        <w:ind w:hanging="0" w:start="425"/>
        <w:jc w:val="both"/>
        <w:rPr>
          <w:b w:val="false"/>
          <w:bCs w:val="false"/>
        </w:rPr>
      </w:pPr>
      <w:r>
        <w:rPr>
          <w:rFonts w:eastAsia="Times New Roman" w:cs="Times New Roman"/>
          <w:color w:val="000000"/>
          <w:sz w:val="26"/>
        </w:rPr>
        <w:t>- Hạn mức giao dịch;</w:t>
      </w:r>
    </w:p>
    <w:p>
      <w:pPr>
        <w:pStyle w:val="Normal"/>
        <w:spacing w:lineRule="auto" w:line="312" w:before="0" w:after="120"/>
        <w:ind w:hanging="0" w:start="425"/>
        <w:jc w:val="both"/>
        <w:rPr>
          <w:b w:val="false"/>
          <w:bCs w:val="false"/>
        </w:rPr>
      </w:pPr>
      <w:r>
        <w:rPr>
          <w:rFonts w:eastAsia="Times New Roman" w:cs="Times New Roman"/>
          <w:color w:val="000000"/>
          <w:sz w:val="26"/>
        </w:rPr>
        <w:t>- Phí dịch vụ và phương thức thu phí;</w:t>
      </w:r>
    </w:p>
    <w:p>
      <w:pPr>
        <w:pStyle w:val="Normal"/>
        <w:spacing w:lineRule="auto" w:line="312" w:before="0" w:after="120"/>
        <w:ind w:hanging="0" w:start="425"/>
        <w:jc w:val="both"/>
        <w:rPr>
          <w:b w:val="false"/>
          <w:bCs w:val="false"/>
        </w:rPr>
      </w:pPr>
      <w:r>
        <w:rPr>
          <w:rFonts w:eastAsia="Times New Roman" w:cs="Times New Roman"/>
          <w:color w:val="000000"/>
          <w:sz w:val="26"/>
        </w:rPr>
        <w:t>- Quy trình thực hiện, xác nhận và xử lý giao dịch;</w:t>
      </w:r>
    </w:p>
    <w:p>
      <w:pPr>
        <w:pStyle w:val="Normal"/>
        <w:spacing w:lineRule="auto" w:line="312" w:before="0" w:after="120"/>
        <w:ind w:hanging="0" w:start="425"/>
        <w:jc w:val="both"/>
        <w:rPr>
          <w:b w:val="false"/>
          <w:bCs w:val="false"/>
        </w:rPr>
      </w:pPr>
      <w:r>
        <w:rPr>
          <w:rFonts w:eastAsia="Times New Roman" w:cs="Times New Roman"/>
          <w:color w:val="000000"/>
          <w:sz w:val="26"/>
        </w:rPr>
        <w:t>- Quy định về xác thực khách hàng;</w:t>
      </w:r>
    </w:p>
    <w:p>
      <w:pPr>
        <w:pStyle w:val="Normal"/>
        <w:spacing w:lineRule="auto" w:line="312" w:before="0" w:after="120"/>
        <w:ind w:hanging="0" w:start="425"/>
        <w:jc w:val="both"/>
        <w:rPr>
          <w:b w:val="false"/>
          <w:bCs w:val="false"/>
        </w:rPr>
      </w:pPr>
      <w:r>
        <w:rPr>
          <w:rFonts w:eastAsia="Times New Roman" w:cs="Times New Roman"/>
          <w:color w:val="000000"/>
          <w:sz w:val="26"/>
        </w:rPr>
        <w:t>- Quy định về bảo mật tài khoản và thông tin khách hàng;</w:t>
      </w:r>
    </w:p>
    <w:p>
      <w:pPr>
        <w:pStyle w:val="Normal"/>
        <w:spacing w:lineRule="auto" w:line="312" w:before="0" w:after="120"/>
        <w:ind w:hanging="0" w:start="425"/>
        <w:jc w:val="both"/>
        <w:rPr>
          <w:b w:val="false"/>
          <w:bCs w:val="false"/>
        </w:rPr>
      </w:pPr>
      <w:r>
        <w:rPr>
          <w:rFonts w:eastAsia="Times New Roman" w:cs="Times New Roman"/>
          <w:color w:val="000000"/>
          <w:sz w:val="26"/>
        </w:rPr>
        <w:t>- Xử lý giao dịch sai, nhầm lẫn hoặc giao dịch có dấu hiệu bất thường;</w:t>
      </w:r>
    </w:p>
    <w:p>
      <w:pPr>
        <w:pStyle w:val="Normal"/>
        <w:spacing w:lineRule="auto" w:line="312" w:before="0" w:after="120"/>
        <w:ind w:hanging="0" w:start="425"/>
        <w:jc w:val="both"/>
        <w:rPr>
          <w:b w:val="false"/>
          <w:bCs w:val="false"/>
        </w:rPr>
      </w:pPr>
      <w:r>
        <w:rPr>
          <w:rFonts w:eastAsia="Times New Roman" w:cs="Times New Roman"/>
          <w:color w:val="000000"/>
          <w:sz w:val="26"/>
        </w:rPr>
        <w:t>- Tạm khóa, phong tỏa hoặc chấm dứt sử dụng ví trong các trường hợp cần thiết;</w:t>
      </w:r>
    </w:p>
    <w:p>
      <w:pPr>
        <w:pStyle w:val="Normal"/>
        <w:spacing w:lineRule="auto" w:line="312" w:before="0" w:after="120"/>
        <w:ind w:hanging="0" w:start="425"/>
        <w:jc w:val="both"/>
        <w:rPr>
          <w:b w:val="false"/>
          <w:bCs w:val="false"/>
        </w:rPr>
      </w:pPr>
      <w:r>
        <w:rPr>
          <w:rFonts w:eastAsia="Times New Roman" w:cs="Times New Roman"/>
          <w:color w:val="000000"/>
          <w:sz w:val="26"/>
        </w:rPr>
        <w:t>- Cơ chế tiếp nhận và giải quyết khiếu nại;</w:t>
      </w:r>
    </w:p>
    <w:p>
      <w:pPr>
        <w:pStyle w:val="Normal"/>
        <w:spacing w:lineRule="auto" w:line="312" w:before="0" w:after="120"/>
        <w:ind w:hanging="0" w:start="425"/>
        <w:jc w:val="both"/>
        <w:rPr>
          <w:b w:val="false"/>
          <w:bCs w:val="false"/>
        </w:rPr>
      </w:pPr>
      <w:r>
        <w:rPr>
          <w:rFonts w:eastAsia="Times New Roman" w:cs="Times New Roman"/>
          <w:color w:val="000000"/>
          <w:sz w:val="26"/>
        </w:rPr>
        <w:t>- Trách nhiệm của các bên khi xảy ra sự cố;</w:t>
      </w:r>
    </w:p>
    <w:p>
      <w:pPr>
        <w:pStyle w:val="Normal"/>
        <w:spacing w:lineRule="auto" w:line="312" w:before="0" w:after="120"/>
        <w:ind w:hanging="0" w:start="425"/>
        <w:jc w:val="both"/>
        <w:rPr>
          <w:b w:val="false"/>
          <w:bCs w:val="false"/>
        </w:rPr>
      </w:pPr>
      <w:r>
        <w:rPr>
          <w:rFonts w:eastAsia="Times New Roman" w:cs="Times New Roman"/>
          <w:color w:val="000000"/>
          <w:sz w:val="26"/>
        </w:rPr>
        <w:t>- Điều kiện và thủ tục đóng ví điện tử;</w:t>
      </w:r>
    </w:p>
    <w:p>
      <w:pPr>
        <w:pStyle w:val="Normal"/>
        <w:spacing w:lineRule="auto" w:line="312" w:before="0" w:after="120"/>
        <w:ind w:hanging="0" w:start="425"/>
        <w:jc w:val="both"/>
        <w:rPr>
          <w:b w:val="false"/>
          <w:bCs w:val="false"/>
        </w:rPr>
      </w:pPr>
      <w:r>
        <w:rPr>
          <w:rFonts w:eastAsia="Times New Roman" w:cs="Times New Roman"/>
          <w:color w:val="000000"/>
          <w:sz w:val="26"/>
        </w:rPr>
        <w:t>- Phương thức sửa đổi, bổ sung hợp đồng.</w:t>
      </w:r>
    </w:p>
    <w:p>
      <w:pPr>
        <w:pStyle w:val="Normal"/>
        <w:spacing w:lineRule="auto" w:line="312" w:before="0" w:after="120"/>
        <w:ind w:firstLine="567"/>
        <w:jc w:val="both"/>
        <w:rPr/>
      </w:pPr>
      <w:r>
        <w:rPr>
          <w:rFonts w:eastAsia="Times New Roman" w:cs="Times New Roman"/>
          <w:color w:val="000000"/>
          <w:sz w:val="26"/>
        </w:rPr>
        <w:t>Bước 3: Rà soát và hoàn thiện hợp đồng. Sau khi soạn thảo, rà soát tính phù hợp của hợp đồng với quy định pháp luật hiện hành và các quy trình vận hành thực tế của doanh nghiệp.Đặc biệt, kiểm tra các điều khoản liên quan đến tiền của khách hàng, dữ liệu cá nhân, giao dịch điện tử, bảo mật tài khoản và trách nhiệm của doanh nghiệp khi xảy ra sự cố, bởi đây là những nội dung có khả năng phát sinh tranh chấp cao trong quá trình cung ứng dịch vụ.</w:t>
      </w:r>
    </w:p>
    <w:p>
      <w:pPr>
        <w:pStyle w:val="Normal"/>
        <w:spacing w:lineRule="auto" w:line="312" w:before="0" w:after="120"/>
        <w:ind w:firstLine="567"/>
        <w:jc w:val="both"/>
        <w:rPr/>
      </w:pPr>
      <w:r>
        <w:rPr>
          <w:rFonts w:eastAsia="Times New Roman" w:cs="Times New Roman"/>
          <w:color w:val="000000"/>
          <w:sz w:val="26"/>
        </w:rPr>
        <w:t>Nội dung của Hợp đồng mở và cung ứng dịch vụ ví điện tử ngoài việc xác định quyền và nghĩa vụ của doanh nghiệp và khách hàng cần phải thể hiện đầy đủ, minh bạch các điều kiện để khách hàng có thể mở và sử dụng ví điện tử.</w:t>
      </w:r>
    </w:p>
    <w:p>
      <w:pPr>
        <w:pStyle w:val="Normal"/>
        <w:spacing w:lineRule="auto" w:line="312" w:before="0" w:after="120"/>
        <w:ind w:firstLine="567"/>
        <w:jc w:val="both"/>
        <w:rPr/>
      </w:pPr>
      <w:r>
        <w:rPr>
          <w:rFonts w:eastAsia="Times New Roman" w:cs="Times New Roman"/>
          <w:color w:val="000000"/>
          <w:sz w:val="26"/>
        </w:rPr>
        <w:t>Thứ nhất, tư vấn điều khoản về mở và sử dụng ví điện tử. Xây dựng các quy định về điều kiện mở ví, thông tin khách hàng cần cung cấp, phương thức xác thực và các trường hợp doanh nghiệp được quyền từ chối mở hoặc tạm dừng cung ứng dịch vụ theo quy định pháp luật. Đồng thời, hợp đồng cần quy định rõ trách nhiệm của khách hàng trong việc bảo quản thông tin xác thực, mật khẩu, mã PIN, thiết bị và các phương tiện xác thực khác để hạn chế nguy cơ tài khoản bị chiếm đoạt.</w:t>
      </w:r>
    </w:p>
    <w:p>
      <w:pPr>
        <w:pStyle w:val="Normal"/>
        <w:spacing w:lineRule="auto" w:line="312" w:before="0" w:after="120"/>
        <w:ind w:firstLine="567"/>
        <w:jc w:val="both"/>
        <w:rPr/>
      </w:pPr>
      <w:r>
        <w:rPr>
          <w:rFonts w:eastAsia="Times New Roman" w:cs="Times New Roman"/>
          <w:color w:val="000000"/>
          <w:sz w:val="26"/>
        </w:rPr>
        <w:t>Thứ hai, tư vấn điều khoản về giao dịch và thanh toán. Hợp đồng cần quy định cụ thể cách thức khách hàng thực hiện giao dịch thông qua ví điện tử, thời điểm giao dịch được xác lập, phương thức xác nhận giao dịch, hạn mức giao dịch và cách thức xử lý trong trường hợp giao dịch không thành công. Đặc biệt, cần có cơ chế xử lý đối với các trường hợp giao dịch bị lỗi, giao dịch nhầm, giao dịch không do khách hàng thực hiện hoặc giao dịch có dấu hiệu gian lận, qua đó xác định trách nhiệm của doanh nghiệp và khách hàng trong từng trường hợp.</w:t>
      </w:r>
    </w:p>
    <w:p>
      <w:pPr>
        <w:pStyle w:val="Normal"/>
        <w:spacing w:lineRule="auto" w:line="312" w:before="0" w:after="120"/>
        <w:ind w:firstLine="567"/>
        <w:jc w:val="both"/>
        <w:rPr/>
      </w:pPr>
      <w:r>
        <w:rPr>
          <w:rFonts w:eastAsia="Times New Roman" w:cs="Times New Roman"/>
          <w:color w:val="000000"/>
          <w:sz w:val="26"/>
        </w:rPr>
        <w:t>Thứ ba, tư vấn điều khoản về phí dịch vụ. Doanh nghiệp cần công khai rõ các loại phí mà khách hàng phải thanh toán, thời điểm thu phí và phương thức thu phí. Các điều khoản về phí cần được xây dựng minh bạch, tránh trường hợp doanh nghiệp quy định những khoản phí mà khách hàng không được thông báo rõ ràng trước khi sử dụng dịch vụ.</w:t>
      </w:r>
    </w:p>
    <w:p>
      <w:pPr>
        <w:pStyle w:val="Normal"/>
        <w:spacing w:lineRule="auto" w:line="312" w:before="0" w:after="120"/>
        <w:ind w:firstLine="567"/>
        <w:jc w:val="both"/>
        <w:rPr/>
      </w:pPr>
      <w:r>
        <w:rPr>
          <w:rFonts w:eastAsia="Times New Roman" w:cs="Times New Roman"/>
          <w:color w:val="000000"/>
          <w:sz w:val="26"/>
        </w:rPr>
        <w:t>Thứ tư, tư vấn điều khoản về bảo vệ dữ liệu và thông tin khách hàng. Ví điện tử có thể xử lý nhiều loại dữ liệu của khách hàng như thông tin định danh, số điện thoại, thông tin tài khoản, lịch sử giao dịch và các dữ liệu phát sinh trong quá trình sử dụng dịch vụ. Vì vậy, hợp đồng cần quy định rõ việc thu thập, sử dụng, lưu trữ, bảo vệ và chia sẻ dữ liệu khách hàng theo quy định pháp luật. Rà soát sự thống nhất giữa hợp đồng với chính sách bảo vệ dữ liệu cá nhân và các tài liệu liên quan của doanh nghiệp để hạn chế rủi ro pháp lý.</w:t>
      </w:r>
    </w:p>
    <w:p>
      <w:pPr>
        <w:pStyle w:val="Normal"/>
        <w:spacing w:lineRule="auto" w:line="312" w:before="0" w:after="120"/>
        <w:ind w:firstLine="567"/>
        <w:jc w:val="both"/>
        <w:rPr/>
      </w:pPr>
      <w:r>
        <w:rPr>
          <w:rFonts w:eastAsia="Times New Roman" w:cs="Times New Roman"/>
          <w:color w:val="000000"/>
          <w:sz w:val="26"/>
        </w:rPr>
        <w:t>Thứ năm, tư vấn cơ chế giải quyết khiếu nại và tranh chấp. Xây dựng quy trình tiếp nhận và giải quyết khiếu nại liên quan đến giao dịch, số dư ví, phí dịch vụ, giao dịch trái phép, khóa tài khoản và các vấn đề khác phát sinh trong quá trình sử dụng ví điện tử. Đồng thời, hợp đồng cần xác định phương thức giải quyết tranh chấp giữa doanh nghiệp và khách hàng theo quy định pháp luật.</w:t>
      </w:r>
    </w:p>
    <w:p>
      <w:pPr>
        <w:pStyle w:val="Heading3"/>
        <w:keepNext w:val="true"/>
        <w:spacing w:before="120" w:after="100"/>
        <w:rPr/>
      </w:pPr>
      <w:r>
        <w:rPr>
          <w:rFonts w:eastAsia="Times New Roman" w:cs="Times New Roman" w:ascii="Times New Roman" w:hAnsi="Times New Roman"/>
          <w:b/>
          <w:color w:val="000000"/>
          <w:sz w:val="26"/>
        </w:rPr>
        <w:t>4.1.3.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Hợp đồng mở và cung ứng dịch vụ ví điện tử được xác lập giữa tổ chức cung ứng dịch vụ ví điện tử và khách hàng có nhu cầu mở, sử dụng ví điện tử. Về phía tổ chức cung ứng, chủ thể này phải là tổ chức được Ngân hàng Nhà nước cấp phép cung ứng dịch vụ trung gian thanh toán và việc cung ứng ví điện tử phải nằm trong phạm vi được cấp phép. Về phía khách hàng, đối tượng sử dụng ví điện tử có thể là cá nhân hoặc tổ chức đáp ứng đầy đủ các điều kiện theo quy định của pháp luật. Đối với khách hàng là tổ chức, việc sử dụng ví điện tử có thể được thực hiện thông qua cá nhân được tổ chức ủy quyền. Việc xác định đúng đối tượng áp dụng có ý nghĩa quan trọng bởi ví điện tử là dịch vụ trung gian thanh toán có điều kiện, không phải bất kỳ doanh nghiệp nào cũng được quyền cung ứng và không phải bất kỳ chủ thể nào cũng có thể mở, sử dụng ví điện tử nếu không đáp ứng các yêu cầu về nhận biết, xác minh khách hàng và các điều kiện liên quan. (căn cứ vào Điều 17 Thông tư 40/2024 - NHNN quy định về đối tượng khách hàng sử dụng ví điện tử).</w:t>
      </w:r>
    </w:p>
    <w:p>
      <w:pPr>
        <w:pStyle w:val="Normal"/>
        <w:spacing w:lineRule="auto" w:line="312" w:before="0" w:after="120"/>
        <w:ind w:firstLine="567"/>
        <w:jc w:val="both"/>
        <w:rPr/>
      </w:pPr>
      <w:r>
        <w:rPr>
          <w:rFonts w:eastAsia="Times New Roman" w:cs="Times New Roman"/>
          <w:color w:val="000000"/>
          <w:sz w:val="26"/>
        </w:rPr>
        <w:t>Thứ hai, về thời hạn của hợp đồng: hợp đồng có hiệu lực kể từ thời điểm các bên hoàn tất việc xác lập thỏa thuận theo phương thức được tổ chức cung ứng chấp nhận, đồng thời khách hàng phải hoàn thành các điều kiện cần thiết để được mở và sử dụng ví điện tử theo quy định pháp luật.</w:t>
      </w:r>
    </w:p>
    <w:p>
      <w:pPr>
        <w:pStyle w:val="Normal"/>
        <w:spacing w:lineRule="auto" w:line="312" w:before="0" w:after="120"/>
        <w:ind w:firstLine="567"/>
        <w:jc w:val="both"/>
        <w:rPr/>
      </w:pPr>
      <w:r>
        <w:rPr>
          <w:rFonts w:eastAsia="Times New Roman" w:cs="Times New Roman"/>
          <w:color w:val="000000"/>
          <w:sz w:val="26"/>
        </w:rPr>
        <w:t>Thứ ba, về phạm vi dịch vụ cung ứng: Phạm vi của hợp đồng phải được giới hạn trong những dịch vụ mà tổ chức cung ứng được phép thực hiện theo Giấy phép và quy định pháp luật về trung gian thanh toán. Về cơ bản, dịch vụ ví điện tử bao gồm việc mở và quản lý ví, xác minh và quản lý thông tin khách hàng, liên kết ví với tài khoản thanh toán hoặc thẻ ghi nợ theo quy định, nạp tiền vào ví, rút tiền từ ví, chuyển tiền và sử dụng số dư ví để thanh toán hàng hóa, dịch vụ hợp pháp. Ngoài ra, tổ chức cung ứng có thể cung cấp các chức năng kỹ thuật và tiện ích liên quan trực tiếp đến việc quản lý, sử dụng ví điện tử nếu những chức năng đó thuộc phạm vi được pháp luật cho phép và phù hợp với giấy phép của tổ chức cung ứng.</w:t>
      </w:r>
    </w:p>
    <w:p>
      <w:pPr>
        <w:pStyle w:val="Normal"/>
        <w:spacing w:lineRule="auto" w:line="312" w:before="0" w:after="120"/>
        <w:ind w:firstLine="567"/>
        <w:jc w:val="both"/>
        <w:rPr/>
      </w:pPr>
      <w:r>
        <w:rPr>
          <w:rFonts w:eastAsia="Times New Roman" w:cs="Times New Roman"/>
          <w:color w:val="000000"/>
          <w:sz w:val="26"/>
        </w:rPr>
        <w:t>Thứ tư, giới hạn đối với việc sử dụng ví điện tử: Phạm vi cung ứng dịch vụ ví điện tử còn bị giới hạn bởi mục đích sử dụng và hạn mức giao dịch theo pháp luật. Ví điện tử được sử dụng chủ yếu để phục vụ các giao dịch thanh toán hàng hóa, dịch vụ hợp pháp và các giao dịch chuyển tiền thuộc phạm vi pháp luật cho phép. Vì vậy, khách hàng không thể sử dụng ví điện tử để thực hiện các giao dịch nhằm phục vụ hoạt động bị pháp luật cấm hoặc các giao dịch có dấu hiệu gian lận, rửa tiền, tài trợ khủng bố và các hành vi vi phạm pháp luật khác.</w:t>
      </w:r>
    </w:p>
    <w:p>
      <w:pPr>
        <w:pStyle w:val="Heading3"/>
        <w:keepNext w:val="true"/>
        <w:spacing w:before="120" w:after="100"/>
        <w:rPr/>
      </w:pPr>
      <w:r>
        <w:rPr>
          <w:rFonts w:eastAsia="Times New Roman" w:cs="Times New Roman" w:ascii="Times New Roman" w:hAnsi="Times New Roman"/>
          <w:b/>
          <w:color w:val="000000"/>
          <w:sz w:val="26"/>
        </w:rPr>
        <w:t>4.1.4. Mục đích dịch vụ.</w:t>
      </w:r>
    </w:p>
    <w:p>
      <w:pPr>
        <w:pStyle w:val="Normal"/>
        <w:spacing w:lineRule="auto" w:line="312" w:before="0" w:after="120"/>
        <w:ind w:firstLine="567"/>
        <w:jc w:val="both"/>
        <w:rPr/>
      </w:pPr>
      <w:r>
        <w:rPr>
          <w:rFonts w:eastAsia="Times New Roman" w:cs="Times New Roman"/>
          <w:color w:val="000000"/>
          <w:sz w:val="26"/>
        </w:rPr>
        <w:t>Đối với doanh nghiệp cung ứng dịch vụ ví điện tử, Hợp đồng mở và cung ứng dịch vụ ví điện tử không chỉ là văn bản xác lập quan hệ với khách hàng mà còn là công cụ kiểm soát rủi ro pháp lý, tài chính, công nghệ và tranh chấp trong quá trình cung ứng dịch vụ. Cụ thể:</w:t>
      </w:r>
    </w:p>
    <w:p>
      <w:pPr>
        <w:pStyle w:val="Normal"/>
        <w:spacing w:lineRule="auto" w:line="312" w:before="0" w:after="120"/>
        <w:ind w:firstLine="567"/>
        <w:jc w:val="both"/>
        <w:rPr/>
      </w:pPr>
      <w:r>
        <w:rPr>
          <w:rFonts w:eastAsia="Times New Roman" w:cs="Times New Roman"/>
          <w:color w:val="000000"/>
          <w:sz w:val="26"/>
        </w:rPr>
        <w:t>Thứ nhất, hợp đồng xác lập rõ quyền và nghĩa vụ của doanh nghiệp và khách hàng: Trong quá trình sử dụng ví điện tử, khách hàng có thể thực hiện nhiều giao dịch khác nhau. Nếu quyền và nghĩa vụ của các bên không được quy định rõ, khi phát sinh sự cố sẽ rất khó xác định bên nào phải chịu trách nhiệm.</w:t>
      </w:r>
    </w:p>
    <w:p>
      <w:pPr>
        <w:pStyle w:val="Normal"/>
        <w:spacing w:lineRule="auto" w:line="312" w:before="0" w:after="120"/>
        <w:ind w:firstLine="567"/>
        <w:jc w:val="both"/>
        <w:rPr/>
      </w:pPr>
      <w:r>
        <w:rPr>
          <w:rFonts w:eastAsia="Times New Roman" w:cs="Times New Roman"/>
          <w:color w:val="000000"/>
          <w:sz w:val="26"/>
        </w:rPr>
        <w:t>Thứ hai, hợp đồng kiểm soát rủi ro liên quan đến tiền và giao dịch của khách hàng.: Đây là vấn đề đặc biệt quan trọng đối với ví điện tử bởi doanh nghiệp cung ứng dịch vụ có thể xử lý một lượng lớn giao dịch của khách hàng. Hợp đồng cần quy định rõ cách thức ghi nhận giao dịch, xử lý giao dịch lỗi, giao dịch nhầm, hoàn trả và giải quyết các khiếu nại liên quan đến số dư hoặc giao dịch.Qua đó, doanh nghiệp có cơ sở pháp lý để xử lý các tình huống phát sinh và hạn chế tranh chấp với khách hàng.</w:t>
      </w:r>
    </w:p>
    <w:p>
      <w:pPr>
        <w:pStyle w:val="Normal"/>
        <w:spacing w:lineRule="auto" w:line="312" w:before="0" w:after="120"/>
        <w:ind w:firstLine="567"/>
        <w:jc w:val="both"/>
        <w:rPr/>
      </w:pPr>
      <w:r>
        <w:rPr>
          <w:rFonts w:eastAsia="Times New Roman" w:cs="Times New Roman"/>
          <w:color w:val="000000"/>
          <w:sz w:val="26"/>
        </w:rPr>
        <w:t>Thứ ba, hợp đồng bảo vệ doanh nghiệp trước hành vi gian lận và sử dụng ví trái pháp luật: Ví điện tử có thể bị lợi dụng để thực hiện các giao dịch bất hợp pháp, gian lận hoặc chiếm đoạt tài sản. Do đó, hợp đồng cần quy định rõ trách nhiệm của khách hàng trong việc sử dụng ví đúng mục đích, không cung cấp tài khoản cho người khác sử dụng và không thực hiện các giao dịch trái pháp luật. Đồng thời, hợp đồng cần tạo cơ sở để doanh nghiệp thực hiện các biện pháp xử lý cần thiết khi phát hiện dấu hiệu bất thường, trong phạm vi pháp luật cho phép.</w:t>
      </w:r>
    </w:p>
    <w:p>
      <w:pPr>
        <w:pStyle w:val="Normal"/>
        <w:spacing w:lineRule="auto" w:line="312" w:before="0" w:after="120"/>
        <w:ind w:firstLine="567"/>
        <w:jc w:val="both"/>
        <w:rPr/>
      </w:pPr>
      <w:r>
        <w:rPr>
          <w:rFonts w:eastAsia="Times New Roman" w:cs="Times New Roman"/>
          <w:color w:val="000000"/>
          <w:sz w:val="26"/>
        </w:rPr>
        <w:t>Thứ tư, hợp đồng bảo vệ dữ liệu và thông tin khách hàng: Đây là một trong những rủi ro lớn nhất của doanh nghiệp kinh doanh nghiệp kinh doanh dịch vụ ví điện tử. Việc thông tin khách hàng hoặc lịch sử giao dịch bị tiết lộ, sử dụng sai mục đích hoặc bị truy cập trái phép không chỉ ảnh hưởng đến khách hàng mà còn có thể gây thiệt hại lớn về uy tín và trách nhiệm pháp lý cho doanh nghiệp. Do đó, hợp đồng cần xác định rõ nguyên tắc xử lý dữ liệu, trách nhiệm bảo mật của doanh nghiệp và khách hàng cũng như các trường hợp được xử lý, cung cấp hoặc chia sẻ thông tin theo quy định pháp luật.</w:t>
      </w:r>
    </w:p>
    <w:p>
      <w:pPr>
        <w:pStyle w:val="Normal"/>
        <w:spacing w:lineRule="auto" w:line="312" w:before="0" w:after="120"/>
        <w:ind w:firstLine="567"/>
        <w:jc w:val="both"/>
        <w:rPr/>
      </w:pPr>
      <w:r>
        <w:rPr>
          <w:rFonts w:eastAsia="Times New Roman" w:cs="Times New Roman"/>
          <w:color w:val="000000"/>
          <w:sz w:val="26"/>
        </w:rPr>
        <w:t>Thứ năm, hợp đồng hạn chế tranh chấp giữa doanh nghiệp và khách hàng: Một hợp đồng được xây dựng rõ ràng sẽ giúp doanh nghiệp có căn cứ xử lý các vấn đề như giao dịch thất bại, giao dịch trái phép, khóa tài khoản, hoàn tiền, thu phí, chấm dứt dịch vụ và khiếu nại của khách hàng. Đặc biệt, đối với mô hình cung ứng dịch vụ ví điện tử, chú trọng xây dựng hợp đồng theo hướng minh bạch, dễ hiểu đối với khách hàng nhưng vẫn đảm bảo cơ chế bảo vệ lợi ích hợp pháp của doanh nghiệp, tránh việc sử dụng các điều khoản quá rộng để miễn trừ trách nhiệm cho doanh nghiệp</w:t>
      </w:r>
    </w:p>
    <w:p>
      <w:pPr>
        <w:pStyle w:val="Heading2"/>
        <w:keepNext w:val="true"/>
        <w:spacing w:before="120" w:after="100"/>
        <w:rPr/>
      </w:pPr>
      <w:r>
        <w:rPr>
          <w:rFonts w:eastAsia="Times New Roman" w:cs="Times New Roman" w:ascii="Times New Roman" w:hAnsi="Times New Roman"/>
          <w:b/>
          <w:color w:val="000000"/>
          <w:sz w:val="26"/>
        </w:rPr>
        <w:t>4.2. Hợp đồng thuê ngoài dịch vụ công nghệ thông tin.</w:t>
      </w:r>
    </w:p>
    <w:p>
      <w:pPr>
        <w:pStyle w:val="Heading3"/>
        <w:keepNext w:val="true"/>
        <w:spacing w:before="120" w:after="100"/>
        <w:rPr/>
      </w:pPr>
      <w:r>
        <w:rPr>
          <w:rFonts w:eastAsia="Times New Roman" w:cs="Times New Roman" w:ascii="Times New Roman" w:hAnsi="Times New Roman"/>
          <w:b/>
          <w:color w:val="000000"/>
          <w:sz w:val="26"/>
        </w:rPr>
        <w:t>4.2.1. Giới thiệu dịch vụ.</w:t>
      </w:r>
    </w:p>
    <w:p>
      <w:pPr>
        <w:pStyle w:val="Normal"/>
        <w:spacing w:lineRule="auto" w:line="312" w:before="0" w:after="120"/>
        <w:ind w:firstLine="567"/>
        <w:jc w:val="both"/>
        <w:rPr/>
      </w:pPr>
      <w:r>
        <w:rPr>
          <w:rFonts w:eastAsia="Times New Roman" w:cs="Times New Roman"/>
          <w:color w:val="000000"/>
          <w:sz w:val="26"/>
        </w:rPr>
        <w:t>Hợp đồng thuê ngoài dịch vụ công nghệ thông tin là dịch vụ tư vấn và soạn thảo hợp đồng giúp doanh nghiệp cung ứng ví điện tử thiết lập quan hệ pháp lý với các nhà cung cấp công nghệ bên ngoài. Trong quá trình hoạt động, doanh nghiệp có thể thuê đối tác thực hiện một hoặc một số công việc như phát triển phần mềm, cung cấp máy chủ hoặc điện toán đám mây, vận hành và bảo trì hệ thống, an ninh mạng, lưu trữ dữ liệu, định danh khách hàng điện tử hoặc hỗ trợ kỹ thuật.</w:t>
      </w:r>
    </w:p>
    <w:p>
      <w:pPr>
        <w:pStyle w:val="Normal"/>
        <w:spacing w:lineRule="auto" w:line="312" w:before="0" w:after="120"/>
        <w:ind w:firstLine="567"/>
        <w:jc w:val="both"/>
        <w:rPr/>
      </w:pPr>
      <w:r>
        <w:rPr>
          <w:rFonts w:eastAsia="Times New Roman" w:cs="Times New Roman"/>
          <w:color w:val="000000"/>
          <w:sz w:val="26"/>
        </w:rPr>
        <w:t>Đối với doanh nghiệp cung ứng ví điện tử, việc thuê ngoài giúp doanh nghiệp tiết kiệm nguồn lực và tiếp cận các giải pháp công nghệ chuyên môn mà không cần tự xây dựng toàn bộ hệ thống. Tuy nhiên, do dịch vụ công nghệ có thể liên quan trực tiếp đến hệ thống ví điện tử, dữ liệu khách hàng và hoạt động thanh toán, doanh nghiệp cần có hợp đồng chặt chẽ để kiểm soát quyền truy cập, bảo mật thông tin, chất lượng dịch vụ, xử lý sự cố và trách nhiệm của nhà cung cấp. Việc thuê ngoài cũng không làm mất đi trách nhiệm của doanh nghiệp cung ứng dịch vụ trung gian thanh toán đối với hoạt động của mình theo quy định pháp luật.</w:t>
      </w:r>
    </w:p>
    <w:p>
      <w:pPr>
        <w:pStyle w:val="Heading3"/>
        <w:keepNext w:val="true"/>
        <w:spacing w:before="120" w:after="100"/>
        <w:rPr/>
      </w:pPr>
      <w:r>
        <w:rPr>
          <w:rFonts w:eastAsia="Times New Roman" w:cs="Times New Roman" w:ascii="Times New Roman" w:hAnsi="Times New Roman"/>
          <w:b/>
          <w:color w:val="000000"/>
          <w:sz w:val="26"/>
        </w:rPr>
        <w:t>4.2.2. Nội dung dịch vụ.</w:t>
      </w:r>
    </w:p>
    <w:p>
      <w:pPr>
        <w:pStyle w:val="Normal"/>
        <w:spacing w:lineRule="auto" w:line="312" w:before="0" w:after="120"/>
        <w:ind w:firstLine="567"/>
        <w:jc w:val="both"/>
        <w:rPr/>
      </w:pPr>
      <w:r>
        <w:rPr>
          <w:rFonts w:eastAsia="Times New Roman" w:cs="Times New Roman"/>
          <w:color w:val="000000"/>
          <w:sz w:val="26"/>
        </w:rPr>
        <w:t>Bước 1: Đánh giá nhu cầu và xác định mô hình thuê ngoài. Trước khi xây dựng hợp đồng, doanh nghiệp cần xác định rõ loại dịch vụ công nghệ thông tin dự kiến thuê ngoài, phạm vi công việc của nhà cung cấp và mức độ phụ thuộc của doanh nghiệp vào dịch vụ đó. Đồng thời, cần đánh giá việc thuê ngoài có liên quan đến hệ thống cốt lõi của ví điện tử, dữ liệu khách hàng, dữ liệu giao dịch hoặc các thông tin quan trọng khác của doanh nghiệp hay không. Trên cơ sở đó, chúng tôi xác định mô hình hợp đồng phù hợp, chẳng hạn như hợp đồng phát triển phần mềm, cung cấp hạ tầng, điện toán đám mây, vận hành và bảo trì hệ thống hoặc hợp đồng khung, đồng thời đề xuất các cơ chế kiểm soát rủi ro cần thiết.</w:t>
      </w:r>
    </w:p>
    <w:p>
      <w:pPr>
        <w:pStyle w:val="Normal"/>
        <w:spacing w:lineRule="auto" w:line="312" w:before="0" w:after="120"/>
        <w:ind w:firstLine="567"/>
        <w:jc w:val="both"/>
        <w:rPr/>
      </w:pPr>
      <w:r>
        <w:rPr>
          <w:rFonts w:eastAsia="Times New Roman" w:cs="Times New Roman"/>
          <w:color w:val="000000"/>
          <w:sz w:val="26"/>
        </w:rPr>
        <w:t>Bước 2: Soạn thảo và rà soát hợp đồng thuê ngoài dịch vụ công nghệ thông tin. Chúng tôi xây dựng hoặc rà soát hợp đồng và các phụ lục liên quan nhằm xác định rõ quyền, nghĩa vụ và trách nhiệm của doanh nghiệp và nhà cung cấp. Nội dung hợp đồng cần bao quát phạm vi công việc, tiến độ thực hiện, tiêu chí nghiệm thu, chi phí và phương thức thanh toán, tiêu chuẩn chất lượng dịch vụ, mức độ sẵn sàng của hệ thống, bảo mật thông tin, bảo vệ dữ liệu, quyền sở hữu trí tuệ, xử lý sự cố, trách nhiệm bồi thường và điều kiện chấm dứt hợp đồng. Đối với các dịch vụ có yêu cầu duy trì chất lượng và khả năng vận hành ổn định, tư vấn xây dựng các thỏa thuận về mức độ dịch vụ (SLA) và trách nhiệm của nhà cung cấp khi không đạt mức dịch vụ đã cam kết.</w:t>
      </w:r>
    </w:p>
    <w:p>
      <w:pPr>
        <w:pStyle w:val="Normal"/>
        <w:spacing w:lineRule="auto" w:line="312" w:before="0" w:after="120"/>
        <w:ind w:firstLine="567"/>
        <w:jc w:val="both"/>
        <w:rPr/>
      </w:pPr>
      <w:r>
        <w:rPr>
          <w:rFonts w:eastAsia="Times New Roman" w:cs="Times New Roman"/>
          <w:color w:val="000000"/>
          <w:sz w:val="26"/>
        </w:rPr>
        <w:t>Bước 3: Rà soát và hoàn thiện cơ chế kiểm soát rủi ro trong hợp đồng. Sau khi soạn thảo, hợp đồng được rà soát để bảo đảm phù hợp với hoạt động thực tế của doanh nghiệp và hạn chế các rủi ro có thể phát sinh trong quá trình thuê ngoài. Đặc biệt, cần kiểm tra các điều khoản liên quan đến dữ liệu khách hàng, quyền truy cập của nhà cung cấp, quyền sở hữu và khai thác phần mềm, mã nguồn, tài liệu kỹ thuật, trách nhiệm khi hệ thống xảy ra lỗi hoặc gián đoạn và nghĩa vụ bàn giao khi hợp đồng chấm dứt. Trường hợp doanh nghiệp có nhu cầu thay đổi nhà cung cấp, hợp đồng cũng cần có cơ chế chuyển giao dữ liệu, tài liệu và tài sản công nghệ để hạn chế tình trạng phụ thuộc vào nhà cung cấp cũ.</w:t>
      </w:r>
    </w:p>
    <w:p>
      <w:pPr>
        <w:pStyle w:val="Normal"/>
        <w:spacing w:lineRule="auto" w:line="312" w:before="0" w:after="120"/>
        <w:ind w:firstLine="567"/>
        <w:jc w:val="both"/>
        <w:rPr/>
      </w:pPr>
      <w:r>
        <w:rPr>
          <w:rFonts w:eastAsia="Times New Roman" w:cs="Times New Roman"/>
          <w:color w:val="000000"/>
          <w:sz w:val="26"/>
        </w:rPr>
        <w:t>Nội dung tư vấn cụ thể của dịch vụ gồm:</w:t>
      </w:r>
    </w:p>
    <w:p>
      <w:pPr>
        <w:pStyle w:val="Normal"/>
        <w:spacing w:lineRule="auto" w:line="312" w:before="0" w:after="120"/>
        <w:ind w:firstLine="567"/>
        <w:jc w:val="both"/>
        <w:rPr/>
      </w:pPr>
      <w:r>
        <w:rPr>
          <w:rFonts w:eastAsia="Times New Roman" w:cs="Times New Roman"/>
          <w:color w:val="000000"/>
          <w:sz w:val="26"/>
        </w:rPr>
        <w:t>Thứ nhất, tư vấn về mô hình và phạm vi thuê ngoài. Xác định rõ công việc và dịch vụ công nghệ mà doanh nghiệp dự kiến giao cho nhà cung cấp thực hiện, phạm vi trách nhiệm của mỗi bên và mức độ phụ thuộc vào nhà cung cấp. Từ đó, lựa chọn loại hợp đồng phù hợp với từng dịch vụ và xác định các nội dung cần kiểm soát ngay từ khi giao kết hợp đồng.</w:t>
      </w:r>
    </w:p>
    <w:p>
      <w:pPr>
        <w:pStyle w:val="Normal"/>
        <w:spacing w:lineRule="auto" w:line="312" w:before="0" w:after="120"/>
        <w:ind w:firstLine="567"/>
        <w:jc w:val="both"/>
        <w:rPr/>
      </w:pPr>
      <w:r>
        <w:rPr>
          <w:rFonts w:eastAsia="Times New Roman" w:cs="Times New Roman"/>
          <w:color w:val="000000"/>
          <w:sz w:val="26"/>
        </w:rPr>
        <w:t>Thứ hai, tư vấn về các điều khoản chính của hợp đồng. Xây dựng và rà soát các điều khoản về phạm vi công việc, tiến độ, tiêu chí nghiệm thu, chi phí, phương thức thanh toán, thời hạn hợp đồng, quyền và nghĩa vụ của các bên. Đối với dịch vụ công nghệ có yêu cầu về tính ổn định và liên tục, tư vấn điều khoản về SLA, bao gồm tiêu chuẩn dịch vụ, thời gian phản hồi, thời gian khắc phục sự cố và trách nhiệm của nhà cung cấp khi không đáp ứng mức dịch vụ đã cam kết.</w:t>
      </w:r>
    </w:p>
    <w:p>
      <w:pPr>
        <w:pStyle w:val="Normal"/>
        <w:spacing w:lineRule="auto" w:line="312" w:before="0" w:after="120"/>
        <w:ind w:firstLine="567"/>
        <w:jc w:val="both"/>
        <w:rPr/>
      </w:pPr>
      <w:r>
        <w:rPr>
          <w:rFonts w:eastAsia="Times New Roman" w:cs="Times New Roman"/>
          <w:color w:val="000000"/>
          <w:sz w:val="26"/>
        </w:rPr>
        <w:t>Thứ ba, tư vấn về bảo mật và bảo vệ dữ liệu. Hợp đồng cần xác định rõ loại dữ liệu mà nhà cung cấp được tiếp cận, phạm vi và mục đích sử dụng dữ liệu, trách nhiệm bảo mật thông tin khách hàng và các biện pháp xử lý khi xảy ra mất mát, rò rỉ hoặc truy cập trái phép. Đồng thời, quy định trách nhiệm của nhà cung cấp trong việc hoàn trả, xóa hoặc bàn giao dữ liệu khi hợp đồng chấm dứt.</w:t>
      </w:r>
    </w:p>
    <w:p>
      <w:pPr>
        <w:pStyle w:val="Normal"/>
        <w:spacing w:lineRule="auto" w:line="312" w:before="0" w:after="120"/>
        <w:ind w:firstLine="567"/>
        <w:jc w:val="both"/>
        <w:rPr/>
      </w:pPr>
      <w:r>
        <w:rPr>
          <w:rFonts w:eastAsia="Times New Roman" w:cs="Times New Roman"/>
          <w:color w:val="000000"/>
          <w:sz w:val="26"/>
        </w:rPr>
        <w:t>Thứ tư, tư vấn về quyền sở hữu trí tuệ và tài sản công nghệ. Xác định quyền của doanh nghiệp đối với phần mềm, mã nguồn, giao diện, cơ sở dữ liệu và tài liệu kỹ thuật được tạo ra hoặc sử dụng trong quá trình cung cấp dịch vụ. Đồng thời, quy định quyền khai thác, sửa đổi, tiếp nhận và sử dụng các tài sản công nghệ cần thiết để doanh nghiệp có thể tiếp tục vận hành hệ thống sau khi chấm dứt hợp đồng.</w:t>
      </w:r>
    </w:p>
    <w:p>
      <w:pPr>
        <w:pStyle w:val="Normal"/>
        <w:spacing w:lineRule="auto" w:line="312" w:before="0" w:after="120"/>
        <w:ind w:firstLine="567"/>
        <w:jc w:val="both"/>
        <w:rPr/>
      </w:pPr>
      <w:r>
        <w:rPr>
          <w:rFonts w:eastAsia="Times New Roman" w:cs="Times New Roman"/>
          <w:color w:val="000000"/>
          <w:sz w:val="26"/>
        </w:rPr>
        <w:t>Thứ năm, tư vấn về trách nhiệm và xử lý sự cố. Phân định trách nhiệm của doanh nghiệp và nhà cung cấp khi hệ thống xảy ra lỗi, gián đoạn dịch vụ, mất dữ liệu hoặc phát sinh sự cố an toàn, bảo mật. Hợp đồng cần quy định cơ chế thông báo, phối hợp xử lý, thời hạn khắc phục, phạt vi phạm và bồi thường thiệt hại tương ứng với trách nhiệm của mỗi bên.</w:t>
      </w:r>
    </w:p>
    <w:p>
      <w:pPr>
        <w:pStyle w:val="Normal"/>
        <w:spacing w:lineRule="auto" w:line="312" w:before="0" w:after="120"/>
        <w:ind w:firstLine="567"/>
        <w:jc w:val="both"/>
        <w:rPr/>
      </w:pPr>
      <w:r>
        <w:rPr>
          <w:rFonts w:eastAsia="Times New Roman" w:cs="Times New Roman"/>
          <w:color w:val="000000"/>
          <w:sz w:val="26"/>
        </w:rPr>
        <w:t>Thứ sáu, tư vấn về tạm ngừng, chấm dứt và chuyển đổi nhà cung cấp. Xác định các trường hợp doanh nghiệp được quyền tạm ngừng hoặc chấm dứt hợp đồng khi nhà cung cấp vi phạm nghĩa vụ hoặc dịch vụ không đáp ứng yêu cầu. Đồng thời, xây dựng nghĩa vụ bàn giao dữ liệu, tài liệu kỹ thuật và tài sản công nghệ, cũng như phương án chuyển đổi sang nhà cung cấp khác để bảo đảm hoạt động của hệ thống ví điện tử không bị gián đoạn.</w:t>
      </w:r>
    </w:p>
    <w:p>
      <w:pPr>
        <w:pStyle w:val="Heading3"/>
        <w:keepNext w:val="true"/>
        <w:spacing w:before="120" w:after="100"/>
        <w:rPr/>
      </w:pPr>
      <w:r>
        <w:rPr>
          <w:rFonts w:eastAsia="Times New Roman" w:cs="Times New Roman" w:ascii="Times New Roman" w:hAnsi="Times New Roman"/>
          <w:b/>
          <w:color w:val="000000"/>
          <w:sz w:val="26"/>
        </w:rPr>
        <w:t>4.2.3.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Dịch vụ tư vấn hợp đồng thuê ngoài dịch vụ công nghệ thông tin được cung cấp cho doanh nghiệp cung ứng dịch vụ ví điện tử và các đối tác công nghệ mà doanh nghiệp dự kiến thuê để phát triển, cung cấp, vận hành, bảo trì hoặc hỗ trợ hệ thống công nghệ phục vụ hoạt động ví điện tử. Phạm vi tư vấn có thể áp dụng đối với các hợp đồng giữa doanh nghiệp với nhà cung cấp phần mềm, đơn vị cung cấp hạ tầng công nghệ thông tin, dịch vụ điện toán đám mây, dịch vụ vận hành và bảo trì hệ thống hoặc các nhà cung cấp dịch vụ công nghệ khác. Đối với hoạt động cung ứng dịch vụ trung gian thanh toán, Nghị định số 52/2024/NĐ-CP xác định tổ chức cung ứng dịch vụ trung gian thanh toán là tổ chức được Ngân hàng Nhà nước cấp Giấy phép; dịch vụ ví điện tử là một trong các dịch vụ trung gian thanh toán được điều chỉnh bởi Nghị định này. Vì vậy, việc thuê ngoài chỉ được xem xét trong phạm vi hỗ trợ về công nghệ và không làm thay đổi chủ thể chịu trách nhiệm cung ứng dịch vụ ví điện tử theo Giấy phép.</w:t>
      </w:r>
    </w:p>
    <w:p>
      <w:pPr>
        <w:pStyle w:val="Normal"/>
        <w:spacing w:lineRule="auto" w:line="312" w:before="0" w:after="120"/>
        <w:ind w:firstLine="567"/>
        <w:jc w:val="both"/>
        <w:rPr/>
      </w:pPr>
      <w:r>
        <w:rPr>
          <w:rFonts w:eastAsia="Times New Roman" w:cs="Times New Roman"/>
          <w:color w:val="000000"/>
          <w:sz w:val="26"/>
        </w:rPr>
        <w:t>Thứ hai, về thời điểm áp dụng và thời hạn: Dịch vụ tư vấn được thực hiện từ giai đoạn doanh nghiệp xác định nhu cầu thuê ngoài, lựa chọn mô hình hợp đồng, đàm phán và ký kết hợp đồng cho đến quá trình thực hiện, gia hạn, sửa đổi hoặc chấm dứt hợp đồng. Thời hạn của hợp đồng thuê ngoài do doanh nghiệp và nhà cung cấp thỏa thuận phù hợp với nhu cầu thực tế, tuy nhiên cần quy định rõ thời điểm bắt đầu cung cấp dịch vụ, thời hạn thực hiện, điều kiện gia hạn, các trường hợp tạm ngừng hoặc chấm dứt và nghĩa vụ bàn giao khi kết thúc hợp đồng. Trong trường hợp hợp đồng thuê ngoài có liên quan đến việc xử lý dữ liệu cá nhân, các nghĩa vụ về bảo vệ dữ liệu phải được duy trì trong suốt quá trình xử lý dữ liệu và theo các nghĩa vụ còn tiếp tục sau khi hợp đồng chấm dứt. Luật Bảo vệ dữ liệu cá nhân số 91/2025/QH15, có hiệu lực từ ngày 01/01/2026, quy định bên xử lý dữ liệu cá nhân chỉ được tiếp nhận và xử lý dữ liệu trên cơ sở thỏa thuận, hợp đồng với bên kiểm soát dữ liệu hoặc bên kiểm soát và xử lý dữ liệu, đồng thời phải chịu trách nhiệm về thiệt hại do quá trình xử lý dữ liệu gây ra.</w:t>
      </w:r>
    </w:p>
    <w:p>
      <w:pPr>
        <w:pStyle w:val="Normal"/>
        <w:spacing w:lineRule="auto" w:line="312" w:before="0" w:after="120"/>
        <w:ind w:firstLine="567"/>
        <w:jc w:val="both"/>
        <w:rPr/>
      </w:pPr>
      <w:r>
        <w:rPr>
          <w:rFonts w:eastAsia="Times New Roman" w:cs="Times New Roman"/>
          <w:color w:val="000000"/>
          <w:sz w:val="26"/>
        </w:rPr>
        <w:t>Thứ ba, về giới hạn của dịch vụ theo quy định pháp luật: Phạm vi thuê ngoài không được làm cho doanh nghiệp chuyển giao toàn bộ trách nhiệm pháp lý của mình đối với hoạt động cung ứng dịch vụ ví điện tử cho nhà cung cấp công nghệ. Theo Điều 22 Nghị định số 52/2024/NĐ-CP, tổ chức cung ứng dịch vụ trung gian thanh toán phải đáp ứng và duy trì các điều kiện nhất định trong quá trình cung ứng dịch vụ, trong đó có yêu cầu về hệ thống kỹ thuật và an toàn, bảo mật. Việc thuê đối tác công nghệ vì vậy phải được xây dựng theo hướng nhà cung cấp thực hiện công việc theo hợp đồng, còn doanh nghiệp vẫn phải bảo đảm việc cung ứng dịch vụ đúng phạm vi được cấp phép và đáp ứng các yêu cầu pháp luật áp dụng. Trường hợp hoạt động thuê ngoài có liên quan đến dữ liệu cá nhân, việc tiếp nhận và xử lý dữ liệu của nhà cung cấp phải tuân thủ Luật Bảo vệ dữ liệu cá nhân số 91/2025/QH15, đặc biệt là các quy định về bên xử lý dữ liệu và hợp đồng xử lý dữ liệu.</w:t>
      </w:r>
    </w:p>
    <w:p>
      <w:pPr>
        <w:pStyle w:val="Normal"/>
        <w:spacing w:lineRule="auto" w:line="312" w:before="0" w:after="120"/>
        <w:ind w:firstLine="567"/>
        <w:jc w:val="both"/>
        <w:rPr/>
      </w:pPr>
      <w:r>
        <w:rPr>
          <w:rFonts w:eastAsia="Times New Roman" w:cs="Times New Roman"/>
          <w:color w:val="000000"/>
          <w:sz w:val="26"/>
        </w:rPr>
        <w:t>Thứ tư, về phạm vi dịch vụ không bao gồm: Dịch vụ tư vấn này không bao gồm việc trực tiếp thực hiện các hoạt động kỹ thuật như lập trình, vận hành hệ thống, quản trị máy chủ, triển khai phần mềm, giám sát an ninh mạng hoặc khắc phục sự cố kỹ thuật thay cho nhà cung cấp công nghệ. Đồng thời, dịch vụ không bao gồm việc thay thế doanh nghiệp thực hiện các nghĩa vụ pháp lý thuộc trách nhiệm của tổ chức cung ứng dịch vụ trung gian thanh toán, việc xin cấp hoặc sửa đổi Giấy phép hoạt động cung ứng dịch vụ trung gian thanh toán, cũng như việc trực tiếp cung ứng dịch vụ ví điện tử thay cho doanh nghiệp. Dịch vụ cũng không bao gồm việc tự mình thu thập, sử dụng hoặc xử lý dữ liệu khách hàng ngoài phạm vi cần thiết để thực hiện công việc tư vấn và ngoài thỏa thuận, hợp đồng xử lý dữ liệu phù hợp với pháp luật.</w:t>
      </w:r>
    </w:p>
    <w:p>
      <w:pPr>
        <w:pStyle w:val="Heading3"/>
        <w:keepNext w:val="true"/>
        <w:spacing w:before="120" w:after="100"/>
        <w:rPr/>
      </w:pPr>
      <w:r>
        <w:rPr>
          <w:rFonts w:eastAsia="Times New Roman" w:cs="Times New Roman" w:ascii="Times New Roman" w:hAnsi="Times New Roman"/>
          <w:b/>
          <w:color w:val="000000"/>
          <w:sz w:val="26"/>
        </w:rPr>
        <w:t>4.2.4. Mục đích dịch vụ.</w:t>
      </w:r>
    </w:p>
    <w:p>
      <w:pPr>
        <w:pStyle w:val="Normal"/>
        <w:spacing w:lineRule="auto" w:line="312" w:before="0" w:after="120"/>
        <w:ind w:firstLine="567"/>
        <w:jc w:val="both"/>
        <w:rPr/>
      </w:pPr>
      <w:r>
        <w:rPr>
          <w:rFonts w:eastAsia="Times New Roman" w:cs="Times New Roman"/>
          <w:color w:val="000000"/>
          <w:sz w:val="26"/>
        </w:rPr>
        <w:t>Thứ nhất, hạn chế rủi ro phát sinh từ việc ký kết hợp đồng thuê ngoài không chặt chẽ. Dịch vụ nhằm giúp doanh nghiệp xác định rõ phạm vi công việc, tiêu chuẩn chất lượng, thời hạn thực hiện, cơ chế nghiệm thu và trách nhiệm của bên cung cấp dịch vụ, từ đó tạo cơ sở để doanh nghiệp yêu cầu đối tác khắc phục khi chậm tiến độ hoặc hệ thống không đáp ứng yêu cầu đã thỏa thuận.</w:t>
      </w:r>
    </w:p>
    <w:p>
      <w:pPr>
        <w:pStyle w:val="Normal"/>
        <w:spacing w:lineRule="auto" w:line="312" w:before="0" w:after="120"/>
        <w:ind w:firstLine="567"/>
        <w:jc w:val="both"/>
        <w:rPr/>
      </w:pPr>
      <w:r>
        <w:rPr>
          <w:rFonts w:eastAsia="Times New Roman" w:cs="Times New Roman"/>
          <w:color w:val="000000"/>
          <w:sz w:val="26"/>
        </w:rPr>
        <w:t>Thứ hai, bảo vệ quyền kiểm soát của doanh nghiệp đối với mã nguồn, dữ liệu và tài sản công nghệ. Dịch vụ giúp doanh nghiệp xây dựng các điều khoản về quyền sở hữu, quyền sử dụng, bàn giao mã nguồn, tài liệu kỹ thuật và dữ liệu, qua đó hạn chế tình trạng phụ thuộc vào một nhà cung cấp và bảo đảm khả năng chuyển đổi sang nhà cung cấp khác khi cần thiết.</w:t>
      </w:r>
    </w:p>
    <w:p>
      <w:pPr>
        <w:pStyle w:val="Normal"/>
        <w:spacing w:lineRule="auto" w:line="312" w:before="0" w:after="120"/>
        <w:ind w:firstLine="567"/>
        <w:jc w:val="both"/>
        <w:rPr/>
      </w:pPr>
      <w:r>
        <w:rPr>
          <w:rFonts w:eastAsia="Times New Roman" w:cs="Times New Roman"/>
          <w:color w:val="000000"/>
          <w:sz w:val="26"/>
        </w:rPr>
        <w:t>Thứ ba, kiểm soát rủi ro liên quan đến dữ liệu và thông tin khách hàng. Trong quá trình thuê ngoài, đối tác công nghệ có thể được tiếp cận dữ liệu khách hàng, dữ liệu giao dịch hoặc thông tin định danh. Vì vậy, dịch vụ nhằm thiết lập các yêu cầu về bảo mật, quyền truy cập, mục đích xử lý và trách nhiệm khi xảy ra sự cố, qua đó hạn chế nguy cơ lộ lọt hoặc sử dụng dữ liệu không đúng mục đích.</w:t>
      </w:r>
    </w:p>
    <w:p>
      <w:pPr>
        <w:pStyle w:val="Normal"/>
        <w:spacing w:lineRule="auto" w:line="312" w:before="0" w:after="120"/>
        <w:ind w:firstLine="567"/>
        <w:jc w:val="both"/>
        <w:rPr/>
      </w:pPr>
      <w:r>
        <w:rPr>
          <w:rFonts w:eastAsia="Times New Roman" w:cs="Times New Roman"/>
          <w:color w:val="000000"/>
          <w:sz w:val="26"/>
        </w:rPr>
        <w:t>Thứ tư, xác định rõ trách nhiệm của các bên khi xảy ra sự cố đối với hệ thống ví điện tử. Dịch vụ giúp doanh nghiệp phân định trách nhiệm của bên thuê và bên cung cấp dịch vụ trong trường hợp hệ thống bị lỗi, gián đoạn, bị tấn công hoặc phát sinh thiệt hại cho khách hàng, đồng thời xây dựng cơ chế thông báo, khắc phục và bồi thường phù hợp.</w:t>
      </w:r>
    </w:p>
    <w:p>
      <w:pPr>
        <w:pStyle w:val="Normal"/>
        <w:spacing w:lineRule="auto" w:line="312" w:before="0" w:after="120"/>
        <w:ind w:firstLine="567"/>
        <w:jc w:val="both"/>
        <w:rPr/>
      </w:pPr>
      <w:r>
        <w:rPr>
          <w:rFonts w:eastAsia="Times New Roman" w:cs="Times New Roman"/>
          <w:color w:val="000000"/>
          <w:sz w:val="26"/>
        </w:rPr>
        <w:t>Thứ năm, hỗ trợ doanh nghiệp đáp ứng các yêu cầu pháp lý về an toàn, bảo mật và quản trị rủi ro trong hoạt động trung gian thanh toán. Việc xây dựng và rà soát hợp đồng thuê ngoài cần bảo đảm không làm ảnh hưởng đến nghĩa vụ của doanh nghiệp cung ứng dịch vụ ví điện tử theo Nghị định 52/2024/NĐ-CP ngày 15/5/2024 của Chính phủ về thanh toán không dùng tiền mặt, đặc biệt là các yêu cầu về điều kiện cung ứng dịch vụ trung gian thanh toán và an toàn, bảo mật trong hoạt động thanh toán.</w:t>
      </w:r>
    </w:p>
    <w:p>
      <w:pPr>
        <w:pStyle w:val="Normal"/>
        <w:spacing w:lineRule="auto" w:line="312" w:before="0" w:after="120"/>
        <w:ind w:firstLine="567"/>
        <w:jc w:val="both"/>
        <w:rPr/>
      </w:pPr>
      <w:r>
        <w:rPr>
          <w:rFonts w:eastAsia="Times New Roman" w:cs="Times New Roman"/>
          <w:color w:val="000000"/>
          <w:sz w:val="26"/>
        </w:rPr>
        <w:t>Thứ sáu, tạo cơ sở pháp lý cho việc nghiệm thu, thanh toán và xử lý vi phạm hợp đồng. Dịch vụ nhằm giúp doanh nghiệp thiết lập các điều khoản làm căn cứ nghiệm thu kết quả, thanh toán chi phí, yêu cầu khắc phục, áp dụng chế tài và yêu cầu bồi thường thiệt hại khi đối tác không thực hiện hoặc thực hiện không đúng nghĩa vụ đã cam kết.</w:t>
      </w:r>
    </w:p>
    <w:p>
      <w:pPr>
        <w:pStyle w:val="Normal"/>
        <w:spacing w:lineRule="auto" w:line="312" w:before="0" w:after="120"/>
        <w:ind w:firstLine="567"/>
        <w:jc w:val="both"/>
        <w:rPr/>
      </w:pPr>
      <w:r>
        <w:rPr>
          <w:rFonts w:eastAsia="Times New Roman" w:cs="Times New Roman"/>
          <w:color w:val="000000"/>
          <w:sz w:val="26"/>
        </w:rPr>
        <w:t>Thứ bảy, bảo đảm khả năng duy trì hoạt động và chuyển giao hệ thống khi chấm dứt quan hệ thuê ngoài. Dịch vụ giúp doanh nghiệp xây dựng cơ chế bàn giao dữ liệu, mã nguồn, tài liệu và các tài sản công nghệ cần thiết khi hợp đồng hết hạn hoặc chấm dứt, qua đó hạn chế tình trạng doanh nghiệp bị phụ thuộc vào nhà cung cấp và bảo đảm khả năng tiếp tục vận hành hoặc chuyển sang nhà cung cấp khác.</w:t>
      </w:r>
    </w:p>
    <w:p>
      <w:pPr>
        <w:pStyle w:val="Heading2"/>
        <w:keepNext w:val="true"/>
        <w:spacing w:before="120" w:after="100"/>
        <w:rPr/>
      </w:pPr>
      <w:r>
        <w:rPr>
          <w:rFonts w:eastAsia="Times New Roman" w:cs="Times New Roman" w:ascii="Times New Roman" w:hAnsi="Times New Roman"/>
          <w:b/>
          <w:color w:val="000000"/>
          <w:sz w:val="26"/>
        </w:rPr>
        <w:t>4.3. Hợp đồng hợp tác khuyến mại.</w:t>
      </w:r>
    </w:p>
    <w:p>
      <w:pPr>
        <w:pStyle w:val="Heading3"/>
        <w:keepNext w:val="true"/>
        <w:spacing w:before="120" w:after="100"/>
        <w:rPr/>
      </w:pPr>
      <w:r>
        <w:rPr>
          <w:rFonts w:eastAsia="Times New Roman" w:cs="Times New Roman" w:ascii="Times New Roman" w:hAnsi="Times New Roman"/>
          <w:b/>
          <w:color w:val="000000"/>
          <w:sz w:val="26"/>
        </w:rPr>
        <w:t>4.3.1. Giới thiệu dịch vụ.</w:t>
      </w:r>
    </w:p>
    <w:p>
      <w:pPr>
        <w:pStyle w:val="Normal"/>
        <w:spacing w:lineRule="auto" w:line="312" w:before="0" w:after="120"/>
        <w:ind w:firstLine="567"/>
        <w:jc w:val="both"/>
        <w:rPr/>
      </w:pPr>
      <w:r>
        <w:rPr>
          <w:rFonts w:eastAsia="Times New Roman" w:cs="Times New Roman"/>
          <w:color w:val="000000"/>
          <w:sz w:val="26"/>
        </w:rPr>
        <w:t>Gói dịch vụ cung cấp dịch vụ tư vấn và soạn thảo Hợp đồng hợp tác khuyến mại dành riêng cho doanh nghiệp, đặc biệt là các nền tảng Ví điện tử đang trong giai đoạn xây dựng và mở rộng mạng lưới đối tác cung ứng dịch vụ. Hợp đồng hợp tác khuyến mại là văn bản pháp lý nền tảng thiết lập mối quan hệ ràng buộc chặt chẽ giữa Ví điện tử và các nhãn hàng, thương hiệu đối tác.</w:t>
      </w:r>
    </w:p>
    <w:p>
      <w:pPr>
        <w:pStyle w:val="Normal"/>
        <w:spacing w:lineRule="auto" w:line="312" w:before="0" w:after="120"/>
        <w:ind w:firstLine="567"/>
        <w:jc w:val="both"/>
        <w:rPr/>
      </w:pPr>
      <w:r>
        <w:rPr>
          <w:rFonts w:eastAsia="Times New Roman" w:cs="Times New Roman"/>
          <w:color w:val="000000"/>
          <w:sz w:val="26"/>
        </w:rPr>
        <w:t>Đối với một dự án có định hướng phát triển quy mô giao dịch lớn và chịu sự điều chỉnh của Nghị định 52/2024/NĐ-CP về thanh toán không dùng tiền mặt, dịch vụ này đóng vai trò then chốt giúp doanh nghiệp xây dựng một hệ sinh thái tiện ích toàn diện. Thông qua đó, doanh nghiệp có thể triển khai an toàn các chương trình ưu đãi nhằm thu hút và giữ chân người dùng thông qua việc phát hành voucher, hoàn tiền (cashback), hoặc giảm giá trực tiếp khi thanh toán qua nền tảng. Về bản chất, hợp đồng này giúp các bên quản lý minh bạch chi phí tài trợ khuyến mại, tận dụng tối đa tệp khách hàng chéo để gia tăng doanh thu, đồng thời xác định trước ranh giới trách nhiệm xử lý rủi ro để tránh các tranh chấp thương mại kéo dài khi phát sinh sự cố kỹ thuật.</w:t>
      </w:r>
    </w:p>
    <w:p>
      <w:pPr>
        <w:pStyle w:val="Heading3"/>
        <w:keepNext w:val="true"/>
        <w:spacing w:before="120" w:after="100"/>
        <w:rPr/>
      </w:pPr>
      <w:r>
        <w:rPr>
          <w:rFonts w:eastAsia="Times New Roman" w:cs="Times New Roman" w:ascii="Times New Roman" w:hAnsi="Times New Roman"/>
          <w:b/>
          <w:color w:val="000000"/>
          <w:sz w:val="26"/>
        </w:rPr>
        <w:t>4.3.2. Nội dung dịch vụ.</w:t>
      </w:r>
    </w:p>
    <w:p>
      <w:pPr>
        <w:pStyle w:val="Normal"/>
        <w:spacing w:lineRule="auto" w:line="312" w:before="0" w:after="120"/>
        <w:ind w:firstLine="567"/>
        <w:jc w:val="both"/>
        <w:rPr/>
      </w:pPr>
      <w:r>
        <w:rPr>
          <w:rFonts w:eastAsia="Times New Roman" w:cs="Times New Roman"/>
          <w:color w:val="000000"/>
          <w:sz w:val="26"/>
        </w:rPr>
        <w:t>Thứ nhất, đánh giá toàn diện mô hình hợp tác dự kiến để xác định hình thức khuyến mại phù hợp (như giảm giá, tặng hàng hóa, dịch vụ, tổ chức chương trình khách hàng thường xuyên) nhằm đảm bảo tuân thủ tuyệt đối quy định tại Luật Thương mại 2005 và Nghị định 81/2018/NĐ-CP về hoạt động xúc tiến thương mại.</w:t>
      </w:r>
    </w:p>
    <w:p>
      <w:pPr>
        <w:pStyle w:val="Normal"/>
        <w:spacing w:lineRule="auto" w:line="312" w:before="0" w:after="120"/>
        <w:ind w:firstLine="567"/>
        <w:jc w:val="both"/>
        <w:rPr/>
      </w:pPr>
      <w:r>
        <w:rPr>
          <w:rFonts w:eastAsia="Times New Roman" w:cs="Times New Roman"/>
          <w:color w:val="000000"/>
          <w:sz w:val="26"/>
        </w:rPr>
        <w:t>Thứ hai, soạn thảo bản mẫu hợp đồng chi tiết, tập trung vào các điều khoản trọng yếu như quy trình đối soát giao dịch, tỷ lệ chia sẻ chi phí/chiết khấu, và trách nhiệm xử lý khiếu nại của người dùng khi lỗi hệ thống ví hoặc voucher của đối tác không hợp lệ.</w:t>
      </w:r>
    </w:p>
    <w:p>
      <w:pPr>
        <w:pStyle w:val="Normal"/>
        <w:spacing w:lineRule="auto" w:line="312" w:before="0" w:after="120"/>
        <w:ind w:firstLine="567"/>
        <w:jc w:val="both"/>
        <w:rPr/>
      </w:pPr>
      <w:r>
        <w:rPr>
          <w:rFonts w:eastAsia="Times New Roman" w:cs="Times New Roman"/>
          <w:color w:val="000000"/>
          <w:sz w:val="26"/>
        </w:rPr>
        <w:t>Thứ ba, rà soát và thiết kế các điều khoản về cấp phép sử dụng tài sản sở hữu trí tuệ, quy định rõ giới hạn sử dụng logo, hình ảnh nhãn hàng trong các chiến dịch truyền thông nhằm tránh nguy cơ vi phạm Luật Sở hữu trí tuệ.</w:t>
      </w:r>
    </w:p>
    <w:p>
      <w:pPr>
        <w:pStyle w:val="Normal"/>
        <w:spacing w:lineRule="auto" w:line="312" w:before="0" w:after="120"/>
        <w:ind w:firstLine="567"/>
        <w:jc w:val="both"/>
        <w:rPr/>
      </w:pPr>
      <w:r>
        <w:rPr>
          <w:rFonts w:eastAsia="Times New Roman" w:cs="Times New Roman"/>
          <w:color w:val="000000"/>
          <w:sz w:val="26"/>
        </w:rPr>
        <w:t>Thứ tư, xây dựng các phương án và điều khoản phòng ngừa rủi ro pháp lý liên quan đến gian lận khuyến mại từ phía người dùng trục lợi hoặc sự can thiệp trái phép từ bên thứ ba.</w:t>
      </w:r>
    </w:p>
    <w:p>
      <w:pPr>
        <w:pStyle w:val="Heading3"/>
        <w:keepNext w:val="true"/>
        <w:spacing w:before="120" w:after="100"/>
        <w:rPr/>
      </w:pPr>
      <w:r>
        <w:rPr>
          <w:rFonts w:eastAsia="Times New Roman" w:cs="Times New Roman" w:ascii="Times New Roman" w:hAnsi="Times New Roman"/>
          <w:b/>
          <w:color w:val="000000"/>
          <w:sz w:val="26"/>
        </w:rPr>
        <w:t>4.3.3. Phạm vi dịch vụ.</w:t>
      </w:r>
    </w:p>
    <w:p>
      <w:pPr>
        <w:pStyle w:val="Normal"/>
        <w:spacing w:lineRule="auto" w:line="312" w:before="0" w:after="120"/>
        <w:ind w:firstLine="567"/>
        <w:jc w:val="both"/>
        <w:rPr/>
      </w:pPr>
      <w:r>
        <w:rPr>
          <w:rFonts w:eastAsia="Times New Roman" w:cs="Times New Roman"/>
          <w:color w:val="000000"/>
          <w:sz w:val="26"/>
        </w:rPr>
        <w:t>Dịch vụ cơ bản nhất trong gói tư vấn này là việc cung cấp và soạn thảo một bộ hợp đồng mẫu linh hoạt với các điều khoản mở, cho phép doanh nghiệp dễ dàng tùy biến và áp dụng đồng loạt cho đa dạng đối tác thuộc nhiều ngành hàng khác nhau. Bộ hợp đồng này thiết lập sẵn cơ sở pháp lý vững chắc cho nhiều hình thức khuyến mại đa dạng từ giảm giá trực tiếp, phát hành voucher, tích điểm thành viên đến hoàn tiền. Các điều khoản trọng yếu được chuẩn hóa bao gồm quy trình đối soát tài chính định kỳ, tỷ lệ chia sẻ ngân sách khuyến mại, nghĩa vụ xuất hóa đơn chứng từ hợp lệ và cơ chế bồi thường thiệt hại cụ thể khi xảy ra sự cố kỹ thuật từ hệ thống ví.</w:t>
      </w:r>
    </w:p>
    <w:p>
      <w:pPr>
        <w:pStyle w:val="Normal"/>
        <w:spacing w:lineRule="auto" w:line="312" w:before="0" w:after="120"/>
        <w:ind w:firstLine="567"/>
        <w:jc w:val="both"/>
        <w:rPr/>
      </w:pPr>
      <w:r>
        <w:rPr>
          <w:rFonts w:eastAsia="Times New Roman" w:cs="Times New Roman"/>
          <w:color w:val="000000"/>
          <w:sz w:val="26"/>
        </w:rPr>
        <w:t>Bên cạnh đó, hợp đồng cũng tích hợp các quy định chặt chẽ về quyền sử dụng nhãn hiệu và hình ảnh thương mại trong các chiến dịch truyền thông chéo, đảm bảo tuân thủ đúng Luật Sở hữu trí tuệ. Trong trường hợp đối tác là những nhãn hàng lớn yêu cầu ký kết dựa trên biểu mẫu hợp đồng của riêng họ, dịch vụ sẽ hỗ trợ doanh nghiệp rà soát pháp lý chuyên sâu toàn bộ văn bản dự thảo. Quá trình rà soát này nhằm nhận diện các rủi ro tiềm ẩn, chỉ ra những điều khoản bất lợi về bồi thường thiệt hại, phạt vi phạm hay quyền đơn phương chấm dứt hợp đồng, từ đó đề xuất phương án chỉnh sửa để bảo vệ tối đa quyền lợi của Ví điện tử.</w:t>
      </w:r>
    </w:p>
    <w:p>
      <w:pPr>
        <w:pStyle w:val="Normal"/>
        <w:spacing w:lineRule="auto" w:line="312" w:before="0" w:after="120"/>
        <w:ind w:firstLine="567"/>
        <w:jc w:val="both"/>
        <w:rPr/>
      </w:pPr>
      <w:r>
        <w:rPr>
          <w:rFonts w:eastAsia="Times New Roman" w:cs="Times New Roman"/>
          <w:color w:val="000000"/>
          <w:sz w:val="26"/>
        </w:rPr>
        <w:t>Thêm vào đó, dịch vụ còn bao gồm việc đại diện công ty trực tiếp tham gia đàm phán cùng đối tác để tháo gỡ nhanh chóng các bất đồng ở những điều khoản phức tạp. Về đối tượng áp dụng, phạm vi dịch vụ bao gồm mọi chương trình hợp tác khuyến mại và chiến dịch truyền thông chéo phát sinh trong thời hạn hợp đồng tư vấn, không giới hạn theo quy mô đối tác hay số lượng chương trình triển khai. Về thời điểm áp dụng, dịch vụ tư vấn được thực hiện xuyên suốt quá trình triển khai từng chương trình hợp tác, từ giai đoạn chuẩn bị ký kết bao gồm soạn thảo, rà soát và đàm phán hợp đồng; hỗ trợ trong giai đoạn thực hiện ví dụ soạn thảo các Phụ lục sửa đổi nếu phát sinh thay đổi về ngân sách hoặc quy mô; cho đến giai đoạn kết thúc chương trình hợp tác, tiến hành hoàn thiện Biên bản thanh lý hợp đồng, nhằm đảm bảo quy trình hợp tác diễn ra an toàn, suôn sẻ và mang lại lợi ích thương mại tốt nhất cho doanh nghiệp.</w:t>
      </w:r>
    </w:p>
    <w:p>
      <w:pPr>
        <w:pStyle w:val="Normal"/>
        <w:spacing w:lineRule="auto" w:line="312" w:before="0" w:after="120"/>
        <w:ind w:firstLine="567"/>
        <w:jc w:val="both"/>
        <w:rPr/>
      </w:pPr>
      <w:r>
        <w:rPr>
          <w:rFonts w:eastAsia="Times New Roman" w:cs="Times New Roman"/>
          <w:color w:val="000000"/>
          <w:sz w:val="26"/>
        </w:rPr>
        <w:t>Cuối cùng, dịch vụ này không bao gồm việc trực tiếp thực hiện các nghiệp vụ kế toán, kê khai thuế hay xuất hóa đơn, chứng từ. Dịch vụ cũng không bao gồm việc kiểm định hạ tầng kỹ thuật hay đánh giá mã nguồn của hệ thống mà chỉ chịu trách nhiệm tư vấn xử lý rủi ro pháp lý phát sinh từ các lỗi kỹ thuật. Đồng thời, phạm vi dịch vụ không bao gồm việc đại diện doanh nghiệp tham gia tố tụng giải quyết tranh chấp tại Tòa án hoặc cơ quan Trọng tài thương mại, trừ trường hợp hai bên có thỏa thuận lập một hợp đồng dịch vụ pháp lý riêng biệt.</w:t>
      </w:r>
    </w:p>
    <w:p>
      <w:pPr>
        <w:pStyle w:val="Heading3"/>
        <w:keepNext w:val="true"/>
        <w:spacing w:before="120" w:after="100"/>
        <w:rPr/>
      </w:pPr>
      <w:r>
        <w:rPr>
          <w:rFonts w:eastAsia="Times New Roman" w:cs="Times New Roman" w:ascii="Times New Roman" w:hAnsi="Times New Roman"/>
          <w:b/>
          <w:color w:val="000000"/>
          <w:sz w:val="26"/>
        </w:rPr>
        <w:t>4.3.4. Mục đích dịch vụ.</w:t>
      </w:r>
    </w:p>
    <w:p>
      <w:pPr>
        <w:pStyle w:val="Normal"/>
        <w:spacing w:lineRule="auto" w:line="312" w:before="0" w:after="120"/>
        <w:ind w:firstLine="567"/>
        <w:jc w:val="both"/>
        <w:rPr/>
      </w:pPr>
      <w:r>
        <w:rPr>
          <w:rFonts w:eastAsia="Times New Roman" w:cs="Times New Roman"/>
          <w:color w:val="000000"/>
          <w:sz w:val="26"/>
        </w:rPr>
        <w:t>Dịch vụ này giúp Ví điện tử kiểm soát chặt chẽ các rủi ro tài chính, đặc biệt là ngăn chặn nguy cơ thất thoát dòng tiền do sai lệch trong khâu đối soát với đối tác hoặc phát sinh hành vi gian lận, trục lợi mã giảm giá từ người dùng. Đồng thời, một hợp đồng hợp tác minh bạch sẽ phân định rành mạch ranh giới trách nhiệm giữa hai bên, làm rõ bên nào phải chịu chi phí khi hệ thống thanh toán gặp sự cố, bên nào trực tiếp đứng ra giải quyết khiếu nại của khách hàng theo Luật Bảo vệ quyền lợi người tiêu dùng 2023, và bên nào chịu trách nhiệm bồi thường về chất lượng sản phẩm, dịch vụ của nhãn hàng từ đó tránh được các rủi ro tranh chấp thương mại kéo dài với các bên đối tác.</w:t>
      </w:r>
    </w:p>
    <w:p>
      <w:pPr>
        <w:pStyle w:val="Normal"/>
        <w:spacing w:lineRule="auto" w:line="312" w:before="0" w:after="120"/>
        <w:ind w:firstLine="567"/>
        <w:jc w:val="both"/>
        <w:rPr/>
      </w:pPr>
      <w:r>
        <w:rPr>
          <w:rFonts w:eastAsia="Times New Roman" w:cs="Times New Roman"/>
          <w:color w:val="000000"/>
          <w:sz w:val="26"/>
        </w:rPr>
        <w:t>Hơn thế nữa, hợp đồng là cơ sở pháp lý bắt buộc để doanh nghiệp loại trừ rủi ro bị cơ quan quản lý nhà nước xử phạt vi phạm hành chính trong hoạt động xúc tiến thương mại. Cụ thể, theo mô hình kinh doanh, Ví điện tử thường đóng vai trò là trung gian thực hiện khuyến mại cho hàng hóa, dịch vụ của các thương nhân đối tác. Nếu quá trình này diễn ra mà không xác lập một Hợp đồng dịch vụ khuyến mại chuẩn chỉnh, doanh nghiệp sẽ vi phạm trực tiếp Điểm b Khoản 2 Điều 33 Nghị định 98/2020/NĐ-CP về hành vi thực hiện khuyến mại cho thương nhân khác mà không có hợp đồng. Đáng lưu ý, do các chương trình ưu đãi trên Ví điện tử đều được triển khai đồng loạt trên nền tảng số phạm vi toàn quốc (từ hai tỉnh, thành phố trực thuộc trung ương trở lên), mức phạt tiền sẽ bị áp dụng tình tiết tăng nặng theo Khoản 4 Điều 33 kết hợp với nguyên tắc xử phạt tổ chức, đẩy khung tiền phạt lên mức từ 40.000.000 đồng đến 80.000.000 đồng cho một lần vi phạm. Việc chuẩn hóa bộ hợp đồng mẫu ngay từ đầu không chỉ giúp doanh nghiệp kiểm soát triệt để rủi ro pháp lý hiện hữu này mà còn thiết lập quy trình làm việc chuyên nghiệp, minh bạch khi đàm phán với các nhãn hàng đối tác.</w:t>
      </w:r>
    </w:p>
    <w:p>
      <w:pPr>
        <w:pStyle w:val="Heading2"/>
        <w:keepNext w:val="true"/>
        <w:spacing w:before="120" w:after="100"/>
        <w:rPr/>
      </w:pPr>
      <w:r>
        <w:rPr>
          <w:rFonts w:eastAsia="Times New Roman" w:cs="Times New Roman" w:ascii="Times New Roman" w:hAnsi="Times New Roman"/>
          <w:b/>
          <w:color w:val="000000"/>
          <w:sz w:val="26"/>
        </w:rPr>
        <w:t>4.4. Hợp đồng hợp tác kinh doanh.</w:t>
      </w:r>
    </w:p>
    <w:p>
      <w:pPr>
        <w:pStyle w:val="Heading3"/>
        <w:keepNext w:val="true"/>
        <w:spacing w:before="120" w:after="100"/>
        <w:rPr/>
      </w:pPr>
      <w:r>
        <w:rPr>
          <w:rFonts w:eastAsia="Times New Roman" w:cs="Times New Roman" w:ascii="Times New Roman" w:hAnsi="Times New Roman"/>
          <w:b/>
          <w:color w:val="000000"/>
          <w:sz w:val="26"/>
        </w:rPr>
        <w:t>4.4.1. Giới thiệu dịch vụ.</w:t>
      </w:r>
    </w:p>
    <w:p>
      <w:pPr>
        <w:pStyle w:val="Normal"/>
        <w:spacing w:lineRule="auto" w:line="312" w:before="0" w:after="120"/>
        <w:ind w:firstLine="567"/>
        <w:jc w:val="both"/>
        <w:rPr/>
      </w:pPr>
      <w:r>
        <w:rPr>
          <w:rFonts w:eastAsia="Times New Roman" w:cs="Times New Roman"/>
          <w:color w:val="000000"/>
          <w:sz w:val="26"/>
        </w:rPr>
        <w:t>Cung cấp dịch vụ tư vấn và soạn thảo Hợp đồng hợp tác kinh doanh (Business Cooperation Contract – BCC) cho doanh nghiệp kinh doanh ví điện tử trong quá trình thiết lập quan hệ hợp tác với nhà đầu tư nhằm thực hiện các hoạt động kinh doanh mà các bên cùng hướng đến.</w:t>
      </w:r>
    </w:p>
    <w:p>
      <w:pPr>
        <w:pStyle w:val="Normal"/>
        <w:spacing w:lineRule="auto" w:line="312" w:before="0" w:after="120"/>
        <w:ind w:firstLine="567"/>
        <w:jc w:val="both"/>
        <w:rPr/>
      </w:pPr>
      <w:r>
        <w:rPr>
          <w:rFonts w:eastAsia="Times New Roman" w:cs="Times New Roman"/>
          <w:color w:val="000000"/>
          <w:sz w:val="26"/>
        </w:rPr>
        <w:t>Hợp đồng BCC là hình thức hợp tác giữa các nhà đầu tư nhằm hợp tác kinh doanh, phân chia lợi nhuận hoặc sản phẩm mà không thành lập tổ chức kinh tế mới. Theo luật Đầu tư, BCC có thể được thiết lập giữa các nhà đầu tư trong nước, giữa nhà đầu tư trong nước với nhà đầu tư nước ngoài hoặc giữa các nhà đầu tư nước ngoài. Đối với từng trường hợp, việc ký kết và triển khai BCC có thể chịu sự điều chỉnh của các quy định khác nhau về đầu tư. Đối với doanh nghiệp trong dự án, việc hợp tác theo hình thức BCC có thể được sử dụng khi doanh nghiệp muốn kết hợp nguồn lực của mình với nguồn lực của một hoặc nhiều nhà đầu tư khác để cùng hợp tác kinh doanh, đồng thời không thành lập một tổ chức kinh tế mới.</w:t>
      </w:r>
    </w:p>
    <w:p>
      <w:pPr>
        <w:pStyle w:val="Normal"/>
        <w:spacing w:lineRule="auto" w:line="312" w:before="0" w:after="120"/>
        <w:ind w:firstLine="567"/>
        <w:jc w:val="both"/>
        <w:rPr/>
      </w:pPr>
      <w:r>
        <w:rPr>
          <w:rFonts w:eastAsia="Times New Roman" w:cs="Times New Roman"/>
          <w:color w:val="000000"/>
          <w:sz w:val="26"/>
        </w:rPr>
        <w:t>Trên cơ sở mục tiêu và nội dung hợp tác do khách hàng cung cấp, tư vấn cấu trúc Hợp đồng BCC và xây dựng các điều khoản phù hợp nhằm xác định rõ phần đóng góp, quyền và nghĩa vụ, cơ chế quản lý, phân chia lợi ích, phân bổ rủi ro và phương thức chấm dứt hợp tác của các bên.</w:t>
      </w:r>
    </w:p>
    <w:p>
      <w:pPr>
        <w:pStyle w:val="Heading3"/>
        <w:keepNext w:val="true"/>
        <w:spacing w:before="120" w:after="100"/>
        <w:rPr/>
      </w:pPr>
      <w:r>
        <w:rPr>
          <w:rFonts w:eastAsia="Times New Roman" w:cs="Times New Roman" w:ascii="Times New Roman" w:hAnsi="Times New Roman"/>
          <w:b/>
          <w:color w:val="000000"/>
          <w:sz w:val="26"/>
        </w:rPr>
        <w:t>4.4.2. Nội dung dịch vụ.</w:t>
      </w:r>
    </w:p>
    <w:p>
      <w:pPr>
        <w:pStyle w:val="Normal"/>
        <w:spacing w:lineRule="auto" w:line="312" w:before="0" w:after="120"/>
        <w:ind w:firstLine="567"/>
        <w:jc w:val="both"/>
        <w:rPr/>
      </w:pPr>
      <w:r>
        <w:rPr>
          <w:rFonts w:eastAsia="Times New Roman" w:cs="Times New Roman"/>
          <w:color w:val="000000"/>
          <w:sz w:val="26"/>
        </w:rPr>
        <w:t>Thứ nhất, tư vấn cấu trúc và nội dung hợp tác. Tiếp nhận thông tin về dự án hợp tác và xác định các yếu tố pháp lý cơ bản của giao dịch, bao gồm: (1) Các bên tham gia hợp tác; (2) Mục tiêu hợp tác; (3) Phạm vi hoạt động hợp tác; (4) Thời hạn hợp tác; (5) Phần đóng góp của từng bên; (6) Cơ chế quản lý và thực hiện hoạt động hợp tác; (7) Phương thức phân chia lợi nhuận, sản phẩm hoặc kết quả kinh doanh</w:t>
      </w:r>
    </w:p>
    <w:p>
      <w:pPr>
        <w:pStyle w:val="Normal"/>
        <w:spacing w:lineRule="auto" w:line="312" w:before="0" w:after="120"/>
        <w:ind w:firstLine="567"/>
        <w:jc w:val="both"/>
        <w:rPr/>
      </w:pPr>
      <w:r>
        <w:rPr>
          <w:rFonts w:eastAsia="Times New Roman" w:cs="Times New Roman"/>
          <w:color w:val="000000"/>
          <w:sz w:val="26"/>
        </w:rPr>
        <w:t>Trên cơ sở đó, xác định các vấn đề cần được quy định trong Hợp đồng BCC và đề xuất cấu trúc hợp đồng phù hợp với mục tiêu kinh doanh của khách hàng.</w:t>
      </w:r>
    </w:p>
    <w:p>
      <w:pPr>
        <w:pStyle w:val="Normal"/>
        <w:spacing w:lineRule="auto" w:line="312" w:before="0" w:after="120"/>
        <w:ind w:firstLine="567"/>
        <w:jc w:val="both"/>
        <w:rPr/>
      </w:pPr>
      <w:r>
        <w:rPr>
          <w:rFonts w:eastAsia="Times New Roman" w:cs="Times New Roman"/>
          <w:color w:val="000000"/>
          <w:sz w:val="26"/>
        </w:rPr>
        <w:t>Thứ hai, tư vấn về phần đóng góp của các bên. Cung cấp dịch vụ tư vấn và quy định rõ trong hợp đồng về phần đóng góp của từng bên, bao gồm: tiền, tài sản, nhân lực, hệ thống cơ sở hạ tầng, công nghệ và các nguồn lực hợp pháp khác. Điều này giúp tạo cơ sở pháp lý vững chắc để phòng ngừa tranh chấp, tối ưu hóa nguồn lực cam kết và bảo vệ quyền lợi hợp pháp của các bên trong suốt quá trình hợp tác.</w:t>
      </w:r>
    </w:p>
    <w:p>
      <w:pPr>
        <w:pStyle w:val="Normal"/>
        <w:spacing w:lineRule="auto" w:line="312" w:before="0" w:after="120"/>
        <w:ind w:firstLine="567"/>
        <w:jc w:val="both"/>
        <w:rPr/>
      </w:pPr>
      <w:r>
        <w:rPr>
          <w:rFonts w:eastAsia="Times New Roman" w:cs="Times New Roman"/>
          <w:color w:val="000000"/>
          <w:sz w:val="26"/>
        </w:rPr>
        <w:t>Thứ ba, soạn thảo Hợp đồng BCC. Tư vấn xây dựng Hợp đồng BCC với các nội dung chủ yếu sau: (1) Thông tin và tư cách pháp lý của các bên; (2) Mục tiêu và phạm vi hợp tác; (3) Nội dung hoạt động kinh doanh; (4) Địa điểm và thời hạn hợp tác; (5) Phần đóng góp của từng bên; (6) Quyền và nghĩa vụ của các bên; (7) Cơ chế quản lý và điều hành; (8) Phương thức phân chia lợi nhuận, sản phẩm hoặc kết quả kinh doanh; (9) Tiến độ và thời hạn; (10) Trách nhiệm do vi phạm hợp đồng; (11) Điều khoản bảo mật và quyền sở hữu trí tuệ; (12) Điều kiện chấm dứt hợp đồng; (13) Điều khoản về pháp luật áp dụng.</w:t>
      </w:r>
    </w:p>
    <w:p>
      <w:pPr>
        <w:pStyle w:val="Normal"/>
        <w:spacing w:lineRule="auto" w:line="312" w:before="0" w:after="120"/>
        <w:ind w:firstLine="567"/>
        <w:jc w:val="both"/>
        <w:rPr/>
      </w:pPr>
      <w:r>
        <w:rPr>
          <w:rFonts w:eastAsia="Times New Roman" w:cs="Times New Roman"/>
          <w:color w:val="000000"/>
          <w:sz w:val="26"/>
        </w:rPr>
        <w:t>Dịch vụ này nhằm thiết lập hành lang pháp lý toàn diện và chặt chẽ cho hoạt động hợp tác kinh doanh. Thông qua việc cụ thể hóa chi tiết các điều khoản, dịch vụ giúp tối ưu hóa hiệu quả vận hành, bảo đảm quyền lợi tối đa cho các bên và phòng ngừa triệt để các rủi ro, tranh chấp phát sinh trong quá trình thực hiện.</w:t>
      </w:r>
    </w:p>
    <w:p>
      <w:pPr>
        <w:pStyle w:val="Normal"/>
        <w:spacing w:lineRule="auto" w:line="312" w:before="0" w:after="120"/>
        <w:ind w:firstLine="567"/>
        <w:jc w:val="both"/>
        <w:rPr/>
      </w:pPr>
      <w:r>
        <w:rPr>
          <w:rFonts w:eastAsia="Times New Roman" w:cs="Times New Roman"/>
          <w:color w:val="000000"/>
          <w:sz w:val="26"/>
        </w:rPr>
        <w:t>Thứ tư, tư vấn cơ chế quản lý và ra quyết định. Cung cấp dịch vụ tư vấn cơ chế phối hợp và ra quyết định trong quá trình thực hiện BCC, bao gồm: Thẩm quyền của đại diện mỗi bên, cơ chế đưa ra quyết định, cơ chế giám sát hoạt động hợp tác, Cơ chế xử lý vi phạm nghĩa vụ của một bên. Đối với BCC thuộc trường hợp phải thành lập Ban điều phối theo pháp luật đầu tư, chúng tôi hỗ trợ tư vấn việc xác định chức năng, nhiệm vụ và quyền hạn của Ban điều phối trong phạm vi hợp đồng.</w:t>
      </w:r>
    </w:p>
    <w:p>
      <w:pPr>
        <w:pStyle w:val="Normal"/>
        <w:spacing w:lineRule="auto" w:line="312" w:before="0" w:after="120"/>
        <w:ind w:firstLine="567"/>
        <w:jc w:val="both"/>
        <w:rPr/>
      </w:pPr>
      <w:r>
        <w:rPr>
          <w:rFonts w:eastAsia="Times New Roman" w:cs="Times New Roman"/>
          <w:color w:val="000000"/>
          <w:sz w:val="26"/>
        </w:rPr>
        <w:t>Thứ năm, tư vấn phân chia lợi ích và phân bổ rủi ro. Dịch vụ tư vấn xác định cơ chế phân chia lợi nhuận, sản phẩm hoặc kết quả kinh doanh giữa các bên, đồng thời xác định trách nhiệm đối với các chi phí và rủi ro phát sinh, bao gồm: căn cứ xác định doanh thu, chi phí; Phương thức xác định lợi nhuận, thời điểm và phương thức phân chia,, cơ chế xử lý tổn thất và trách nhiệm đối với nghĩa vụ phát sinh từ hoạt động hợp tác.</w:t>
      </w:r>
    </w:p>
    <w:p>
      <w:pPr>
        <w:pStyle w:val="Normal"/>
        <w:spacing w:lineRule="auto" w:line="312" w:before="0" w:after="120"/>
        <w:ind w:firstLine="567"/>
        <w:jc w:val="both"/>
        <w:rPr/>
      </w:pPr>
      <w:r>
        <w:rPr>
          <w:rFonts w:eastAsia="Times New Roman" w:cs="Times New Roman"/>
          <w:color w:val="000000"/>
          <w:sz w:val="26"/>
        </w:rPr>
        <w:t>Thứ sáu, rà soát, đàm phán và hoàn thiện Hợp đồng BCC. Cung cấp dịch vụ rà soát dự thảo hợp đồng do khách hàng hoặc đối tác cung cấp, xác định các điều khoản có khả năng gây bất lợi cho khách hàng và đề xuất phương án sửa đổi. Đồng thời, hỗ trợ khách hàng trong quá trình đàm phán các điều khoản quan trọng và hoàn thiện Hợp đồng BCC trước khi ký kết.</w:t>
      </w:r>
    </w:p>
    <w:p>
      <w:pPr>
        <w:pStyle w:val="Heading3"/>
        <w:keepNext w:val="true"/>
        <w:spacing w:before="120" w:after="100"/>
        <w:rPr/>
      </w:pPr>
      <w:r>
        <w:rPr>
          <w:rFonts w:eastAsia="Times New Roman" w:cs="Times New Roman" w:ascii="Times New Roman" w:hAnsi="Times New Roman"/>
          <w:b/>
          <w:color w:val="000000"/>
          <w:sz w:val="26"/>
        </w:rPr>
        <w:t>4.4.3. Phạm vi dịch vụ.</w:t>
      </w:r>
    </w:p>
    <w:p>
      <w:pPr>
        <w:pStyle w:val="Normal"/>
        <w:spacing w:lineRule="auto" w:line="312" w:before="0" w:after="120"/>
        <w:ind w:firstLine="567"/>
        <w:jc w:val="both"/>
        <w:rPr/>
      </w:pPr>
      <w:r>
        <w:rPr>
          <w:rFonts w:eastAsia="Times New Roman" w:cs="Times New Roman"/>
          <w:color w:val="000000"/>
          <w:sz w:val="26"/>
        </w:rPr>
        <w:t>Phạm vi dịch vụ áp dụng đối với việc tư vấn, soạn thảo, rà soát và hoàn thiện Hợp đồng BCC giữa doanh nghiệp và nhà đầu tư trong nước hoặc nước ngoài, từ khi xác định nội dung hợp tác đến khi hợp đồng được hoàn tất để ký kết. Đối với nhà đầu tư nước ngoài, việc hợp tác phải tuân thủ các điều kiện và thủ tục đầu tư theo quy định pháp luật hiện hành. Phạm vi dịch vụ không bao gồm thủ tục xin giấy phép cung ứng dịch vụ trung gian thanh toán, tư vấn thuế, kế toán, kiểm toán, thẩm định chuyên sâu về công nghệ hoặc các thủ tục đầu tư riêng của nhà đầu tư nước ngoài, trừ khi có thỏa thuận khác.</w:t>
      </w:r>
    </w:p>
    <w:p>
      <w:pPr>
        <w:pStyle w:val="Heading3"/>
        <w:keepNext w:val="true"/>
        <w:spacing w:before="120" w:after="100"/>
        <w:rPr/>
      </w:pPr>
      <w:r>
        <w:rPr>
          <w:rFonts w:eastAsia="Times New Roman" w:cs="Times New Roman" w:ascii="Times New Roman" w:hAnsi="Times New Roman"/>
          <w:b/>
          <w:color w:val="000000"/>
          <w:sz w:val="26"/>
        </w:rPr>
        <w:t>4.4.4. Mục đích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BCC nhằm xác định rõ quyền, nghĩa vụ và trách nhiệm của các bên, từ mục tiêu, phạm vi hợp tác, phần đóng góp đến cơ chế quản lý, phân chia lợi ích và phân bổ rủi ro. Đồng thời, hợp đồng giúp bảo vệ tài sản, công nghệ và lợi ích của các bên, thiết lập cơ chế xử lý bất đồng, vi phạm và chấm dứt hợp tác. Qua đó hạn chế tranh chấp và bảo đảm giao dịch phù hợp với quy định pháp luật đối với cả nhà đầu tư trong nước và nước ngoài.</w:t>
      </w:r>
    </w:p>
    <w:p>
      <w:pPr>
        <w:pStyle w:val="Heading2"/>
        <w:keepNext w:val="true"/>
        <w:spacing w:before="120" w:after="100"/>
        <w:rPr/>
      </w:pPr>
      <w:r>
        <w:rPr>
          <w:rFonts w:eastAsia="Times New Roman" w:cs="Times New Roman" w:ascii="Times New Roman" w:hAnsi="Times New Roman"/>
          <w:b/>
          <w:color w:val="000000"/>
          <w:sz w:val="26"/>
        </w:rPr>
        <w:t>4.5. Hợp đồng kết nối và mở tài khoản bảo đảm thanh toán (*).</w:t>
      </w:r>
    </w:p>
    <w:p>
      <w:pPr>
        <w:pStyle w:val="Heading3"/>
        <w:keepNext w:val="true"/>
        <w:spacing w:before="120" w:after="100"/>
        <w:rPr/>
      </w:pPr>
      <w:r>
        <w:rPr>
          <w:rFonts w:eastAsia="Times New Roman" w:cs="Times New Roman" w:ascii="Times New Roman" w:hAnsi="Times New Roman"/>
          <w:b/>
          <w:color w:val="000000"/>
          <w:sz w:val="26"/>
        </w:rPr>
        <w:t>4.5.1. Giới thiệu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Hợp tác Kết nối và Mở Tài khoản Đảm bảo Thanh toán là giải pháp pháp lý toàn diện do chúng tôi thiết kế riêng cho các doanh nghiệp đang chuẩn bị triển khai hoặc vận hành dịch vụ Ví điện tử. Về mặt bản chất, đây không đơn thuần là một hợp đồng thương mại thông thường, mà là thỏa thuận hợp tác đa tầng điều chỉnh đồng thời hai quan hệ cốt lõi: quan hệ quản lý tài sản ký quỹ đảm bảo giữa với Ngân hàng thương mại (NHTM) và quan hệ kết nối hạ tầng công nghệ thanh toán qua giao diện lập trình ứng dụng (API Gateway). Hợp đồng này đóng vai trò là sợi dây giúp doanh nghiệp hiện thực hóa mô hình kinh doanh Ví điện tử trong ranh giới pháp luật Việt Nam hiện hành.</w:t>
      </w:r>
    </w:p>
    <w:p>
      <w:pPr>
        <w:pStyle w:val="Normal"/>
        <w:spacing w:lineRule="auto" w:line="312" w:before="0" w:after="120"/>
        <w:ind w:firstLine="567"/>
        <w:jc w:val="both"/>
        <w:rPr/>
      </w:pPr>
      <w:r>
        <w:rPr>
          <w:rFonts w:eastAsia="Times New Roman" w:cs="Times New Roman"/>
          <w:color w:val="000000"/>
          <w:sz w:val="26"/>
        </w:rPr>
        <w:t>Căn cứ pháp lý trực tiếp để xây dựng hợp đồng bao gồm Nghị định số 52/2024/NĐ-CP của Chính phủ quy định về thanh toán không dùng tiền mặt, Thông tư số 40/2024/TT-NHNN của Ngân hàng Nhà nước quy định về hoạt động cung ứng dịch vụ trung gian thanh toán, Thông tư số 17/2024/TT-NHNN về mở và sử dụng tài khoản thanh toán, Luật Các tổ chức tín dụng năm 2024, Luật Giao dịch điện tử năm 2023, Luật Bảo vệ dữ liệu cá nhân số 91/2025/QH15 và Nghị định số 356/2025/NĐ-CP về bảo vệ dữ liệu cá nhân, cùng các quy định liên quan của Bộ luật Dân sự 2015.</w:t>
      </w:r>
    </w:p>
    <w:p>
      <w:pPr>
        <w:pStyle w:val="Normal"/>
        <w:spacing w:lineRule="auto" w:line="312" w:before="0" w:after="120"/>
        <w:ind w:firstLine="567"/>
        <w:jc w:val="both"/>
        <w:rPr/>
      </w:pPr>
      <w:r>
        <w:rPr>
          <w:rFonts w:eastAsia="Times New Roman" w:cs="Times New Roman"/>
          <w:color w:val="000000"/>
          <w:sz w:val="26"/>
        </w:rPr>
        <w:t>Sự cần thiết của hợp đồng xuất phát từ giới hạn tư cách pháp lý của doanh nghiệp. Theo quy định pháp luật Việt Nam, công ty chỉ là đơn vị cung cấp giải pháp công nghệ trung gian, không phải là tổ chức tín dụng nên tuyệt đối không có chức năng nhận tiền gửi hay tự mình đứng ra quản lý, lưu giữ tiền mặt của người sử dụng Ví. Toàn bộ tiền thực của khách hàng nạp vào Ví điện tử bắt buộc phải được chuyển về lưu giữ tại một hoặc nhiều Tài khoản đảm bảo thanh toán mở tại NHTM hợp tác. Do đó, hợp đồng này chính là cơ chế pháp lý phân định rõ ràng vai trò: Ngân hàng đóng vai trò là đơn vị lưu giữ, bảo chứng an toàn tài chính, còn giữ vai trò quản lý hệ thống dữ liệu, xử lý tính toán số dư trên ứng dụng và vận hành trải nghiệm người dùng.</w:t>
      </w:r>
    </w:p>
    <w:p>
      <w:pPr>
        <w:pStyle w:val="Heading3"/>
        <w:keepNext w:val="true"/>
        <w:spacing w:before="120" w:after="100"/>
        <w:rPr/>
      </w:pPr>
      <w:r>
        <w:rPr>
          <w:rFonts w:eastAsia="Times New Roman" w:cs="Times New Roman" w:ascii="Times New Roman" w:hAnsi="Times New Roman"/>
          <w:b/>
          <w:color w:val="000000"/>
          <w:sz w:val="26"/>
        </w:rPr>
        <w:t>4.5.2. Nội dung dịch vụ.</w:t>
      </w:r>
    </w:p>
    <w:p>
      <w:pPr>
        <w:pStyle w:val="Normal"/>
        <w:spacing w:lineRule="auto" w:line="312" w:before="0" w:after="120"/>
        <w:ind w:firstLine="567"/>
        <w:jc w:val="both"/>
        <w:rPr/>
      </w:pPr>
      <w:r>
        <w:rPr>
          <w:rFonts w:eastAsia="Times New Roman" w:cs="Times New Roman"/>
          <w:color w:val="000000"/>
          <w:sz w:val="26"/>
        </w:rPr>
        <w:t>Để xây dựng một bộ hợp đồng vừa tuân thủ nghiêm ngặt quy định chuyên ngành của Ngân hàng Nhà nước, vừa tối ưu hóa lợi ích thương mại cho doanh nghiệp khi làm việc với các NHTM lớn, chúng tôi triển khai quy trình tư vấn và bàn giao sản phẩm qua ba giai đoạn:</w:t>
      </w:r>
    </w:p>
    <w:p>
      <w:pPr>
        <w:pStyle w:val="Normal"/>
        <w:spacing w:lineRule="auto" w:line="312" w:before="0" w:after="120"/>
        <w:ind w:firstLine="567"/>
        <w:jc w:val="both"/>
        <w:rPr/>
      </w:pPr>
      <w:r>
        <w:rPr>
          <w:rFonts w:eastAsia="Times New Roman" w:cs="Times New Roman"/>
          <w:color w:val="000000"/>
          <w:sz w:val="26"/>
        </w:rPr>
        <w:t>Giai đoạn 1: Khảo sát mô hình luồng tiền và kiến trúc kỹ thuật</w:t>
      </w:r>
    </w:p>
    <w:p>
      <w:pPr>
        <w:pStyle w:val="Normal"/>
        <w:spacing w:lineRule="auto" w:line="312" w:before="0" w:after="120"/>
        <w:ind w:firstLine="567"/>
        <w:jc w:val="both"/>
        <w:rPr/>
      </w:pPr>
      <w:r>
        <w:rPr>
          <w:rFonts w:eastAsia="Times New Roman" w:cs="Times New Roman"/>
          <w:color w:val="000000"/>
          <w:sz w:val="26"/>
        </w:rPr>
        <w:t>Trước khi đặt bút soạn thảo, luật sư chuyên trách sẽ phối hợp cùng Ban điều hành, Bộ phận Pháp chế và Khối Kỹ thuật của doanh nghiệp để đánh giá toàn diện mô hình vận hành. Phân tích kỹ lưỡng 03 luồng giao dịch cơ bản bao gồm: Luồng Nạp tiền (Cash-in) từ tài khoản/thẻ ngân hàng vào Ví; Luồng Rút tiền (Cash-out) từ Ví về tài khoản ngân hàng chính chủ; và Luồng Thanh toán (Payment) từ Ví sang Đơn vị chấp nhận thanh toán. Qua đó, xác định cơ chế ghi nhận biến động số dư theo thời gian thực và thiết lập nguyên tắc bảo lưu tỷ lệ 1:1 giữa tổng số dư Ví người dùng và số dư tiền gửi thực tế trên Tài khoản đảm bảo thanh toán.</w:t>
      </w:r>
    </w:p>
    <w:p>
      <w:pPr>
        <w:pStyle w:val="Normal"/>
        <w:spacing w:lineRule="auto" w:line="312" w:before="0" w:after="120"/>
        <w:ind w:firstLine="567"/>
        <w:jc w:val="both"/>
        <w:rPr/>
      </w:pPr>
      <w:r>
        <w:rPr>
          <w:rFonts w:eastAsia="Times New Roman" w:cs="Times New Roman"/>
          <w:color w:val="000000"/>
          <w:sz w:val="26"/>
        </w:rPr>
        <w:t>Giai đoạn 2: Xây dựng Bộ Hợp đồng hợp tác và các Phụ lục chuyên sâu</w:t>
      </w:r>
    </w:p>
    <w:p>
      <w:pPr>
        <w:pStyle w:val="Normal"/>
        <w:spacing w:lineRule="auto" w:line="312" w:before="0" w:after="120"/>
        <w:ind w:firstLine="567"/>
        <w:jc w:val="both"/>
        <w:rPr/>
      </w:pPr>
      <w:r>
        <w:rPr>
          <w:rFonts w:eastAsia="Times New Roman" w:cs="Times New Roman"/>
          <w:color w:val="000000"/>
          <w:sz w:val="26"/>
        </w:rPr>
        <w:t>Trên cơ sở kết quả khảo sát, soạn thảo trọn bộ hồ sơ hợp tác bao gồm Hợp đồng khung điều chỉnh nguyên tắc chung và các Phụ lục kỹ thuật - vận hành đi kèm. Sản phẩm bàn giao cụ thể gồm có:</w:t>
      </w:r>
    </w:p>
    <w:p>
      <w:pPr>
        <w:pStyle w:val="Normal"/>
        <w:spacing w:lineRule="auto" w:line="312" w:before="0" w:after="120"/>
        <w:ind w:hanging="0" w:start="425"/>
        <w:jc w:val="both"/>
        <w:rPr/>
      </w:pPr>
      <w:r>
        <w:rPr>
          <w:rFonts w:eastAsia="Times New Roman" w:cs="Times New Roman"/>
          <w:color w:val="000000"/>
          <w:sz w:val="26"/>
        </w:rPr>
        <w:t>- Dự thảo Hợp đồng chính: Quy định năng lực pháp lý, mục đích hợp tác, quyền và nghĩa vụ tổng quát, cơ chế tài chính, phạt vi phạm, bồi thường thiệt hại và giải quyết tranh chấp.</w:t>
      </w:r>
    </w:p>
    <w:p>
      <w:pPr>
        <w:pStyle w:val="Normal"/>
        <w:spacing w:lineRule="auto" w:line="312" w:before="0" w:after="120"/>
        <w:ind w:hanging="0" w:start="425"/>
        <w:jc w:val="both"/>
        <w:rPr/>
      </w:pPr>
      <w:r>
        <w:rPr>
          <w:rFonts w:eastAsia="Times New Roman" w:cs="Times New Roman"/>
          <w:color w:val="000000"/>
          <w:sz w:val="26"/>
        </w:rPr>
        <w:t>- Phụ lục 01 - Quy chế Mở và Quản lý Tài khoản Đảm bảo Thanh toán: Quy định chi tiết điều kiện giải tỏa tiền, danh mục mục đích chi trả hợp pháp, công thức kiểm tra số dư và nghĩa vụ báo cáo định kỳ.</w:t>
      </w:r>
    </w:p>
    <w:p>
      <w:pPr>
        <w:pStyle w:val="Normal"/>
        <w:spacing w:lineRule="auto" w:line="312" w:before="0" w:after="120"/>
        <w:ind w:hanging="0" w:start="425"/>
        <w:jc w:val="both"/>
        <w:rPr/>
      </w:pPr>
      <w:r>
        <w:rPr>
          <w:rFonts w:eastAsia="Times New Roman" w:cs="Times New Roman"/>
          <w:color w:val="000000"/>
          <w:sz w:val="26"/>
        </w:rPr>
        <w:t>- Phụ lục 02 - Tiêu chuẩn Kết nối API và Cam kết Chất lượng Dịch vụ: Mô tả các cổng kết nối, môi trường thử nghiệm (Sandbox), tiêu chuẩn mã hóa, tỷ lệ sẵn sàng hệ thống, giới hạn thời gian gián đoạn và quy trình khắc phục sự cố khẩn cấp.</w:t>
      </w:r>
    </w:p>
    <w:p>
      <w:pPr>
        <w:pStyle w:val="Normal"/>
        <w:spacing w:lineRule="auto" w:line="312" w:before="0" w:after="120"/>
        <w:ind w:hanging="0" w:start="425"/>
        <w:jc w:val="both"/>
        <w:rPr/>
      </w:pPr>
      <w:r>
        <w:rPr>
          <w:rFonts w:eastAsia="Times New Roman" w:cs="Times New Roman"/>
          <w:color w:val="000000"/>
          <w:sz w:val="26"/>
        </w:rPr>
        <w:t>- Phụ lục 03 - Quy trình Đối soát, Tra soát và Xử lý Sai lệch: Chốt chu kỳ đối soát dữ liệu (T+1), phương thức xử lý giao dịch treo, giao dịch lỗi hai lần và trách nhiệm hoàn tiền cho khách hàng.</w:t>
      </w:r>
    </w:p>
    <w:p>
      <w:pPr>
        <w:pStyle w:val="Normal"/>
        <w:spacing w:lineRule="auto" w:line="312" w:before="0" w:after="120"/>
        <w:ind w:hanging="0" w:start="425"/>
        <w:jc w:val="both"/>
        <w:rPr/>
      </w:pPr>
      <w:r>
        <w:rPr>
          <w:rFonts w:eastAsia="Times New Roman" w:cs="Times New Roman"/>
          <w:color w:val="000000"/>
          <w:sz w:val="26"/>
        </w:rPr>
        <w:t>- Phụ lục 04 - Thỏa thuận Bảo vệ Dữ liệu Cá nhân và An toàn Thông tin: Quy định phân định vai trò xử lý dữ liệu, cơ chế mã hóa thông tin eKYC và phương án xử lý khi xảy ra sự cố rò rỉ dữ liệu theo Luật Bảo vệ dữ liệu cá nhân số 91/2025/QH15 và Nghị định 356/2025/NĐ-CP.</w:t>
      </w:r>
    </w:p>
    <w:p>
      <w:pPr>
        <w:pStyle w:val="Normal"/>
        <w:spacing w:lineRule="auto" w:line="312" w:before="0" w:after="120"/>
        <w:ind w:hanging="0" w:start="0"/>
        <w:jc w:val="both"/>
        <w:rPr/>
      </w:pPr>
      <w:r>
        <w:rPr>
          <w:rFonts w:eastAsia="Times New Roman" w:cs="Times New Roman"/>
          <w:color w:val="000000"/>
          <w:sz w:val="26"/>
        </w:rPr>
        <w:t>Giai đoạn 3: Rà soát, đàm phán và hoàn thiện văn bản pháp lý</w:t>
      </w:r>
    </w:p>
    <w:p>
      <w:pPr>
        <w:pStyle w:val="Normal"/>
        <w:spacing w:lineRule="auto" w:line="312" w:before="0" w:after="120"/>
        <w:ind w:firstLine="567"/>
        <w:jc w:val="both"/>
        <w:rPr/>
      </w:pPr>
      <w:r>
        <w:rPr>
          <w:rFonts w:eastAsia="Times New Roman" w:cs="Times New Roman"/>
          <w:color w:val="000000"/>
          <w:sz w:val="26"/>
        </w:rPr>
        <w:t>Các NHTM thường có xu hướng sử dụng mẫu hợp đồng do khối pháp chế của ngân hàng soạn sẵn, trong đó thường gài gắm các điều khoản miễn trừ trách nhiệm cho phía ngân hàng hoặc đơn phương tạm dừng dịch vụ khi có sự cố. Luật sư bên phía tôi sẽ đại diện hoặc đồng hành cùng doanh nghiệp trong các phiên đàm phán, thực hiện rà soát chuyên sâu nhằm loại bỏ các điều khoản bất lợi, điều chỉnh cơ chế phạt vi phạm về mức hợp lý, bảo vệ quyền chủ động tài chính của doanh nghiệp và đảm bảo hợp đồng sẵn sàng vượt qua kỳ thẩm định của Ngân hàng Nhà nước.</w:t>
      </w:r>
    </w:p>
    <w:p>
      <w:pPr>
        <w:pStyle w:val="Heading3"/>
        <w:keepNext w:val="true"/>
        <w:spacing w:before="120" w:after="100"/>
        <w:rPr/>
      </w:pPr>
      <w:r>
        <w:rPr>
          <w:rFonts w:eastAsia="Times New Roman" w:cs="Times New Roman" w:ascii="Times New Roman" w:hAnsi="Times New Roman"/>
          <w:b/>
          <w:color w:val="000000"/>
          <w:sz w:val="26"/>
        </w:rPr>
        <w:t>4.5.3. Phạm vi dịch vụ.</w:t>
      </w:r>
    </w:p>
    <w:p>
      <w:pPr>
        <w:pStyle w:val="Normal"/>
        <w:spacing w:lineRule="auto" w:line="312" w:before="0" w:after="120"/>
        <w:ind w:firstLine="567"/>
        <w:jc w:val="both"/>
        <w:rPr/>
      </w:pPr>
      <w:r>
        <w:rPr>
          <w:rFonts w:eastAsia="Times New Roman" w:cs="Times New Roman"/>
          <w:color w:val="000000"/>
          <w:sz w:val="26"/>
        </w:rPr>
        <w:t>Phạm vi dịch vụ tư vấn và soạn thảo Hợp đồng Hợp tác Kết nối và Mở Tài khoản Đảm bảo Thanh toán do Công ty chúng tôi cung cấp cho quý công ty được xác định cụ thể dựa trên 04 tiêu chí ranh giới pháp lý và vận hành sau đây:</w:t>
      </w:r>
    </w:p>
    <w:p>
      <w:pPr>
        <w:pStyle w:val="Normal"/>
        <w:spacing w:lineRule="auto" w:line="312" w:before="0" w:after="120"/>
        <w:ind w:firstLine="567"/>
        <w:jc w:val="both"/>
        <w:rPr/>
      </w:pPr>
      <w:r>
        <w:rPr>
          <w:rFonts w:eastAsia="Times New Roman" w:cs="Times New Roman"/>
          <w:color w:val="000000"/>
          <w:sz w:val="26"/>
        </w:rPr>
        <w:t>Thứ nhất, đối tượng áp dụng của dịch vụ. Dịch vụ tư vấn được áp dụng trực tiếp đối với quan hệ hợp tác đa tầng giữa quý công ty (doanh nghiệp cung ứng dịch vụ Ví điện tử) và Ngân hàng thương mại hợp tác. Phạm vi dịch vụ tập trung điều chỉnh hai nhóm quan hệ cốt lõi: quan hệ quản lý, bảo chứng an toàn tài chính đối với tiền nạp của người dùng thông qua Tài khoản đảm bảo thanh toán; và quan hệ kết nối hạ tầng kỹ thuật thanh toán qua cổng API. Dịch vụ bao phủ toàn bộ các khía cạnh pháp lý kết nối giữa hai bên, bao gồm cơ chế bảo lưu vốn 1:1, luồng dịch chuyển dòng tiền (Cash-in, Cash-out, Payment), tiêu chuẩn chất lượng kết nối, quy trình đối soát – tra soát, trách nhiệm tuân thủ eKYC, phòng chống rửa tiền (AML) và bảo vệ dữ liệu cá nhân trong quá trình vận hành hệ thống.</w:t>
      </w:r>
    </w:p>
    <w:p>
      <w:pPr>
        <w:pStyle w:val="Normal"/>
        <w:spacing w:lineRule="auto" w:line="312" w:before="0" w:after="120"/>
        <w:ind w:firstLine="567"/>
        <w:jc w:val="both"/>
        <w:rPr/>
      </w:pPr>
      <w:r>
        <w:rPr>
          <w:rFonts w:eastAsia="Times New Roman" w:cs="Times New Roman"/>
          <w:color w:val="000000"/>
          <w:sz w:val="26"/>
        </w:rPr>
        <w:t>Thứ hai, thời điểm áp dụng và thời hạn thực hiện. Về thời điểm áp dụng, dịch vụ được khởi chạy ngay ở giai đoạn quý công ty chuẩn bị thương lượng, đàm phán với Ngân hàng thương mại để hoàn thiện hồ sơ xin cấp Giấy phép hoạt động cung ứng dịch vụ trung gian thanh toán gửi Ngân hàng Nhà nước (đáp ứng điều kiện bắt buộc theo Khoản 2 Điều 22 Nghị định 52/2024/NĐ-CP), hoặc áp dụng khi quý công ty có nhu cầu tái đàm phán, chuẩn hóa lại hợp đồng hợp tác đã ký kết. Về thời hạn thực hiện dịch vụ tư vấn, Công ty Luật sẽ đồng hành cùng quý công ty qua 03 giai đoạn (Khảo sát luồng tiền – Soạn thảo hồ sơ – Đàm phán hoàn thiện) cho đến khi bộ Hợp đồng chính thức được đại diện có thẩm quyền của hai bên ký kết và đáp ứng đầy đủ tiêu chuẩn thẩm định của Ngân hàng Nhà nước. Bản thân Hợp đồng hợp tác sau khi ký kết sẽ có hiệu lực theo thời hạn thương mại do quý công ty và Ngân hàng thỏa thuận (thông thường từ 01 đến 05 năm).</w:t>
      </w:r>
    </w:p>
    <w:p>
      <w:pPr>
        <w:pStyle w:val="Normal"/>
        <w:spacing w:lineRule="auto" w:line="312" w:before="0" w:after="120"/>
        <w:ind w:firstLine="567"/>
        <w:jc w:val="both"/>
        <w:rPr/>
      </w:pPr>
      <w:r>
        <w:rPr>
          <w:rFonts w:eastAsia="Times New Roman" w:cs="Times New Roman"/>
          <w:color w:val="000000"/>
          <w:sz w:val="26"/>
        </w:rPr>
        <w:t>Thứ ba, phạm vi tư vấn và soạn thảo hợp đồng được kiểm soát nghiêm ngặt và phải tuân thủ tuyệt đối các căn cứ pháp lý cứng của pháp luật Việt Nam hiện hành. Hợp đồng không được phép quy định bất kỳ điều khoản nào trái hoặc lệch chuẩn so với các văn bản quy phạm pháp luật bắt buộc:</w:t>
      </w:r>
    </w:p>
    <w:p>
      <w:pPr>
        <w:pStyle w:val="Normal"/>
        <w:spacing w:lineRule="auto" w:line="312" w:before="0" w:after="120"/>
        <w:ind w:hanging="0" w:start="0"/>
        <w:jc w:val="both"/>
        <w:rPr/>
      </w:pPr>
      <w:r>
        <w:rPr>
          <w:rFonts w:eastAsia="Times New Roman" w:cs="Times New Roman"/>
          <w:color w:val="000000"/>
          <w:sz w:val="26"/>
        </w:rPr>
        <w:t>- Nguyên tắc bảo lưu tỷ lệ 1:1 và danh mục mục đích chi trả khép kín của Tài khoản đảm bảo thanh toán quy định tại Khoản 3 Điều 6 Nghị định 52/2024/NĐ-CP và Điều 27 Thông tư 40/2024/TT-NHNN (đã sửa đổi, bổ sung theo Thông tư 41/2025/TT-NHNN).</w:t>
      </w:r>
    </w:p>
    <w:p>
      <w:pPr>
        <w:pStyle w:val="Normal"/>
        <w:spacing w:lineRule="auto" w:line="312" w:before="0" w:after="120"/>
        <w:ind w:hanging="0" w:start="0"/>
        <w:jc w:val="both"/>
        <w:rPr>
          <w:b w:val="false"/>
          <w:bCs w:val="false"/>
        </w:rPr>
      </w:pPr>
      <w:r>
        <w:rPr>
          <w:rFonts w:eastAsia="Times New Roman" w:cs="Times New Roman"/>
          <w:color w:val="000000"/>
          <w:sz w:val="26"/>
        </w:rPr>
        <w:t>- Các quy định về mở và sử dụng tài khoản thanh toán tại Thông tư 17/2024/TT-NHNN và Luật Các tổ chức tín dụng 2024.</w:t>
      </w:r>
    </w:p>
    <w:p>
      <w:pPr>
        <w:pStyle w:val="Normal"/>
        <w:spacing w:lineRule="auto" w:line="312" w:before="0" w:after="120"/>
        <w:ind w:hanging="0" w:start="0"/>
        <w:jc w:val="both"/>
        <w:rPr/>
      </w:pPr>
      <w:r>
        <w:rPr>
          <w:rFonts w:eastAsia="Times New Roman" w:cs="Times New Roman"/>
          <w:color w:val="000000"/>
          <w:sz w:val="26"/>
        </w:rPr>
        <w:t>- Giới hạn về hạn mức giao dịch, tiêu chuẩn eKYC sinh trắc học và nghĩa vụ báo cáo phòng chống rửa tiền theo pháp luật chuyên ngành.</w:t>
      </w:r>
    </w:p>
    <w:p>
      <w:pPr>
        <w:pStyle w:val="Normal"/>
        <w:spacing w:lineRule="auto" w:line="312" w:before="0" w:after="120"/>
        <w:ind w:hanging="0" w:start="0"/>
        <w:jc w:val="both"/>
        <w:rPr/>
      </w:pPr>
      <w:r>
        <w:rPr>
          <w:rFonts w:eastAsia="Times New Roman" w:cs="Times New Roman"/>
          <w:color w:val="000000"/>
          <w:sz w:val="26"/>
        </w:rPr>
        <w:t>- Các quy định bảo vệ dữ liệu cá nhân, hạn chế chuyển giao dữ liệu trái phép theo Luật Bảo vệ dữ liệu cá nhân số 91/2025/QH15 và Nghị định 356/2025/NĐ-CP.</w:t>
      </w:r>
    </w:p>
    <w:p>
      <w:pPr>
        <w:pStyle w:val="Normal"/>
        <w:spacing w:lineRule="auto" w:line="312" w:before="0" w:after="120"/>
        <w:ind w:hanging="0" w:start="0"/>
        <w:jc w:val="both"/>
        <w:rPr/>
      </w:pPr>
      <w:r>
        <w:rPr>
          <w:rFonts w:eastAsia="Times New Roman" w:cs="Times New Roman"/>
          <w:color w:val="000000"/>
          <w:sz w:val="26"/>
        </w:rPr>
        <w:t>- Ranh giới pháp lý của Bộ luật Hình sự: Hợp đồng tuyệt đối không được thiết lập các cơ chế cho phép quý công ty đụng chạm, sử dụng tiền đảm bảo thanh toán vào mục đích kinh doanh, cho vay hoặc huy động vốn trái phép.</w:t>
      </w:r>
    </w:p>
    <w:p>
      <w:pPr>
        <w:pStyle w:val="Normal"/>
        <w:spacing w:lineRule="auto" w:line="312" w:before="0" w:after="120"/>
        <w:ind w:firstLine="567"/>
        <w:jc w:val="both"/>
        <w:rPr/>
      </w:pPr>
      <w:r>
        <w:rPr>
          <w:rFonts w:eastAsia="Times New Roman" w:cs="Times New Roman"/>
          <w:color w:val="000000"/>
          <w:sz w:val="26"/>
        </w:rPr>
        <w:t>Thứ tư, Phạm vi dịch vụ không bao gồm việc đại diện doanh nghiệp chịu trách nhiệm pháp lý trước Ngân hàng Nhà nước, không thẩm định sâu về mã nguồn hay hạ tầng kỹ thuật (chỉ đánh giá khía cạnh tuân thủ pháp lý của các yếu tố kỹ thuật theo luật định), và không bao gồm tư vấn thuế, kế toán chuyên sâu trừ khi có thỏa thuận riêng.</w:t>
      </w:r>
    </w:p>
    <w:p>
      <w:pPr>
        <w:pStyle w:val="Heading3"/>
        <w:keepNext w:val="true"/>
        <w:spacing w:before="120" w:after="100"/>
        <w:rPr/>
      </w:pPr>
      <w:r>
        <w:rPr>
          <w:rFonts w:eastAsia="Times New Roman" w:cs="Times New Roman" w:ascii="Times New Roman" w:hAnsi="Times New Roman"/>
          <w:b/>
          <w:color w:val="000000"/>
          <w:sz w:val="26"/>
        </w:rPr>
        <w:t>4.5.4. Mục đích dịch vụ.</w:t>
      </w:r>
    </w:p>
    <w:p>
      <w:pPr>
        <w:pStyle w:val="Normal"/>
        <w:spacing w:lineRule="auto" w:line="312" w:before="0" w:after="120"/>
        <w:ind w:firstLine="567"/>
        <w:jc w:val="both"/>
        <w:rPr/>
      </w:pPr>
      <w:r>
        <w:rPr>
          <w:rFonts w:eastAsia="Times New Roman" w:cs="Times New Roman"/>
          <w:color w:val="000000"/>
          <w:sz w:val="26"/>
        </w:rPr>
        <w:t>Một Hợp đồng Hợp tác Kết nối và Mở Tài khoản Đảm bảo Thanh toán được chuẩn hóa pháp lý giúp giải quyết 05 bài toán chiến lược mang tính sống còn cho doanh nghiệp:</w:t>
      </w:r>
    </w:p>
    <w:p>
      <w:pPr>
        <w:pStyle w:val="Normal"/>
        <w:spacing w:lineRule="auto" w:line="312" w:before="0" w:after="120"/>
        <w:ind w:firstLine="567"/>
        <w:jc w:val="both"/>
        <w:rPr/>
      </w:pPr>
      <w:r>
        <w:rPr>
          <w:rFonts w:eastAsia="Times New Roman" w:cs="Times New Roman"/>
          <w:color w:val="000000"/>
          <w:sz w:val="26"/>
        </w:rPr>
        <w:t>Thứ nhất, hoàn thiện điều kiện pháp lý bắt buộc để xin Giấy phép Trung gian thanh toán. Theo Điểm đ Khoản 2 Điều 22 Nghị định 52/2024/NĐ-CP, việc có Thỏa thuận hoặc Hợp đồng nguyên tắc mở tài khoản đảm bảo thanh toán với Ngân hàng thương mại là điều kiện tiên quyết trong hồ sơ xin cấp Giấy phép hoạt động cung ứng dịch vụ trung gian thanh toán gửi Ngân hàng Nhà nước. Thiếu hợp đồng này, hồ sơ của doanh nghiệp sẽ bị bác bỏ ngay từ vòng thẩm định định danh. Việc sử dụng dịch vụ soạn thảo chuyên nghiệp giúp doanh nghiệp sở hữu một văn bản chuẩn chỉnh, đáp ứng chính xác các yêu cầu khắt khe của cơ quan quản lý.</w:t>
      </w:r>
    </w:p>
    <w:p>
      <w:pPr>
        <w:pStyle w:val="Normal"/>
        <w:spacing w:lineRule="auto" w:line="312" w:before="0" w:after="120"/>
        <w:ind w:firstLine="567"/>
        <w:jc w:val="both"/>
        <w:rPr/>
      </w:pPr>
      <w:r>
        <w:rPr>
          <w:rFonts w:eastAsia="Times New Roman" w:cs="Times New Roman"/>
          <w:color w:val="000000"/>
          <w:sz w:val="26"/>
        </w:rPr>
        <w:t>Thứ hai, triệt tiêu rủi ro bị truy cứu hình sự về hành vi "Huy động vốn trái phép". Rủi ro lớn nhất của các sáng lập viên doanh nghiệp là việc nhập nhằng giữa tiền của công ty và tiền nạp của người dùng. Khi hợp đồng thiết lập thành công cơ chế tài khoản phong tỏa tại Ngân hàng với nguyên tắc bảo lưu 1:1, tiền của người dùng được cách ly hoàn toàn khỏi tài sản của doanh nghiệp. Điều này tạo ra một "lá chắn pháp lý" vững chắc, bảo vệ Ban điều hành doanh nghiệp khỏi các nguy cơ bị thanh tra, truy cứu trách nhiệm hình sự về tội gian lận tài chính, kinh doanh tiền tệ trái phép hoặc huy động vốn trái phép theo Bộ luật Hình sự.</w:t>
      </w:r>
    </w:p>
    <w:p>
      <w:pPr>
        <w:pStyle w:val="Normal"/>
        <w:spacing w:lineRule="auto" w:line="312" w:before="0" w:after="120"/>
        <w:ind w:firstLine="567"/>
        <w:jc w:val="both"/>
        <w:rPr/>
      </w:pPr>
      <w:r>
        <w:rPr>
          <w:rFonts w:eastAsia="Times New Roman" w:cs="Times New Roman"/>
          <w:color w:val="000000"/>
          <w:sz w:val="26"/>
        </w:rPr>
        <w:t>Thứ ba, phân định rõ ràng trách nhiệm tài chính khi phát sinh sự cố hệ thống. Trong vận hành thanh toán số, các sự cố kỹ thuật như đứt gãy đường truyền viễn thông, lỗi kết nối API, treo tiền hoặc hacker can thiệp làm sai lệch dữ liệu giao dịch xảy ra thường xuyên. Nếu hợp đồng không quy định chặt chẽ, Ngân hàng thường có xu hướng đổ toàn bộ trách nhiệm hoàn tiền và bồi thường thiệt hại cho doanh nghiệp. Hợp đồng do chúng tôi soạn thảo sẽ phân định ranh giới lỗi kỹ thuật minh bạch dựa trên nhật ký hệ thống, giúp doanh nghiệp tránh khỏi những khoản bồi thường tài chính vô lý do lỗi hạ tầng từ phía Ngân hàng.</w:t>
      </w:r>
    </w:p>
    <w:p>
      <w:pPr>
        <w:pStyle w:val="Normal"/>
        <w:spacing w:lineRule="auto" w:line="312" w:before="0" w:after="120"/>
        <w:ind w:firstLine="567"/>
        <w:jc w:val="both"/>
        <w:rPr/>
      </w:pPr>
      <w:r>
        <w:rPr>
          <w:rFonts w:eastAsia="Times New Roman" w:cs="Times New Roman"/>
          <w:color w:val="000000"/>
          <w:sz w:val="26"/>
        </w:rPr>
        <w:t>Thứ tư, bảo đảm tính liên tục trong hoạt động kinh doanh. Một hợp đồng hợp tác hoàn chỉnh giúp doanh nghiệp chủ động kiểm soát vận hành, loại bỏ rủi ro bị Ngân hàng đơn phương "ngắt kết nối" hoặc "phong tỏa tài khoản" tùy tiện gây đóng băng toàn bộ dịch vụ Ví điện tử. Đồng thời, cơ chế đối soát T+1 và giải tỏa công nợ rõ ràng giúp dòng tiền thanh toán cho các Đơn vị chấp nhận thanh toán luôn trôi chảy, giữ vững uy tín thương hiệu của Ví điện tử trên thị trường.</w:t>
      </w:r>
    </w:p>
    <w:p>
      <w:pPr>
        <w:pStyle w:val="Normal"/>
        <w:spacing w:lineRule="auto" w:line="312" w:before="0" w:after="120"/>
        <w:ind w:firstLine="567"/>
        <w:jc w:val="both"/>
        <w:rPr/>
      </w:pPr>
      <w:r>
        <w:rPr>
          <w:rFonts w:eastAsia="Times New Roman" w:cs="Times New Roman"/>
          <w:color w:val="000000"/>
          <w:sz w:val="26"/>
        </w:rPr>
        <w:t>Thứ năm, gia tăng giá trị định giá và năng lực gọi vốn từ các Nhà đầu tư. Trong quá trình thẩm định pháp lý để gọi các vòng vốn lớn, các Quỹ đầu tư nước ngoài đặc biệt quan tâm đến tính an toàn pháp lý của luồng tiền và quyền sở hữu tài sản. Bộ hợp đồng hợp tác với Ngân hàng được thiết kế bài bản, tuân thủ đầy đủ chuẩn mực eKYC, AML và bảo vệ dữ liệu sẽ là bằng chứng thuyết phục nhất chứng minh năng lực quản trị rủi ro của doanh nghiệp, từ đó gia tăng niềm tin, rút ngắn thời gian đàm phán và nâng cao định giá doanh nghiệp trước các nhà đầu tư quốc tế.</w:t>
      </w:r>
    </w:p>
    <w:p>
      <w:pPr>
        <w:pStyle w:val="Heading2"/>
        <w:keepNext w:val="true"/>
        <w:spacing w:before="120" w:after="100"/>
        <w:rPr/>
      </w:pPr>
      <w:r>
        <w:rPr>
          <w:rFonts w:eastAsia="Times New Roman" w:cs="Times New Roman" w:ascii="Times New Roman" w:hAnsi="Times New Roman"/>
          <w:b/>
          <w:color w:val="000000"/>
          <w:sz w:val="26"/>
        </w:rPr>
        <w:t>4.6. Hợp đồng cung cấp dịch vụ thanh toán bằng ví điện tử.</w:t>
      </w:r>
    </w:p>
    <w:p>
      <w:pPr>
        <w:pStyle w:val="Heading3"/>
        <w:keepNext w:val="true"/>
        <w:spacing w:before="120" w:after="100"/>
        <w:rPr/>
      </w:pPr>
      <w:r>
        <w:rPr>
          <w:rFonts w:eastAsia="Times New Roman" w:cs="Times New Roman" w:ascii="Times New Roman" w:hAnsi="Times New Roman"/>
          <w:b/>
          <w:color w:val="000000"/>
          <w:sz w:val="26"/>
        </w:rPr>
        <w:t>4.6.1. Giới thiệu dịch vụ.</w:t>
      </w:r>
    </w:p>
    <w:p>
      <w:pPr>
        <w:pStyle w:val="Normal"/>
        <w:spacing w:lineRule="auto" w:line="312" w:before="0" w:after="120"/>
        <w:ind w:firstLine="567"/>
        <w:jc w:val="both"/>
        <w:rPr/>
      </w:pPr>
      <w:r>
        <w:rPr>
          <w:rFonts w:eastAsia="Times New Roman" w:cs="Times New Roman"/>
          <w:color w:val="000000"/>
          <w:sz w:val="26"/>
        </w:rPr>
        <w:t>Dịch vụ tư vấn pháp lý về Hợp đồng cung cấp dịch vụ thanh toán là dịch vụ do công ty chúng tôi cung cấp nhằm tư vấn, xây dựng, rà soát, đàm phán và hoàn thiện các thỏa thuận pháp lý làm cơ sở cho việc cung cấp và sử dụng dịch vụ thanh toán giữa công ty và khách hàng, ngân hàng, tổ chức cung ứng dịch vụ trung gian thanh toán, đơn vị chấp nhận thanh toán hoặc các đối tác có liên quan.</w:t>
      </w:r>
    </w:p>
    <w:p>
      <w:pPr>
        <w:pStyle w:val="Normal"/>
        <w:spacing w:lineRule="auto" w:line="312" w:before="0" w:after="120"/>
        <w:ind w:firstLine="567"/>
        <w:jc w:val="both"/>
        <w:rPr/>
      </w:pPr>
      <w:r>
        <w:rPr>
          <w:rFonts w:eastAsia="Times New Roman" w:cs="Times New Roman"/>
          <w:color w:val="000000"/>
          <w:sz w:val="26"/>
        </w:rPr>
        <w:t>Đối với doanh nghiệp hoạt động trong lĩnh vực ví điện tử, hợp đồng này có vai trò đặc biệt quan trọng vì hoạt động thanh toán được thực hiện thông qua hệ thống công nghệ, tài khoản/ví điện tử và có sự tham gia của nhiều chủ thể. Do đó, nếu hợp đồng chỉ quy định đơn giản về cung cấp dịch vụ và thanh toán phí dịch vụ thì chưa đủ để kiểm soát các rủi ro pháp lý phát sinh trong thực tế. Hợp đồng cần xác định rõ quyền, nghĩa vụ, trách nhiệm, quy trình giao dịch, xử lý sai sót, hoàn tiền, khiếu nại, bảo mật, an toàn hệ thống, xử lý gian lận và trách nhiệm khi xảy ra sự cố thanh toán.</w:t>
      </w:r>
    </w:p>
    <w:p>
      <w:pPr>
        <w:pStyle w:val="Normal"/>
        <w:spacing w:lineRule="auto" w:line="312" w:before="0" w:after="120"/>
        <w:ind w:firstLine="567"/>
        <w:jc w:val="both"/>
        <w:rPr/>
      </w:pPr>
      <w:r>
        <w:rPr>
          <w:rFonts w:eastAsia="Times New Roman" w:cs="Times New Roman"/>
          <w:color w:val="000000"/>
          <w:sz w:val="26"/>
        </w:rPr>
        <w:t>Về mặt pháp lý, dịch vụ này phải được xây dựng trên cơ sở kết hợp giữa pháp luật hợp đồng nói chung với pháp luật chuyên ngành về thanh toán không dùng tiền mặt và trung gian thanh toán. Nghị định 52/2024/NĐ-CP là văn bản quan trọng điều chỉnh lĩnh vực thanh toán không dùng tiền mặt; trong khi đó, Văn bản hợp nhất 76/VBHN-NHNN ngày 26/5/2026 hợp nhất các quy định về hoạt động cung ứng dịch vụ trung gian thanh toán.</w:t>
      </w:r>
    </w:p>
    <w:p>
      <w:pPr>
        <w:pStyle w:val="Normal"/>
        <w:spacing w:lineRule="auto" w:line="312" w:before="0" w:after="120"/>
        <w:ind w:firstLine="567"/>
        <w:jc w:val="both"/>
        <w:rPr/>
      </w:pPr>
      <w:r>
        <w:rPr>
          <w:rFonts w:eastAsia="Times New Roman" w:cs="Times New Roman"/>
          <w:color w:val="000000"/>
          <w:sz w:val="26"/>
        </w:rPr>
        <w:t>Do đó, giá trị của dịch vụ luật sư không chỉ nằm ở việc soạn ra một bản hợp đồng có đầy đủ điều khoản, mà còn ở việc kiểm tra xem mô hình hợp tác và quyền, nghĩa vụ được quy định trong hợp đồng có phù hợp với địa vị pháp lý, phạm vi hoạt động và yêu cầu quản lý đối với doanh nghiệp cung ứng dịch vụ ví điện tử hay không.</w:t>
      </w:r>
    </w:p>
    <w:p>
      <w:pPr>
        <w:pStyle w:val="Heading3"/>
        <w:keepNext w:val="true"/>
        <w:spacing w:before="120" w:after="100"/>
        <w:rPr/>
      </w:pPr>
      <w:r>
        <w:rPr>
          <w:rFonts w:eastAsia="Times New Roman" w:cs="Times New Roman" w:ascii="Times New Roman" w:hAnsi="Times New Roman"/>
          <w:b/>
          <w:color w:val="000000"/>
          <w:sz w:val="26"/>
        </w:rPr>
        <w:t>4.6.2. Nội dung dịch vụ.</w:t>
      </w:r>
    </w:p>
    <w:p>
      <w:pPr>
        <w:pStyle w:val="Normal"/>
        <w:spacing w:lineRule="auto" w:line="312" w:before="0" w:after="120"/>
        <w:ind w:firstLine="567"/>
        <w:jc w:val="both"/>
        <w:rPr/>
      </w:pPr>
      <w:r>
        <w:rPr>
          <w:rFonts w:eastAsia="Times New Roman" w:cs="Times New Roman"/>
          <w:color w:val="000000"/>
          <w:sz w:val="26"/>
        </w:rPr>
        <w:t>Thứ nhất, tư vấn xác định đúng mô hình giao dịch và tư cách pháp lý của các bên. Trước khi soạn thảo hợp đồng, xác định ai là bên cung cấp dịch vụ, ai là bên sử dụng dịch vụ và các bên thứ ba nào tham gia vào quá trình thanh toán. Ví dụ, giao dịch có thể liên quan đến công ty ví điện tử, ngân hàng hợp tác, đơn vị chấp nhận thanh toán, merchant và khách hàng sử dụng ví. Việc xác định đúng tư cách pháp lý của từng chủ thể là cơ sở để phân bổ trách nhiệm. Đặc biệt, cần tránh tình trạng hợp đồng quy định cho công ty những quyền hoặc nghĩa vụ vượt quá phạm vi hoạt động được pháp luật cho phép hoặc khiến doanh nghiệp vô tình thực hiện hoạt động thuộc phạm vi của một dịch vụ thanh toán/trung gian thanh toán khác.</w:t>
      </w:r>
    </w:p>
    <w:p>
      <w:pPr>
        <w:pStyle w:val="Normal"/>
        <w:spacing w:lineRule="auto" w:line="312" w:before="0" w:after="120"/>
        <w:ind w:firstLine="567"/>
        <w:jc w:val="both"/>
        <w:rPr/>
      </w:pPr>
      <w:r>
        <w:rPr>
          <w:rFonts w:eastAsia="Times New Roman" w:cs="Times New Roman"/>
          <w:color w:val="000000"/>
          <w:sz w:val="26"/>
        </w:rPr>
        <w:t>Thứ hai, tư vấn và soạn thảo phạm vi dịch vụ thanh toán. Xác định cụ thể dịch vụ nào được cung cấp thông qua hợp đồng, phương thức cung cấp, hệ thống công nghệ sử dụng, thời điểm giao dịch được xác lập, phương thức xác thực và quy trình xử lý giao dịch.</w:t>
      </w:r>
    </w:p>
    <w:p>
      <w:pPr>
        <w:pStyle w:val="Normal"/>
        <w:spacing w:lineRule="auto" w:line="312" w:before="0" w:after="120"/>
        <w:ind w:firstLine="567"/>
        <w:jc w:val="both"/>
        <w:rPr/>
      </w:pPr>
      <w:r>
        <w:rPr>
          <w:rFonts w:eastAsia="Times New Roman" w:cs="Times New Roman"/>
          <w:color w:val="000000"/>
          <w:sz w:val="26"/>
        </w:rPr>
        <w:t>Đối với ví điện tử, nội dung này có thể bao gồm việc nạp tiền, thanh toán hàng hóa và dịch vụ, chuyển tiền, hoàn tiền hoặc các dịch vụ khác thuộc phạm vi pháp luật cho phép. Việc mô tả càng cụ thể thì càng hạn chế tranh chấp sau này về việc một giao dịch có thuộc phạm vi trách nhiệm của nhà cung cấp dịch vụ hay không.</w:t>
      </w:r>
    </w:p>
    <w:p>
      <w:pPr>
        <w:pStyle w:val="Normal"/>
        <w:spacing w:lineRule="auto" w:line="312" w:before="0" w:after="120"/>
        <w:ind w:firstLine="567"/>
        <w:jc w:val="both"/>
        <w:rPr/>
      </w:pPr>
      <w:r>
        <w:rPr>
          <w:rFonts w:eastAsia="Times New Roman" w:cs="Times New Roman"/>
          <w:color w:val="000000"/>
          <w:sz w:val="26"/>
        </w:rPr>
        <w:t>Thứ ba, tư vấn về quyền và nghĩa vụ của từng bên. Xây dựng hệ thống quyền và nghĩa vụ tương ứng của các bên, trong đó xác định rõ bên nào chịu trách nhiệm về việc tiếp nhận và xử lý giao dịch, bên nào cung cấp thông tin, bên nào có trách nhiệm xác thực, bên nào chịu trách nhiệm khi giao dịch bị lỗi và bên nào phải phối hợp xử lý khi có khiếu nại.</w:t>
      </w:r>
    </w:p>
    <w:p>
      <w:pPr>
        <w:pStyle w:val="Normal"/>
        <w:spacing w:lineRule="auto" w:line="312" w:before="0" w:after="120"/>
        <w:ind w:firstLine="567"/>
        <w:jc w:val="both"/>
        <w:rPr/>
      </w:pPr>
      <w:r>
        <w:rPr>
          <w:rFonts w:eastAsia="Times New Roman" w:cs="Times New Roman"/>
          <w:color w:val="000000"/>
          <w:sz w:val="26"/>
        </w:rPr>
        <w:t>Đối với công ty ví điện tử, nội dung này cần đặc biệt chú trọng đến nghĩa vụ bảo đảm an toàn, bảo mật, quản lý thông tin khách hàng và xử lý rủi ro giao dịch. Ngân hàng Nhà nước cũng nhấn mạnh các yêu cầu về an ninh, an toàn và xác thực trong giao dịch điện tử; Thông tư 40/2024/TT-NHNN có quy định về mở ví điện tử bằng phương tiện điện tử và việc đối chiếu thông tin sinh trắc học trong những trường hợp luật định.</w:t>
      </w:r>
    </w:p>
    <w:p>
      <w:pPr>
        <w:pStyle w:val="Normal"/>
        <w:spacing w:lineRule="auto" w:line="312" w:before="0" w:after="120"/>
        <w:ind w:firstLine="567"/>
        <w:jc w:val="both"/>
        <w:rPr/>
      </w:pPr>
      <w:r>
        <w:rPr>
          <w:rFonts w:eastAsia="Times New Roman" w:cs="Times New Roman"/>
          <w:color w:val="000000"/>
          <w:sz w:val="26"/>
        </w:rPr>
        <w:t>Thứ tư, xây dựng cơ chế xử lý giao dịch lỗi, giao dịch không thành công và hoàn tiền. Đây là một trong những nội dung có giá trị thực tế lớn nhất của dịch vụ pháp lý. Thiết kế rõ trường hợp khách hàng đã bị trừ tiền nhưng bên nhận chưa nhận được tiền; giao dịch bị treo; giao dịch bị thực hiện hai lần; giao dịch nhầm; giao dịch bị hủy; giao dịch cần hoàn tiền; hoặc giao dịch bị từ chối do hệ thống. Hợp đồng sẽ quy định các vấn đề cụ thể như sau:</w:t>
      </w:r>
    </w:p>
    <w:p>
      <w:pPr>
        <w:pStyle w:val="Normal"/>
        <w:spacing w:lineRule="auto" w:line="312" w:before="0" w:after="120"/>
        <w:ind w:hanging="0" w:start="0"/>
        <w:jc w:val="both"/>
        <w:rPr>
          <w:b w:val="false"/>
          <w:bCs w:val="false"/>
        </w:rPr>
      </w:pPr>
      <w:r>
        <w:rPr>
          <w:rFonts w:eastAsia="Times New Roman" w:cs="Times New Roman"/>
          <w:color w:val="000000"/>
          <w:sz w:val="26"/>
        </w:rPr>
        <w:t>- Thời điểm xác định giao dịch thành công;</w:t>
      </w:r>
    </w:p>
    <w:p>
      <w:pPr>
        <w:pStyle w:val="Normal"/>
        <w:spacing w:lineRule="auto" w:line="312" w:before="0" w:after="120"/>
        <w:ind w:hanging="0" w:start="0"/>
        <w:jc w:val="both"/>
        <w:rPr>
          <w:b w:val="false"/>
          <w:bCs w:val="false"/>
        </w:rPr>
      </w:pPr>
      <w:r>
        <w:rPr>
          <w:rFonts w:eastAsia="Times New Roman" w:cs="Times New Roman"/>
          <w:color w:val="000000"/>
          <w:sz w:val="26"/>
        </w:rPr>
        <w:t>- Thời gian xử lý giao dịch;</w:t>
      </w:r>
    </w:p>
    <w:p>
      <w:pPr>
        <w:pStyle w:val="Normal"/>
        <w:spacing w:lineRule="auto" w:line="312" w:before="0" w:after="120"/>
        <w:ind w:hanging="0" w:start="0"/>
        <w:jc w:val="both"/>
        <w:rPr>
          <w:b w:val="false"/>
          <w:bCs w:val="false"/>
        </w:rPr>
      </w:pPr>
      <w:r>
        <w:rPr>
          <w:rFonts w:eastAsia="Times New Roman" w:cs="Times New Roman"/>
          <w:color w:val="000000"/>
          <w:sz w:val="26"/>
        </w:rPr>
        <w:t>- Thời hạn tra soát;</w:t>
      </w:r>
    </w:p>
    <w:p>
      <w:pPr>
        <w:pStyle w:val="Normal"/>
        <w:spacing w:lineRule="auto" w:line="312" w:before="0" w:after="120"/>
        <w:ind w:hanging="0" w:start="0"/>
        <w:jc w:val="both"/>
        <w:rPr>
          <w:b w:val="false"/>
          <w:bCs w:val="false"/>
        </w:rPr>
      </w:pPr>
      <w:r>
        <w:rPr>
          <w:rFonts w:eastAsia="Times New Roman" w:cs="Times New Roman"/>
          <w:color w:val="000000"/>
          <w:sz w:val="26"/>
        </w:rPr>
        <w:t>- Trách nhiệm của từng bên;</w:t>
      </w:r>
    </w:p>
    <w:p>
      <w:pPr>
        <w:pStyle w:val="Normal"/>
        <w:spacing w:lineRule="auto" w:line="312" w:before="0" w:after="120"/>
        <w:ind w:hanging="0" w:start="0"/>
        <w:jc w:val="both"/>
        <w:rPr>
          <w:b w:val="false"/>
          <w:bCs w:val="false"/>
        </w:rPr>
      </w:pPr>
      <w:r>
        <w:rPr>
          <w:rFonts w:eastAsia="Times New Roman" w:cs="Times New Roman"/>
          <w:color w:val="000000"/>
          <w:sz w:val="26"/>
        </w:rPr>
        <w:t>- Quy trình hoàn tiền;</w:t>
      </w:r>
    </w:p>
    <w:p>
      <w:pPr>
        <w:pStyle w:val="Normal"/>
        <w:spacing w:lineRule="auto" w:line="312" w:before="0" w:after="120"/>
        <w:ind w:hanging="0" w:start="0"/>
        <w:jc w:val="both"/>
        <w:rPr>
          <w:b w:val="false"/>
          <w:bCs w:val="false"/>
        </w:rPr>
      </w:pPr>
      <w:r>
        <w:rPr>
          <w:rFonts w:eastAsia="Times New Roman" w:cs="Times New Roman"/>
          <w:color w:val="000000"/>
          <w:sz w:val="26"/>
        </w:rPr>
        <w:t>- Thời hạn hoàn tiền;</w:t>
      </w:r>
    </w:p>
    <w:p>
      <w:pPr>
        <w:pStyle w:val="Normal"/>
        <w:spacing w:lineRule="auto" w:line="312" w:before="0" w:after="120"/>
        <w:ind w:hanging="0" w:start="0"/>
        <w:jc w:val="both"/>
        <w:rPr>
          <w:b w:val="false"/>
          <w:bCs w:val="false"/>
        </w:rPr>
      </w:pPr>
      <w:r>
        <w:rPr>
          <w:rFonts w:eastAsia="Times New Roman" w:cs="Times New Roman"/>
          <w:color w:val="000000"/>
          <w:sz w:val="26"/>
        </w:rPr>
        <w:t>- Nguyên tắc xác định lỗi;</w:t>
      </w:r>
    </w:p>
    <w:p>
      <w:pPr>
        <w:pStyle w:val="Normal"/>
        <w:spacing w:lineRule="auto" w:line="312" w:before="0" w:after="120"/>
        <w:ind w:hanging="0" w:start="0"/>
        <w:jc w:val="both"/>
        <w:rPr>
          <w:b w:val="false"/>
          <w:bCs w:val="false"/>
        </w:rPr>
      </w:pPr>
      <w:r>
        <w:rPr>
          <w:rFonts w:eastAsia="Times New Roman" w:cs="Times New Roman"/>
          <w:color w:val="000000"/>
          <w:sz w:val="26"/>
        </w:rPr>
        <w:t>- Trách nhiệm bồi hoàn khi có thiệt hại.</w:t>
      </w:r>
    </w:p>
    <w:p>
      <w:pPr>
        <w:pStyle w:val="Normal"/>
        <w:spacing w:lineRule="auto" w:line="312" w:before="0" w:after="120"/>
        <w:ind w:firstLine="567"/>
        <w:jc w:val="both"/>
        <w:rPr/>
      </w:pPr>
      <w:r>
        <w:rPr>
          <w:rFonts w:eastAsia="Times New Roman" w:cs="Times New Roman"/>
          <w:color w:val="000000"/>
          <w:sz w:val="26"/>
        </w:rPr>
        <w:t>Nhờ đó, khi xảy ra sự cố, các bên không phải tranh luận lại từ đầu về ai chịu trách nhiệm.</w:t>
      </w:r>
    </w:p>
    <w:p>
      <w:pPr>
        <w:pStyle w:val="Normal"/>
        <w:spacing w:lineRule="auto" w:line="312" w:before="0" w:after="120"/>
        <w:ind w:firstLine="567"/>
        <w:jc w:val="both"/>
        <w:rPr/>
      </w:pPr>
      <w:r>
        <w:rPr>
          <w:rFonts w:eastAsia="Times New Roman" w:cs="Times New Roman"/>
          <w:color w:val="000000"/>
          <w:sz w:val="26"/>
        </w:rPr>
        <w:t>Thứ năm, tư vấn cơ chế phí và thanh toán. Rà soát và xây dựng các điều khoản về mức phí, phương thức tính phí, thời điểm phát sinh phí, thời điểm thanh toán, thuế, điều chỉnh phí và hoàn phí. Đối với mô hình, cần đặc biệt chú ý trường hợp phí được tính theo số lượng giao dịch, giá trị giao dịch hoặc theo từng nhóm khách hàng/đối tác. Hợp đồng cũng nên xác định rõ bên nào chịu các khoản phí ngân hàng, phí trung gian hoặc chi phí phát sinh do giao dịch bị hủy, hoàn trả.</w:t>
      </w:r>
    </w:p>
    <w:p>
      <w:pPr>
        <w:pStyle w:val="Normal"/>
        <w:spacing w:lineRule="auto" w:line="312" w:before="0" w:after="120"/>
        <w:ind w:firstLine="567"/>
        <w:jc w:val="both"/>
        <w:rPr/>
      </w:pPr>
      <w:r>
        <w:rPr>
          <w:rFonts w:eastAsia="Times New Roman" w:cs="Times New Roman"/>
          <w:color w:val="000000"/>
          <w:sz w:val="26"/>
        </w:rPr>
        <w:t>Thứ sáu, tư vấn về bảo mật thông tin và dữ liệu. Do dịch vụ thanh toán liên quan trực tiếp đến thông tin nhận dạng khách hàng, thông tin giao dịch, tài khoản, dữ liệu tài chính và dữ liệu vận hành, xây dựng các điều khoản về bảo mật và sử dụng thông tin. Hợp đồng cần xác định rõ: Loại thông tin nào được bảo mật → bên nào được tiếp cận → được sử dụng vào mục đích gì → thời hạn bảo mật → trường hợp được phép cung cấp cho bên thứ ba → trách nhiệm khi xảy ra rò rỉ hoặc sử dụng trái phép. Đây là vấn đề đặc biệt quan trọng đối với bởi việc cung cấp hoặc tiết lộ thông tin khách hàng không đúng quy định có thể dẫn đến rủi ro pháp lý và chế tài. Các quy định hiện hành về trung gian thanh toán cũng đặt ra yêu cầu về an toàn, bảo mật và xử lý rủi ro.</w:t>
      </w:r>
    </w:p>
    <w:p>
      <w:pPr>
        <w:pStyle w:val="Normal"/>
        <w:spacing w:lineRule="auto" w:line="312" w:before="0" w:after="120"/>
        <w:ind w:firstLine="567"/>
        <w:jc w:val="both"/>
        <w:rPr/>
      </w:pPr>
      <w:r>
        <w:rPr>
          <w:rFonts w:eastAsia="Times New Roman" w:cs="Times New Roman"/>
          <w:color w:val="000000"/>
          <w:sz w:val="26"/>
        </w:rPr>
        <w:t>Thứ bảy, xây dựng cơ chế phòng ngừa và xử lý gian lận. Tư vấn các điều khoản liên quan đến giao dịch đáng ngờ, giao dịch gian lận, giả mạo, sử dụng tài khoản trái phép, chiếm đoạt tài khoản, giao dịch bất thường hoặc vi phạm điều kiện sử dụng dịch vụ.Hợp đồng cần xác định khi nào doanh nghiệp có quyền tạm dừng hoặc từ chối giao dịch, quyền yêu cầu xác minh, quyền phong tỏa/tạm giữ khoản tiền trong phạm vi pháp luật cho phép và trách nhiệm phối hợp của các bên khi phát hiện dấu hiệu gian lận. Điều này đặc biệt quan trọng vì cơ quan quản lý đã quy định các hành vi vi phạm liên quan đến việc sử dụng ví điện tử, mua bán thông tin ví điện tử, hoạt động không đúng nội dung giấy phép và sử dụng dịch vụ trung gian thanh toán để thực hiện hành vi vi phạm pháp luật.</w:t>
      </w:r>
    </w:p>
    <w:p>
      <w:pPr>
        <w:pStyle w:val="Normal"/>
        <w:spacing w:lineRule="auto" w:line="312" w:before="0" w:after="120"/>
        <w:ind w:firstLine="567"/>
        <w:jc w:val="both"/>
        <w:rPr/>
      </w:pPr>
      <w:r>
        <w:rPr>
          <w:rFonts w:eastAsia="Times New Roman" w:cs="Times New Roman"/>
          <w:color w:val="000000"/>
          <w:sz w:val="26"/>
        </w:rPr>
        <w:t>Thứ tám, tư vấn trách nhiệm khi hệ thống thanh toán bị gián đoạn. Đối với, hệ thống công nghệ chính là một bộ phận cốt lõi của dịch vụ. Vì vậy, hợp đồng cần quy định rõ trách nhiệm khi hệ thống bị lỗi, gián đoạn hoặc không thể xử lý giao dịch. Có thể xây dựng các điều khoản về:</w:t>
      </w:r>
    </w:p>
    <w:p>
      <w:pPr>
        <w:pStyle w:val="Normal"/>
        <w:spacing w:lineRule="auto" w:line="312" w:before="0" w:after="120"/>
        <w:ind w:hanging="0" w:start="0"/>
        <w:jc w:val="both"/>
        <w:rPr>
          <w:b w:val="false"/>
          <w:bCs w:val="false"/>
        </w:rPr>
      </w:pPr>
      <w:r>
        <w:rPr>
          <w:rFonts w:eastAsia="Times New Roman" w:cs="Times New Roman"/>
          <w:color w:val="000000"/>
          <w:sz w:val="26"/>
        </w:rPr>
        <w:t>- Tiêu chuẩn cung cấp dịch vụ;</w:t>
      </w:r>
    </w:p>
    <w:p>
      <w:pPr>
        <w:pStyle w:val="Normal"/>
        <w:spacing w:lineRule="auto" w:line="312" w:before="0" w:after="120"/>
        <w:ind w:hanging="0" w:start="0"/>
        <w:jc w:val="both"/>
        <w:rPr>
          <w:b w:val="false"/>
          <w:bCs w:val="false"/>
        </w:rPr>
      </w:pPr>
      <w:r>
        <w:rPr>
          <w:rFonts w:eastAsia="Times New Roman" w:cs="Times New Roman"/>
          <w:color w:val="000000"/>
          <w:sz w:val="26"/>
        </w:rPr>
        <w:t>- Thời gian hệ thống phải hoạt động;</w:t>
      </w:r>
    </w:p>
    <w:p>
      <w:pPr>
        <w:pStyle w:val="Normal"/>
        <w:spacing w:lineRule="auto" w:line="312" w:before="0" w:after="120"/>
        <w:ind w:hanging="0" w:start="0"/>
        <w:jc w:val="both"/>
        <w:rPr>
          <w:b w:val="false"/>
          <w:bCs w:val="false"/>
        </w:rPr>
      </w:pPr>
      <w:r>
        <w:rPr>
          <w:rFonts w:eastAsia="Times New Roman" w:cs="Times New Roman"/>
          <w:color w:val="000000"/>
          <w:sz w:val="26"/>
        </w:rPr>
        <w:t>- Thời gian phản hồi;</w:t>
      </w:r>
    </w:p>
    <w:p>
      <w:pPr>
        <w:pStyle w:val="Normal"/>
        <w:spacing w:lineRule="auto" w:line="312" w:before="0" w:after="120"/>
        <w:ind w:hanging="0" w:start="0"/>
        <w:jc w:val="both"/>
        <w:rPr>
          <w:b w:val="false"/>
          <w:bCs w:val="false"/>
        </w:rPr>
      </w:pPr>
      <w:r>
        <w:rPr>
          <w:rFonts w:eastAsia="Times New Roman" w:cs="Times New Roman"/>
          <w:color w:val="000000"/>
          <w:sz w:val="26"/>
        </w:rPr>
        <w:t>- Bảo trì hệ thống;</w:t>
      </w:r>
    </w:p>
    <w:p>
      <w:pPr>
        <w:pStyle w:val="Normal"/>
        <w:spacing w:lineRule="auto" w:line="312" w:before="0" w:after="120"/>
        <w:ind w:hanging="0" w:start="0"/>
        <w:jc w:val="both"/>
        <w:rPr>
          <w:b w:val="false"/>
          <w:bCs w:val="false"/>
        </w:rPr>
      </w:pPr>
      <w:r>
        <w:rPr>
          <w:rFonts w:eastAsia="Times New Roman" w:cs="Times New Roman"/>
          <w:color w:val="000000"/>
          <w:sz w:val="26"/>
        </w:rPr>
        <w:t>- Thông báo sự cố;</w:t>
      </w:r>
    </w:p>
    <w:p>
      <w:pPr>
        <w:pStyle w:val="Normal"/>
        <w:spacing w:lineRule="auto" w:line="312" w:before="0" w:after="120"/>
        <w:ind w:hanging="0" w:start="0"/>
        <w:jc w:val="both"/>
        <w:rPr>
          <w:b w:val="false"/>
          <w:bCs w:val="false"/>
        </w:rPr>
      </w:pPr>
      <w:r>
        <w:rPr>
          <w:rFonts w:eastAsia="Times New Roman" w:cs="Times New Roman"/>
          <w:color w:val="000000"/>
          <w:sz w:val="26"/>
        </w:rPr>
        <w:t>- Khắc phục sự cố;</w:t>
      </w:r>
    </w:p>
    <w:p>
      <w:pPr>
        <w:pStyle w:val="Normal"/>
        <w:spacing w:lineRule="auto" w:line="312" w:before="0" w:after="120"/>
        <w:ind w:hanging="0" w:start="0"/>
        <w:jc w:val="both"/>
        <w:rPr>
          <w:b w:val="false"/>
          <w:bCs w:val="false"/>
        </w:rPr>
      </w:pPr>
      <w:r>
        <w:rPr>
          <w:rFonts w:eastAsia="Times New Roman" w:cs="Times New Roman"/>
          <w:color w:val="000000"/>
          <w:sz w:val="26"/>
        </w:rPr>
        <w:t>- Phối hợp điều tra nguyên nhân;</w:t>
      </w:r>
    </w:p>
    <w:p>
      <w:pPr>
        <w:pStyle w:val="Normal"/>
        <w:spacing w:lineRule="auto" w:line="312" w:before="0" w:after="120"/>
        <w:ind w:hanging="0" w:start="0"/>
        <w:jc w:val="both"/>
        <w:rPr>
          <w:b w:val="false"/>
          <w:bCs w:val="false"/>
        </w:rPr>
      </w:pPr>
      <w:r>
        <w:rPr>
          <w:rFonts w:eastAsia="Times New Roman" w:cs="Times New Roman"/>
          <w:color w:val="000000"/>
          <w:sz w:val="26"/>
        </w:rPr>
        <w:t>- Bồi thường thiệt hại nếu có lỗi;</w:t>
      </w:r>
    </w:p>
    <w:p>
      <w:pPr>
        <w:pStyle w:val="Normal"/>
        <w:spacing w:lineRule="auto" w:line="312" w:before="0" w:after="120"/>
        <w:ind w:hanging="0" w:start="0"/>
        <w:jc w:val="both"/>
        <w:rPr>
          <w:b w:val="false"/>
          <w:bCs w:val="false"/>
        </w:rPr>
      </w:pPr>
      <w:r>
        <w:rPr>
          <w:rFonts w:eastAsia="Times New Roman" w:cs="Times New Roman"/>
          <w:color w:val="000000"/>
          <w:sz w:val="26"/>
        </w:rPr>
        <w:t>- Trường hợp bất khả kháng.</w:t>
      </w:r>
    </w:p>
    <w:p>
      <w:pPr>
        <w:pStyle w:val="Normal"/>
        <w:spacing w:lineRule="auto" w:line="312" w:before="0" w:after="120"/>
        <w:ind w:firstLine="567"/>
        <w:jc w:val="both"/>
        <w:rPr/>
      </w:pPr>
      <w:r>
        <w:rPr>
          <w:rFonts w:eastAsia="Times New Roman" w:cs="Times New Roman"/>
          <w:color w:val="000000"/>
          <w:sz w:val="26"/>
        </w:rPr>
        <w:t>Các yêu cầu về bảo đảm dịch vụ thanh toán và trung gian thanh toán được cung ứng thông suốt, liên tục cũng đang được cơ quan quản lý chú trọng trong các quy định liên quan</w:t>
      </w:r>
    </w:p>
    <w:p>
      <w:pPr>
        <w:pStyle w:val="Heading3"/>
        <w:keepNext w:val="true"/>
        <w:spacing w:before="120" w:after="100"/>
        <w:rPr/>
      </w:pPr>
      <w:r>
        <w:rPr>
          <w:rFonts w:eastAsia="Times New Roman" w:cs="Times New Roman" w:ascii="Times New Roman" w:hAnsi="Times New Roman"/>
          <w:b/>
          <w:color w:val="000000"/>
          <w:sz w:val="26"/>
        </w:rPr>
        <w:t>4.6.3.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phạm vi dịch vụ bao gồm các thỏa thuận cung ứng dịch vụ thanh toán được ký kết giữa công ty lĩnh vực ví điện tử với khách hàng, ngân hàng hợp tác, tổ chức cung ứng dịch vụ thanh toán, tổ chức cung ứng dịch vụ trung gian thanh toán, đơn vị chấp nhận thanh toán và các đối tác có liên quan. Phạm vi tư vấn không chỉ giới hạn ở một giao dịch riêng lẻ mà bao quát các thỏa thuận được sử dụng trong quá trình cung cấp dịch vụ thanh toán của doanh nghiệp.</w:t>
      </w:r>
    </w:p>
    <w:p>
      <w:pPr>
        <w:pStyle w:val="Normal"/>
        <w:spacing w:lineRule="auto" w:line="312" w:before="0" w:after="120"/>
        <w:ind w:firstLine="567"/>
        <w:jc w:val="both"/>
        <w:rPr/>
      </w:pPr>
      <w:r>
        <w:rPr>
          <w:rFonts w:eastAsia="Times New Roman" w:cs="Times New Roman"/>
          <w:color w:val="000000"/>
          <w:sz w:val="26"/>
        </w:rPr>
        <w:t>Thứ hai về nội dung thẩm định, phạm vi dịch vụ tập trung vào việc rà soát tư cách pháp lý của các bên, mô hình giao dịch và phạm vi dịch vụ được cung cấp; đồng thời kiểm tra tính phù hợp của các điều khoản về quyền và nghĩa vụ, phí dịch vụ, xử lý giao dịch lỗi, tra soát, hoàn tiền, khiếu nại, bảo mật thông tin, dữ liệu khách hàng, phòng chống gian lận và trách nhiệm khi hệ thống thanh toán bị gián đoạn. Đối với hợp đồng ký với ngân hàng hoặc tổ chức cung ứng dịch vụ thanh toán, dịch vụ còn bao gồm việc rà soát cơ chế phân bổ trách nhiệm, quyền kiểm soát giao dịch, xử lý sai sót và bồi thường thiệt hại giữa các bên.</w:t>
      </w:r>
    </w:p>
    <w:p>
      <w:pPr>
        <w:pStyle w:val="Normal"/>
        <w:spacing w:lineRule="auto" w:line="312" w:before="0" w:after="120"/>
        <w:ind w:firstLine="567"/>
        <w:jc w:val="both"/>
        <w:rPr/>
      </w:pPr>
      <w:r>
        <w:rPr>
          <w:rFonts w:eastAsia="Times New Roman" w:cs="Times New Roman"/>
          <w:color w:val="000000"/>
          <w:sz w:val="26"/>
        </w:rPr>
        <w:t>Thứ ba về thời điểm áp dụng – thời hạn, phạm vi tư vấn được thực hiện xuyên suốt từ khi doanh nghiệp xây dựng mô hình cung cấp dịch vụ và xác định nhu cầu ký kết hợp đồng → rà soát hồ sơ, tài liệu và mô hình giao dịch → xây dựng cấu trúc hợp đồng → soạn thảo, đàm phán và hoàn thiện hợp đồng → hỗ trợ thực hiện và xử lý các vấn đề phát sinh sau khi ký. Thời hạn cụ thể được xác định theo thỏa thuận giữa chúng tôi và khách hàng, phụ thuộc vào tính chất giao dịch, số lượng bên tham gia và mức độ phức tạp của hợp đồng.</w:t>
      </w:r>
    </w:p>
    <w:p>
      <w:pPr>
        <w:pStyle w:val="Normal"/>
        <w:spacing w:lineRule="auto" w:line="312" w:before="0" w:after="120"/>
        <w:ind w:firstLine="567"/>
        <w:jc w:val="both"/>
        <w:rPr/>
      </w:pPr>
      <w:r>
        <w:rPr>
          <w:rFonts w:eastAsia="Times New Roman" w:cs="Times New Roman"/>
          <w:color w:val="000000"/>
          <w:sz w:val="26"/>
        </w:rPr>
        <w:t>Thứ tư về giới hạn pháp lý, việc tư vấn và soạn thảo Thỏa thuận cung ứng dịch vụ thanh toán phải tuân thủ pháp luật về hợp đồng, pháp luật về thanh toán không dùng tiền mặt và trung gian thanh toán, trong đó có Nghị định 52/2024/NĐ-CP và các quy định của Ngân hàng Nhà nước về hoạt động cung ứng dịch vụ trung gian thanh toán. Hợp đồng không được thiết lập quyền hoặc nghĩa vụ vượt quá phạm vi hoạt động mà doanh nghiệp được phép thực hiện; đồng thời các điều khoản về xác thực, bảo mật, dữ liệu, xử lý giao dịch, phòng chống gian lận và trách nhiệm của các bên phải phù hợp với quy định pháp luật chuyên ngành.</w:t>
      </w:r>
    </w:p>
    <w:p>
      <w:pPr>
        <w:pStyle w:val="Normal"/>
        <w:spacing w:lineRule="auto" w:line="312" w:before="0" w:after="120"/>
        <w:ind w:firstLine="567"/>
        <w:jc w:val="both"/>
        <w:rPr/>
      </w:pPr>
      <w:r>
        <w:rPr>
          <w:rFonts w:eastAsia="Times New Roman" w:cs="Times New Roman"/>
          <w:color w:val="000000"/>
          <w:sz w:val="26"/>
        </w:rPr>
        <w:t>Thứ năm phạm vi dịch vụ không bao gồm việc đại diện doanh nghiệp thực hiện chức năng của cơ quan quản lý nhà nước hoặc bảo đảm doanh nghiệp được cấp phép, chấp thuận hoạt động thanh toán. Dịch vụ cũng không mặc nhiên bao gồm thẩm định sâu về mã nguồn, hệ thống công nghệ, hạ tầng kỹ thuật hoặc kiểm toán an toàn thông tin; chúng tôi chỉ đánh giá khía cạnh pháp lý và yêu cầu tuân thủ đối với các yếu tố kỹ thuật có liên quan đến hợp đồng. Ngoài ra, tư vấn thuế, kế toán, kiểm toán, tư vấn kỹ thuật chuyên sâu hoặc đại diện giải quyết tranh chấp tại Tòa án/Trọng tài chỉ được thực hiện nếu có thỏa thuận riêng với khách hàng.</w:t>
      </w:r>
    </w:p>
    <w:p>
      <w:pPr>
        <w:pStyle w:val="Heading3"/>
        <w:keepNext w:val="true"/>
        <w:spacing w:before="120" w:after="100"/>
        <w:rPr/>
      </w:pPr>
      <w:r>
        <w:rPr>
          <w:rFonts w:eastAsia="Times New Roman" w:cs="Times New Roman" w:ascii="Times New Roman" w:hAnsi="Times New Roman"/>
          <w:b/>
          <w:color w:val="000000"/>
          <w:sz w:val="26"/>
        </w:rPr>
        <w:t>4.6.4. Mục đích dịch vụ.</w:t>
      </w:r>
    </w:p>
    <w:p>
      <w:pPr>
        <w:pStyle w:val="Normal"/>
        <w:spacing w:lineRule="auto" w:line="312" w:before="0" w:after="120"/>
        <w:ind w:firstLine="567"/>
        <w:jc w:val="both"/>
        <w:rPr/>
      </w:pPr>
      <w:r>
        <w:rPr>
          <w:rFonts w:eastAsia="Times New Roman" w:cs="Times New Roman"/>
          <w:color w:val="000000"/>
          <w:sz w:val="26"/>
        </w:rPr>
        <w:t>Thứ nhất, hợp đồng giải quyết là sự thiếu rõ ràng về quyền và nghĩa vụ của các bên trong quá trình thanh toán. Trong thực tế, một giao dịch có thể liên quan đến nhiều bước từ tạo lệnh, xác thực, xử lý, chuyển tiền đến đối soát. Nếu hợp đồng không xác định rõ trách nhiệm của từng bên thì khi giao dịch xảy ra sai sót sẽ rất khó xác định bên nào phải chịu trách nhiệm. Hợp đồng cung cấp dịch vụ thanh toán vì vậy đóng vai trò phân định rõ trách nhiệm của bên cung cấp và khách hàng trong từng giai đoạn của giao dịch.</w:t>
      </w:r>
    </w:p>
    <w:p>
      <w:pPr>
        <w:pStyle w:val="Normal"/>
        <w:spacing w:lineRule="auto" w:line="312" w:before="0" w:after="120"/>
        <w:ind w:firstLine="567"/>
        <w:jc w:val="both"/>
        <w:rPr/>
      </w:pPr>
      <w:r>
        <w:rPr>
          <w:rFonts w:eastAsia="Times New Roman" w:cs="Times New Roman"/>
          <w:color w:val="000000"/>
          <w:sz w:val="26"/>
        </w:rPr>
        <w:t>Thứ hai, hợp đồng nhằm kiểm soát rủi ro liên quan đến tiền và giao dịch thanh toán. Các rủi ro như giao dịch giả mạo, giao dịch trái phép, sai thông tin người nhận, giao dịch thất bại hoặc chậm xử lý đều có thể gây thiệt hại trực tiếp về tài chính. Việc quy định về xác thực, bảo mật, giới hạn trách nhiệm, xử lý sai sót và thông báo sự cố giúp các bên xác định trước phương thức phòng ngừa và xử lý rủi ro thay vì chỉ giải quyết sau khi thiệt hại đã xảy ra.</w:t>
      </w:r>
    </w:p>
    <w:p>
      <w:pPr>
        <w:pStyle w:val="Normal"/>
        <w:spacing w:lineRule="auto" w:line="312" w:before="0" w:after="120"/>
        <w:ind w:firstLine="567"/>
        <w:jc w:val="both"/>
        <w:rPr/>
      </w:pPr>
      <w:r>
        <w:rPr>
          <w:rFonts w:eastAsia="Times New Roman" w:cs="Times New Roman"/>
          <w:color w:val="000000"/>
          <w:sz w:val="26"/>
        </w:rPr>
        <w:t>Thứ ba, dịch vụ giải quyết vấn đề minh bạch và kiểm soát dòng tiền. Thông qua quy định về ghi nhận giao dịch, đối soát, cung cấp thông tin và xác nhận trạng thái thanh toán, các bên có thể kiểm tra và chứng minh quá trình giao dịch. Điều này đặc biệt quan trọng trong trường hợp có tranh chấp về việc đã thanh toán hay chưa, thanh toán bao nhiêu, vào thời điểm nào và giao dịch có thực sự được hoàn tất hay không.</w:t>
      </w:r>
    </w:p>
    <w:p>
      <w:pPr>
        <w:pStyle w:val="Normal"/>
        <w:spacing w:lineRule="auto" w:line="312" w:before="0" w:after="120"/>
        <w:ind w:firstLine="567"/>
        <w:jc w:val="both"/>
        <w:rPr/>
      </w:pPr>
      <w:r>
        <w:rPr>
          <w:rFonts w:eastAsia="Times New Roman" w:cs="Times New Roman"/>
          <w:color w:val="000000"/>
          <w:sz w:val="26"/>
        </w:rPr>
        <w:t>Thứ tư, hợp đồng nhằm bảo vệ khách hàng và duy trì tính ổn định của dịch vụ. Việc quy định trách nhiệm hỗ trợ, tiếp nhận khiếu nại, xử lý giao dịch lỗi, bảo mật thông tin và giải quyết sự cố giúp khách hàng không rơi vào tình trạng mất quyền lợi khi hệ thống gặp vấn đề. Đồng thời, bên cung cấp cũng có căn cứ pháp lý để từ chối hoặc tạm ngừng những giao dịch không đáp ứng điều kiện hoặc có dấu hiệu rủi ro.</w:t>
      </w:r>
    </w:p>
    <w:p>
      <w:pPr>
        <w:pStyle w:val="Normal"/>
        <w:spacing w:lineRule="auto" w:line="312" w:before="0" w:after="120"/>
        <w:ind w:firstLine="567"/>
        <w:jc w:val="both"/>
        <w:rPr/>
      </w:pPr>
      <w:r>
        <w:rPr>
          <w:rFonts w:eastAsia="Times New Roman" w:cs="Times New Roman"/>
          <w:color w:val="000000"/>
          <w:sz w:val="26"/>
        </w:rPr>
        <w:t>Cuối cùng, hợp đồng tạo ra cơ chế xử lý tranh chấp khi giao dịch thanh toán phát sinh vấn đề. Thay vì chỉ tập trung vào việc thực hiện giao dịch, hợp đồng cần dữ liệu cả trường hợp giao dịch không thành công, số tiền bị ghi nhận sai, khách hàng khiếu nại hoặc một bên vi phạm nghĩa vụ. Khi đó, các quy định về thông báo, kiểm tra, đối soát, hoàn trả, bồi thường và giải quyết tranh chấp trở thành căn cứ để bảo vệ quyền lợi của các bên.</w:t>
      </w:r>
    </w:p>
    <w:p>
      <w:pPr>
        <w:pStyle w:val="Heading2"/>
        <w:keepNext w:val="true"/>
        <w:spacing w:before="120" w:after="100"/>
        <w:rPr/>
      </w:pPr>
      <w:r>
        <w:rPr>
          <w:rFonts w:eastAsia="Times New Roman" w:cs="Times New Roman" w:ascii="Times New Roman" w:hAnsi="Times New Roman"/>
          <w:b/>
          <w:color w:val="000000"/>
          <w:sz w:val="26"/>
        </w:rPr>
        <w:t>4.7. Hợp đồng với đơn vị chấp nhận thanh toán (*).</w:t>
      </w:r>
    </w:p>
    <w:p>
      <w:pPr>
        <w:pStyle w:val="Heading3"/>
        <w:keepNext w:val="true"/>
        <w:spacing w:before="120" w:after="100"/>
        <w:rPr/>
      </w:pPr>
      <w:r>
        <w:rPr>
          <w:rFonts w:eastAsia="Times New Roman" w:cs="Times New Roman" w:ascii="Times New Roman" w:hAnsi="Times New Roman"/>
          <w:b/>
          <w:color w:val="000000"/>
          <w:sz w:val="26"/>
        </w:rPr>
        <w:t>4.7.1. Giới thiệu dịch vụ.</w:t>
      </w:r>
    </w:p>
    <w:p>
      <w:pPr>
        <w:pStyle w:val="Normal"/>
        <w:spacing w:lineRule="auto" w:line="312" w:before="0" w:after="120"/>
        <w:ind w:firstLine="567"/>
        <w:jc w:val="both"/>
        <w:rPr/>
      </w:pPr>
      <w:r>
        <w:rPr>
          <w:rFonts w:eastAsia="Times New Roman" w:cs="Times New Roman"/>
          <w:color w:val="000000"/>
          <w:sz w:val="26"/>
        </w:rPr>
        <w:t>Dịch vụ tư vấn, soạn thảo và rà soát Hợp đồng với đơn vị chấp nhận thanh toán hỗ trợ doanh nghiệp cung ứng dịch vụ trung gian thanh toán, đặc biệt là tổ chức cung ứng dịch vụ ví điện tử, thiết lập và quản lý quan hệ hợp tác với các đơn vị chấp nhận thanh toán, qua đó mở rộng mạng lưới các điểm chấp nhận thanh toán bằng ví điện tử. Đơn vị chấp nhận thanh toán có thể là cửa hàng, doanh nghiệp, chuỗi cửa hàng, sàn thương mại điện tử hoặc tổ chức, cá nhân cung cấp hàng hóa, dịch vụ và chấp nhận thanh toán không dùng tiền mặt theo hợp đồng hoặc thỏa thuận với tổ chức cung ứng dịch vụ thanh toán hoặc tổ chức cung ứng dịch vụ trung gian thanh toán, phù hợp với khoản 8 Điều 3 Thông tư số 15/2024/TT-NHNN ngày 28/6/2024, hiện được hợp nhất tại Văn bản hợp nhất số 29/VBHN-NHNN ngày 08/12/2025.</w:t>
      </w:r>
    </w:p>
    <w:p>
      <w:pPr>
        <w:pStyle w:val="Normal"/>
        <w:spacing w:lineRule="auto" w:line="312" w:before="0" w:after="120"/>
        <w:ind w:firstLine="567"/>
        <w:jc w:val="both"/>
        <w:rPr/>
      </w:pPr>
      <w:r>
        <w:rPr>
          <w:rFonts w:eastAsia="Times New Roman" w:cs="Times New Roman"/>
          <w:color w:val="000000"/>
          <w:sz w:val="26"/>
        </w:rPr>
        <w:t>Thông qua hợp đồng, các bên xác định rõ phạm vi hợp tác, phương thức chấp nhận thanh toán, quyền và nghĩa vụ, phí dịch vụ, cơ chế đối soát và thanh toán, trách nhiệm đối với giao dịch, bảo mật thông tin, bảo vệ dữ liệu và xử lý khiếu nại, tranh chấp. Việc xây dựng hợp đồng chặt chẽ giúp doanh nghiệp mở rộng mạng lưới thanh toán đồng thời kiểm soát các rủi ro như giao dịch gian lận, giao dịch khống hoặc giả tạo, sai lệch trong đối soát, tranh chấp hoàn tiền và vi phạm nghĩa vụ bảo mật, bảo vệ dữ liệu.</w:t>
      </w:r>
    </w:p>
    <w:p>
      <w:pPr>
        <w:pStyle w:val="Heading3"/>
        <w:keepNext w:val="true"/>
        <w:spacing w:before="120" w:after="100"/>
        <w:rPr/>
      </w:pPr>
      <w:r>
        <w:rPr>
          <w:rFonts w:eastAsia="Times New Roman" w:cs="Times New Roman" w:ascii="Times New Roman" w:hAnsi="Times New Roman"/>
          <w:b/>
          <w:color w:val="000000"/>
          <w:sz w:val="26"/>
        </w:rPr>
        <w:t>4.7.2. Nội dung dịch vụ.</w:t>
      </w:r>
    </w:p>
    <w:p>
      <w:pPr>
        <w:pStyle w:val="Normal"/>
        <w:spacing w:lineRule="auto" w:line="312" w:before="0" w:after="120"/>
        <w:ind w:firstLine="567"/>
        <w:jc w:val="both"/>
        <w:rPr/>
      </w:pPr>
      <w:r>
        <w:rPr>
          <w:rFonts w:eastAsia="Times New Roman" w:cs="Times New Roman"/>
          <w:color w:val="000000"/>
          <w:sz w:val="26"/>
        </w:rPr>
        <w:t>Dịch vụ tư vấn tập trung vào việc xây dựng và hoàn thiện quan hệ hợp tác giữa doanh nghiệp cung ứng dịch vụ trung gian thanh toán và đơn vị chấp nhận thanh toán, từ việc xác định mô hình hợp tác, phạm vi hoạt động, cơ chế giao dịch đến việc soạn thảo, rà soát hợp đồng và thiết lập các cơ chế kiểm soát rủi ro trong quá trình thực hiện. Trên cơ sở đặc điểm của từng mô hình hợp tác và phương thức chấp nhận thanh toán, dịch vụ tư vấn xác định quyền, nghĩa vụ và trách nhiệm của các bên, đồng thời nhận diện các rủi ro pháp lý có thể phát sinh để xây dựng cơ chế kiểm soát phù hợp:</w:t>
      </w:r>
    </w:p>
    <w:p>
      <w:pPr>
        <w:pStyle w:val="Normal"/>
        <w:spacing w:lineRule="auto" w:line="312" w:before="0" w:after="120"/>
        <w:ind w:firstLine="567"/>
        <w:jc w:val="both"/>
        <w:rPr/>
      </w:pPr>
      <w:r>
        <w:rPr>
          <w:rFonts w:eastAsia="Times New Roman" w:cs="Times New Roman"/>
          <w:color w:val="000000"/>
          <w:sz w:val="26"/>
        </w:rPr>
        <w:t>Thứ nhất, tư vấn về mô hình hợp tác và phạm vi hoạt động của đơn vị chấp nhận thanh toán, là xác định phạm vi công việc, quyền hạn, trách nhiệm và phương thức chấp nhận thanh toán; tư vấn các điều kiện, thông tin và hồ sơ cần thiết để thiết lập, duy trì quan hệ hợp tác phù hợp với quy định pháp luật và thực tế vận hành.</w:t>
      </w:r>
    </w:p>
    <w:p>
      <w:pPr>
        <w:pStyle w:val="Normal"/>
        <w:spacing w:lineRule="auto" w:line="312" w:before="0" w:after="120"/>
        <w:ind w:firstLine="567"/>
        <w:jc w:val="both"/>
        <w:rPr/>
      </w:pPr>
      <w:r>
        <w:rPr>
          <w:rFonts w:eastAsia="Times New Roman" w:cs="Times New Roman"/>
          <w:color w:val="000000"/>
          <w:sz w:val="26"/>
        </w:rPr>
        <w:t>Thứ hai, soạn thảo và rà soát Hợp đồng với đơn vị chấp nhận thanh toán và các phụ lục liên quan. Hợp đồng được xây dựng nhằm xác định rõ quyền và nghĩa vụ của doanh nghiệp và đơn vị chấp nhận thanh toán, thời hạn, phạm vi và điều kiện thực hiện hợp đồng, cũng như các vấn đề liên quan đến phí, hoa hồng và các khoản chi phí phát sinh. Tùy thuộc vào mô hình hợp tác, hợp đồng có thể được xây dựng kèm theo các phụ lục về kỹ thuật, bảo mật, dữ liệu hoặc các nội dung cần thiết khác để làm rõ phương thức và yêu cầu thực hiện dịch vụ. Việc rà soát cũng tập trung vào tính thống nhất giữa hợp đồng và quy trình vận hành thực tế của doanh nghiệp nhằm hạn chế các khoảng trống trách nhiệm trong quá trình thực hiện.</w:t>
      </w:r>
    </w:p>
    <w:p>
      <w:pPr>
        <w:pStyle w:val="Normal"/>
        <w:spacing w:lineRule="auto" w:line="312" w:before="0" w:after="120"/>
        <w:ind w:firstLine="567"/>
        <w:jc w:val="both"/>
        <w:rPr/>
      </w:pPr>
      <w:r>
        <w:rPr>
          <w:rFonts w:eastAsia="Times New Roman" w:cs="Times New Roman"/>
          <w:color w:val="000000"/>
          <w:sz w:val="26"/>
        </w:rPr>
        <w:t>Thứ ba, tư vấn về cơ chế giao dịch, đối soát và thanh toán. Xây dựng các quy định về phương thức và thời điểm ghi nhận giao dịch, quy trình và thời hạn đối soát, thanh toán giữa các bên. Đồng thời, tư vấn cơ chế xử lý đối với giao dịch lỗi, giao dịch bị từ chối, giao dịch trùng hoặc các giao dịch có sai lệch trong quá trình xử lý. Đối với các trường hợp phát sinh yêu cầu hoàn tiền hoặc khoản tiền đang có tranh chấp, hợp đồng cần xác định rõ trình tự xử lý, trách nhiệm của từng bên và phương thức phân bổ các khoản chi phí, thiệt hại nếu có.</w:t>
      </w:r>
    </w:p>
    <w:p>
      <w:pPr>
        <w:pStyle w:val="Normal"/>
        <w:spacing w:lineRule="auto" w:line="312" w:before="0" w:after="120"/>
        <w:ind w:firstLine="567"/>
        <w:jc w:val="both"/>
        <w:rPr/>
      </w:pPr>
      <w:r>
        <w:rPr>
          <w:rFonts w:eastAsia="Times New Roman" w:cs="Times New Roman"/>
          <w:color w:val="000000"/>
          <w:sz w:val="26"/>
        </w:rPr>
        <w:t>Thứ tư, tư vấn về phòng ngừa và xử lý gian lận. Hợp đồng xác định các hành vi bị cấm hoặc có nguy cơ gây thiệt hại như giao dịch khống, giao dịch giả tạo hoặc sử dụng dịch vụ không đúng mục đích; đồng thời thiết lập cơ chế kiểm tra, giám sát và yêu cầu cung cấp thông tin, chứng từ. Trường hợp có vi phạm hoặc dấu hiệu rủi ro, hợp đồng cần quy định quyền tạm ngừng, hạn chế giao dịch hoặc chấm dứt cung cấp dịch vụ. Nội dung này phù hợp với khoản 3 Điều 20 Thông tư số 15/2024/TT-NHNN, hiện được hợp nhất tại Văn bản hợp nhất số 29/VBHN-NHNN ngày 08/12/2025.</w:t>
      </w:r>
    </w:p>
    <w:p>
      <w:pPr>
        <w:pStyle w:val="Normal"/>
        <w:spacing w:lineRule="auto" w:line="312" w:before="0" w:after="120"/>
        <w:ind w:firstLine="567"/>
        <w:jc w:val="both"/>
        <w:rPr/>
      </w:pPr>
      <w:r>
        <w:rPr>
          <w:rFonts w:eastAsia="Times New Roman" w:cs="Times New Roman"/>
          <w:color w:val="000000"/>
          <w:sz w:val="26"/>
        </w:rPr>
        <w:t>Thứ năm, tư vấn về bảo mật thông tin và bảo vệ dữ liệu cá nhân. Trường hợp đơn vị chấp nhận thanh toán được tiếp cận hoặc xử lý dữ liệu cá nhân, hợp đồng cần xác định phạm vi, mục đích, quyền truy cập và sử dụng dữ liệu; nghĩa vụ bảo mật, biện pháp bảo vệ dữ liệu và trách nhiệm khi xảy ra mất mát, rò rỉ hoặc truy cập trái phép. Nội dung này được rà soát phù hợp với Luật Bảo vệ dữ liệu cá nhân số 91/2025/QH15 ngày 26/6/2025 và Nghị định số 356/2025/NĐ-CP ngày 31/12/2025 của Chính phủ.</w:t>
      </w:r>
    </w:p>
    <w:p>
      <w:pPr>
        <w:pStyle w:val="Normal"/>
        <w:spacing w:lineRule="auto" w:line="312" w:before="0" w:after="120"/>
        <w:ind w:firstLine="567"/>
        <w:jc w:val="both"/>
        <w:rPr/>
      </w:pPr>
      <w:r>
        <w:rPr>
          <w:rFonts w:eastAsia="Times New Roman" w:cs="Times New Roman"/>
          <w:color w:val="000000"/>
          <w:sz w:val="26"/>
        </w:rPr>
        <w:t>Thứ sáu, tư vấn về trách nhiệm của các bên, xử lý khiếu nại và chấm dứt hợp đồng. Xác định trách nhiệm khi phát sinh giao dịch sai, khiếu nại, tra soát, tranh chấp hoặc thiệt hại; tư vấn quy định về phạt vi phạm, bồi thường thiệt hại, tạm ngừng hoặc chấm dứt hợp đồng. Đồng thời, xác định trách nhiệm sau khi chấm dứt đối với các nghĩa vụ chưa hoàn thành, khoản tiền chưa đối soát hoặc thanh toán và dữ liệu còn được lưu giữ.</w:t>
      </w:r>
    </w:p>
    <w:p>
      <w:pPr>
        <w:pStyle w:val="Heading3"/>
        <w:keepNext w:val="true"/>
        <w:spacing w:before="120" w:after="100"/>
        <w:rPr/>
      </w:pPr>
      <w:r>
        <w:rPr>
          <w:rFonts w:eastAsia="Times New Roman" w:cs="Times New Roman" w:ascii="Times New Roman" w:hAnsi="Times New Roman"/>
          <w:b/>
          <w:color w:val="000000"/>
          <w:sz w:val="26"/>
        </w:rPr>
        <w:t>4.7.3. Phạm vi dịch vụ.</w:t>
      </w:r>
    </w:p>
    <w:p>
      <w:pPr>
        <w:pStyle w:val="Normal"/>
        <w:spacing w:lineRule="auto" w:line="312" w:before="0" w:after="120"/>
        <w:ind w:firstLine="567"/>
        <w:jc w:val="both"/>
        <w:rPr/>
      </w:pPr>
      <w:r>
        <w:rPr>
          <w:rFonts w:eastAsia="Times New Roman" w:cs="Times New Roman"/>
          <w:color w:val="000000"/>
          <w:sz w:val="26"/>
        </w:rPr>
        <w:t>Thứ nhất, về đối tượng áp dụng. Dịch vụ áp dụng đối với tổ chức cung ứng dịch vụ trung gian thanh toán có nhu cầu thiết lập, soạn thảo, rà soát hoặc sửa đổi quan hệ hợp tác với đơn vị chấp nhận thanh toán, đặc biệt là doanh nghiệp cung ứng dịch vụ ví điện tử. Đơn vị chấp nhận thanh toán trong phạm vi dịch vụ có thể là tổ chức, cá nhân cung cấp hàng hóa, dịch vụ và chấp nhận thanh toán không dùng tiền mặt theo hợp đồng hoặc thỏa thuận với tổ chức cung ứng dịch vụ thanh toán hoặc tổ chức cung ứng dịch vụ trung gian thanh toán. Theo khoản 8 Điều 3 Thông tư số 15/2024/TT-NHNN, hiện được hợp nhất tại Văn bản hợp nhất số 29/VBHN-NHNN ngày 08/12/2025, đây là đối tượng được xác định là “Đơn vị chấp nhận thanh toán”.</w:t>
      </w:r>
    </w:p>
    <w:p>
      <w:pPr>
        <w:pStyle w:val="Normal"/>
        <w:spacing w:lineRule="auto" w:line="312" w:before="0" w:after="120"/>
        <w:ind w:firstLine="567"/>
        <w:jc w:val="both"/>
        <w:rPr/>
      </w:pPr>
      <w:r>
        <w:rPr>
          <w:rFonts w:eastAsia="Times New Roman" w:cs="Times New Roman"/>
          <w:color w:val="000000"/>
          <w:sz w:val="26"/>
        </w:rPr>
        <w:t>Thứ hai, về thời điểm áp dụng và thời hạn dịch vụ. Dịch vụ được thực hiện trước và trong quá trình ký kết, thực hiện hợp đồng với đơn vị chấp nhận thanh toán, bao gồm tư vấn mô hình hợp tác, soạn thảo, rà soát và sửa đổi, bổ sung hợp đồng khi cần thiết. Đối với các hợp đồng đã được ký kết, dịch vụ có thể được thực hiện định kỳ hoặc khi phát sinh thay đổi về mô hình kinh doanh, phương thức thanh toán hoặc quy định pháp luật có liên quan.</w:t>
      </w:r>
    </w:p>
    <w:p>
      <w:pPr>
        <w:pStyle w:val="Normal"/>
        <w:spacing w:lineRule="auto" w:line="312" w:before="0" w:after="120"/>
        <w:ind w:firstLine="567"/>
        <w:jc w:val="both"/>
        <w:rPr/>
      </w:pPr>
      <w:r>
        <w:rPr>
          <w:rFonts w:eastAsia="Times New Roman" w:cs="Times New Roman"/>
          <w:color w:val="000000"/>
          <w:sz w:val="26"/>
        </w:rPr>
        <w:t>Thứ ba, về giới hạn pháp lý. Phạm vi tư vấn phải được thực hiện trong giới hạn dịch vụ trung gian thanh toán mà doanh nghiệp được Ngân hàng Nhà nước cấp phép và phù hợp với quy định pháp luật về thanh toán không dùng tiền mặt. Theo khoản 6 Điều 9 Thông tư 40/2024/TT-NHNN, trường hợp tổ chức cung ứng dịch vụ trung gian thanh toán ký kết hợp đồng hoặc thỏa thuận trực tiếp với đơn vị chấp nhận thanh toán thì tổ chức phải thực hiện trách nhiệm đối với đơn vị chấp nhận thanh toán như trách nhiệm của tổ chức cung ứng dịch vụ thanh toán theo quy định của Ngân hàng Nhà nước về cung ứng dịch vụ thanh toán không dùng tiền mặt. Đồng thời, theo Điều 20 Thông tư 15/2024/TT-NHNN, hợp đồng hoặc thỏa thuận với đơn vị chấp nhận thanh toán phải quy định cụ thể quyền và trách nhiệm của các bên, trách nhiệm của ĐVCNTT đối với tính hợp pháp của hàng hóa, dịch vụ, việc không thực hiện giao dịch bị cấm, xử lý dữ liệu cá nhân, các trường hợp chấm dứt hợp đồng và các nội dung liên quan; tổ chức cung ứng dịch vụ thanh toán còn phải có cơ chế nhận biết, kiểm tra, giám sát và xử lý rủi ro đối với đơn vị chấp nhận thanh toán.</w:t>
      </w:r>
    </w:p>
    <w:p>
      <w:pPr>
        <w:pStyle w:val="Normal"/>
        <w:spacing w:lineRule="auto" w:line="312" w:before="0" w:after="120"/>
        <w:ind w:firstLine="567"/>
        <w:jc w:val="both"/>
        <w:rPr/>
      </w:pPr>
      <w:r>
        <w:rPr>
          <w:rFonts w:eastAsia="Times New Roman" w:cs="Times New Roman"/>
          <w:color w:val="000000"/>
          <w:sz w:val="26"/>
        </w:rPr>
        <w:t>Thứ tư, về phạm vi dịch vụ không bao gồm. Dịch vụ không bao gồm việc thực hiện thủ tục xin cấp, sửa đổi hoặc bổ sung Giấy phép hoạt động cung ứng dịch vụ trung gian thanh toán cho doanh nghiệp, trừ trường hợp nội dung này được thỏa thuận thành một dịch vụ riêng. Dịch vụ cũng không thay thế việc xây dựng, vận hành hoặc kiểm thử hệ thống kỹ thuật, hệ thống công nghệ thông tin, quy trình nghiệp vụ, quy trình quản lý rủi ro, hệ thống kiểm soát nội bộ hoặc các biện pháp kỹ thuật bảo mật của doanh nghiệp. Trường hợp phát sinh tranh chấp với đơn vị chấp nhận thanh toán, dịch vụ tư vấn hợp đồng không mặc nhiên bao gồm việc đại diện doanh nghiệp thực hiện thủ tục tố tụng, trọng tài, thanh tra, kiểm tra hoặc giải quyết tranh chấp, trừ khi các bên có thỏa thuận riêng về phạm vi công việc này.</w:t>
      </w:r>
    </w:p>
    <w:p>
      <w:pPr>
        <w:pStyle w:val="Heading3"/>
        <w:keepNext w:val="true"/>
        <w:spacing w:before="120" w:after="100"/>
        <w:rPr/>
      </w:pPr>
      <w:r>
        <w:rPr>
          <w:rFonts w:eastAsia="Times New Roman" w:cs="Times New Roman" w:ascii="Times New Roman" w:hAnsi="Times New Roman"/>
          <w:b/>
          <w:color w:val="000000"/>
          <w:sz w:val="26"/>
        </w:rPr>
        <w:t>4.7.4. Mục đích dịch vụ.</w:t>
      </w:r>
    </w:p>
    <w:p>
      <w:pPr>
        <w:pStyle w:val="Normal"/>
        <w:spacing w:lineRule="auto" w:line="312" w:before="0" w:after="120"/>
        <w:ind w:firstLine="567"/>
        <w:jc w:val="both"/>
        <w:rPr/>
      </w:pPr>
      <w:r>
        <w:rPr>
          <w:rFonts w:eastAsia="Times New Roman" w:cs="Times New Roman"/>
          <w:color w:val="000000"/>
          <w:sz w:val="26"/>
        </w:rPr>
        <w:t>Thứ nhất, kiểm soát quan hệ với đơn vị chấp nhận thanh toán. Xác định rõ phạm vi hợp tác, quyền, nghĩa vụ và trách nhiệm của các bên, qua đó hạn chế rủi ro đơn vị chấp nhận thanh toán thực hiện sai hoặc vượt quá phạm vi được thỏa thuận hoặc doanh nghiệp không có cơ sở pháp lý rõ ràng để kiểm soát hoạt động của đơn vị chấp nhận thanh toán.</w:t>
      </w:r>
    </w:p>
    <w:p>
      <w:pPr>
        <w:pStyle w:val="Normal"/>
        <w:spacing w:lineRule="auto" w:line="312" w:before="0" w:after="120"/>
        <w:ind w:firstLine="567"/>
        <w:jc w:val="both"/>
        <w:rPr/>
      </w:pPr>
      <w:r>
        <w:rPr>
          <w:rFonts w:eastAsia="Times New Roman" w:cs="Times New Roman"/>
          <w:color w:val="000000"/>
          <w:sz w:val="26"/>
        </w:rPr>
        <w:t>Thứ hai, phòng ngừa gian lận và giao dịch bất thường. Thiết lập cơ sở pháp lý để doanh nghiệp nhận biết, kiểm tra và giám sát hoạt động của đơn vị chấp nhận thanh toán, yêu cầu cung cấp thông tin, hóa đơn, chứng từ và áp dụng các biện pháp xử lý phù hợp như tạm ngừng, hạn chế giao dịch hoặc chấm dứt hợp đồng khi phát hiện dấu hiệu gian lận hoặc vi phạm.</w:t>
      </w:r>
    </w:p>
    <w:p>
      <w:pPr>
        <w:pStyle w:val="Normal"/>
        <w:spacing w:lineRule="auto" w:line="312" w:before="0" w:after="120"/>
        <w:ind w:firstLine="567"/>
        <w:jc w:val="both"/>
        <w:rPr/>
      </w:pPr>
      <w:r>
        <w:rPr>
          <w:rFonts w:eastAsia="Times New Roman" w:cs="Times New Roman"/>
          <w:color w:val="000000"/>
          <w:sz w:val="26"/>
        </w:rPr>
        <w:t>Thứ ba, hạn chế tranh chấp trong quá trình thanh toán. Làm rõ trách nhiệm của doanh nghiệp và đơn vị chấp nhận thanh toán khi phát sinh giao dịch lỗi, giao dịch không thành công, giao dịch sai lệch, yêu cầu hoàn tiền, tra soát hoặc khiếu nại từ khách hàng, từ đó tạo cơ sở thống nhất để các bên xử lý sự cố và phân bổ trách nhiệm, chi phí hoặc thiệt hại nếu có.</w:t>
      </w:r>
    </w:p>
    <w:p>
      <w:pPr>
        <w:pStyle w:val="Normal"/>
        <w:spacing w:lineRule="auto" w:line="312" w:before="0" w:after="120"/>
        <w:ind w:firstLine="567"/>
        <w:jc w:val="both"/>
        <w:rPr/>
      </w:pPr>
      <w:r>
        <w:rPr>
          <w:rFonts w:eastAsia="Times New Roman" w:cs="Times New Roman"/>
          <w:color w:val="000000"/>
          <w:sz w:val="26"/>
        </w:rPr>
        <w:t>Thứ tư, bảo vệ thông tin và dữ liệu khách hàng. Xác định rõ phạm vi và mục đích đơn vị chấp nhận thanh toán được tiếp cận, sử dụng hoặc xử lý dữ liệu; đồng thời thiết lập nghĩa vụ bảo mật, biện pháp bảo vệ dữ liệu và trách nhiệm của các bên khi xảy ra mất mát, rò rỉ hoặc truy cập trái phép, phù hợp với quy định pháp luật hiện hành về bảo vệ dữ liệu cá nhân.</w:t>
      </w:r>
    </w:p>
    <w:p>
      <w:pPr>
        <w:pStyle w:val="Normal"/>
        <w:spacing w:lineRule="auto" w:line="312" w:before="0" w:after="120"/>
        <w:ind w:firstLine="567"/>
        <w:jc w:val="both"/>
        <w:rPr/>
      </w:pPr>
      <w:r>
        <w:rPr>
          <w:rFonts w:eastAsia="Times New Roman" w:cs="Times New Roman"/>
          <w:color w:val="000000"/>
          <w:sz w:val="26"/>
        </w:rPr>
        <w:t>Thứ năm, bảo vệ doanh nghiệp khi chấm dứt quan hệ với đơn vị chấp nhận thanh toán. Xác định rõ trách nhiệm của các bên đối với việc đối soát, thanh toán, xử lý giao dịch còn tồn đọng, giải quyết khiếu nại, hoàn thành các nghĩa vụ chưa thực hiện và xử lý dữ liệu sau khi hợp đồng chấm dứt, qua đó hạn chế nguy cơ phát sinh tranh chấp hoặc nghĩa vụ kéo dài sau khi quan hệ hợp tác đã kết thúc.</w:t>
      </w:r>
    </w:p>
    <w:p>
      <w:pPr>
        <w:pStyle w:val="Heading2"/>
        <w:keepNext w:val="true"/>
        <w:spacing w:before="120" w:after="100"/>
        <w:rPr>
          <w:rFonts w:eastAsia="Times New Roman" w:cs="Times New Roman"/>
          <w:b/>
          <w:color w:val="000000"/>
          <w:sz w:val="26"/>
        </w:rPr>
      </w:pPr>
      <w:r>
        <w:rPr>
          <w:rFonts w:eastAsia="Times New Roman" w:cs="Times New Roman" w:ascii="Times New Roman" w:hAnsi="Times New Roman"/>
          <w:b/>
          <w:color w:val="000000"/>
          <w:sz w:val="26"/>
        </w:rPr>
        <w:t>4.8. Hợp đồng cung cấp dịch vụ tích hợp API ví điện tử.</w:t>
      </w:r>
    </w:p>
    <w:p>
      <w:pPr>
        <w:pStyle w:val="Heading3"/>
        <w:keepNext w:val="true"/>
        <w:spacing w:before="120" w:after="100"/>
        <w:rPr/>
      </w:pPr>
      <w:r>
        <w:rPr>
          <w:rFonts w:eastAsia="Times New Roman" w:cs="Times New Roman" w:ascii="Times New Roman" w:hAnsi="Times New Roman"/>
          <w:b/>
          <w:color w:val="000000"/>
          <w:sz w:val="26"/>
        </w:rPr>
        <w:t>4.8.1. Giới thiệu dịch vụ.</w:t>
      </w:r>
    </w:p>
    <w:p>
      <w:pPr>
        <w:pStyle w:val="Normal"/>
        <w:spacing w:lineRule="auto" w:line="312" w:before="0" w:after="120"/>
        <w:ind w:firstLine="567"/>
        <w:jc w:val="both"/>
        <w:rPr/>
      </w:pPr>
      <w:r>
        <w:rPr>
          <w:rFonts w:eastAsia="Times New Roman" w:cs="Times New Roman"/>
          <w:color w:val="000000"/>
          <w:sz w:val="26"/>
        </w:rPr>
        <w:t>Dịch vụ tư vấn và soạn thảo Hợp đồng cung cấp dịch vụ API tích hợp Ví điện tử là dịch vụ pháp lý nhằm thiết lập khuôn khổ quyền, nghĩa vụ và trách nhiệm giữa Doanh nghiệp với thương nhân hoặc nền tảng có nhu cầu đưa phương thức thanh toán bằng Ví vào website, ứng dụng hoặc hệ thống bán hàng. Hợp đồng không chỉ điều chỉnh việc bàn giao tài liệu kỹ thuật hay khóa API, mà phải bao quát toàn bộ chuỗi giao dịch gồm nhận diện khách hàng, tạo và xác thực lệnh thanh toán, ghi nhận biến động số dư, thông báo trạng thái, hoàn tiền, tra soát, đối soát và xử lý sự cố.</w:t>
      </w:r>
    </w:p>
    <w:p>
      <w:pPr>
        <w:pStyle w:val="Normal"/>
        <w:spacing w:lineRule="auto" w:line="312" w:before="0" w:after="120"/>
        <w:ind w:firstLine="567"/>
        <w:jc w:val="both"/>
        <w:rPr/>
      </w:pPr>
      <w:r>
        <w:rPr>
          <w:rFonts w:eastAsia="Times New Roman" w:cs="Times New Roman"/>
          <w:color w:val="000000"/>
          <w:sz w:val="26"/>
        </w:rPr>
        <w:t>Về bản chất pháp lý, API không phải là một dịch vụ trung gian thanh toán độc lập và cũng không làm chuyển giao giấy phép của doanh nghiệp cho bên tích hợp. Doanh nghiệp chỉ được cung ứng chức năng ví trong phạm vi Giấy phép hoạt động cung ứng dịch vụ trung gian thanh toán do Ngân hàng Nhà nước cấp và còn hiệu lực. Bên tích hợp không được nhân danh doanh nghiệp để mở ví, tự quyết định số dư, giữ tiền của khách hàng hoặc thực hiện nghiệp vụ vượt ngoài phạm vi được pháp luật và hợp đồng cho phép.</w:t>
      </w:r>
    </w:p>
    <w:p>
      <w:pPr>
        <w:pStyle w:val="Normal"/>
        <w:spacing w:lineRule="auto" w:line="312" w:before="0" w:after="120"/>
        <w:ind w:firstLine="567"/>
        <w:jc w:val="both"/>
        <w:rPr/>
      </w:pPr>
      <w:r>
        <w:rPr>
          <w:rFonts w:eastAsia="Times New Roman" w:cs="Times New Roman"/>
          <w:color w:val="000000"/>
          <w:sz w:val="26"/>
        </w:rPr>
        <w:t>Hợp đồng vì vậy phải đồng thời đáp ứng hai nhóm yêu cầu. Nhóm thứ nhất là yêu cầu của pháp luật hợp đồng: chủ thể có thẩm quyền, đối tượng xác định được, quyền và nghĩa vụ rõ ràng, cơ chế phí, vi phạm, bồi thường, tạm ngừng, chấm dứt và giải quyết tranh chấp. Nhóm thứ hai là yêu cầu pháp luật chuyên ngành đối với ví điện tử: giấy phép, nhận biết khách hàng, liên kết tài khoản, tài khoản đảm bảo thanh toán, giới hạn sử dụng, phòng, chống rửa tiền, an toàn hệ thống, bảo mật thông tin và bảo vệ dữ liệu cá nhân.</w:t>
      </w:r>
    </w:p>
    <w:p>
      <w:pPr>
        <w:pStyle w:val="Normal"/>
        <w:spacing w:lineRule="auto" w:line="312" w:before="0" w:after="120"/>
        <w:ind w:firstLine="567"/>
        <w:jc w:val="both"/>
        <w:rPr/>
      </w:pPr>
      <w:r>
        <w:rPr>
          <w:rFonts w:eastAsia="Times New Roman" w:cs="Times New Roman"/>
          <w:color w:val="000000"/>
          <w:sz w:val="26"/>
        </w:rPr>
        <w:t>Căn cứ pháp lý chủ yếu được sử dụng để rà soát hợp đồng gồm:</w:t>
      </w:r>
    </w:p>
    <w:p>
      <w:pPr>
        <w:pStyle w:val="Normal"/>
        <w:spacing w:lineRule="auto" w:line="312" w:before="0" w:after="120"/>
        <w:ind w:hanging="0" w:start="0"/>
        <w:jc w:val="both"/>
        <w:rPr>
          <w:b w:val="false"/>
          <w:bCs w:val="false"/>
        </w:rPr>
      </w:pPr>
      <w:r>
        <w:rPr>
          <w:rFonts w:eastAsia="Times New Roman" w:cs="Times New Roman"/>
          <w:color w:val="000000"/>
          <w:sz w:val="26"/>
        </w:rPr>
        <w:t>- Nghị định 52/2024/NĐ-CP của Chính phủ về thanh toán không dùng tiền mặt, làm cơ sở xác định địa vị pháp lý và điều kiện cung ứng dịch vụ ví điện tử.</w:t>
      </w:r>
    </w:p>
    <w:p>
      <w:pPr>
        <w:pStyle w:val="Normal"/>
        <w:spacing w:lineRule="auto" w:line="312" w:before="0" w:after="120"/>
        <w:ind w:hanging="0" w:start="0"/>
        <w:jc w:val="both"/>
        <w:rPr>
          <w:b w:val="false"/>
          <w:bCs w:val="false"/>
        </w:rPr>
      </w:pPr>
      <w:r>
        <w:rPr>
          <w:rFonts w:eastAsia="Times New Roman" w:cs="Times New Roman"/>
          <w:color w:val="000000"/>
          <w:sz w:val="26"/>
        </w:rPr>
        <w:t>- Văn bản hợp nhất 29/VBHN-NHNN của Ngân hàng Nhà nước, hợp nhất quy định về hoạt động cung ứng dịch vụ trung gian thanh toán sau sửa đổi năm 2025.</w:t>
      </w:r>
    </w:p>
    <w:p>
      <w:pPr>
        <w:pStyle w:val="Normal"/>
        <w:spacing w:lineRule="auto" w:line="312" w:before="0" w:after="120"/>
        <w:ind w:hanging="0" w:start="0"/>
        <w:jc w:val="both"/>
        <w:rPr>
          <w:b w:val="false"/>
          <w:bCs w:val="false"/>
        </w:rPr>
      </w:pPr>
      <w:r>
        <w:rPr>
          <w:rFonts w:eastAsia="Times New Roman" w:cs="Times New Roman"/>
          <w:color w:val="000000"/>
          <w:sz w:val="26"/>
        </w:rPr>
        <w:t>- Bộ luật Dân sự 2015 và Luật Thương mại 2005, điều chỉnh nguyên tắc giao kết, thực hiện hợp đồng, cung ứng dịch vụ, vi phạm và bồi thường thiệt hại.</w:t>
      </w:r>
    </w:p>
    <w:p>
      <w:pPr>
        <w:pStyle w:val="Normal"/>
        <w:spacing w:lineRule="auto" w:line="312" w:before="0" w:after="120"/>
        <w:ind w:hanging="0" w:start="0"/>
        <w:jc w:val="both"/>
        <w:rPr>
          <w:b w:val="false"/>
          <w:bCs w:val="false"/>
        </w:rPr>
      </w:pPr>
      <w:r>
        <w:rPr>
          <w:rFonts w:eastAsia="Times New Roman" w:cs="Times New Roman"/>
          <w:color w:val="000000"/>
          <w:sz w:val="26"/>
        </w:rPr>
        <w:t>- Luật Giao dịch điện tử 2023, làm cơ sở công nhận thông điệp dữ liệu, giao kết điện tử, xác thực và giá trị chứng cứ của nhật ký hệ thống.</w:t>
      </w:r>
    </w:p>
    <w:p>
      <w:pPr>
        <w:pStyle w:val="Normal"/>
        <w:spacing w:lineRule="auto" w:line="312" w:before="0" w:after="120"/>
        <w:ind w:hanging="0" w:start="0"/>
        <w:jc w:val="both"/>
        <w:rPr>
          <w:b w:val="false"/>
          <w:bCs w:val="false"/>
        </w:rPr>
      </w:pPr>
      <w:r>
        <w:rPr>
          <w:rFonts w:eastAsia="Times New Roman" w:cs="Times New Roman"/>
          <w:color w:val="000000"/>
          <w:sz w:val="26"/>
        </w:rPr>
        <w:t>- Luật Phòng, chống rửa tiền 2022, làm cơ sở thiết kế nghĩa vụ nhận biết khách hàng, giám sát và phối hợp xử lý giao dịch có dấu hiệu đáng ngờ.</w:t>
      </w:r>
    </w:p>
    <w:p>
      <w:pPr>
        <w:pStyle w:val="Normal"/>
        <w:spacing w:lineRule="auto" w:line="312" w:before="0" w:after="120"/>
        <w:ind w:hanging="0" w:start="0"/>
        <w:jc w:val="both"/>
        <w:rPr>
          <w:b w:val="false"/>
          <w:bCs w:val="false"/>
        </w:rPr>
      </w:pPr>
      <w:r>
        <w:rPr>
          <w:rFonts w:eastAsia="Times New Roman" w:cs="Times New Roman"/>
          <w:color w:val="000000"/>
          <w:sz w:val="26"/>
        </w:rPr>
        <w:t>- Luật Bảo vệ dữ liệu cá nhân 2025, điều chỉnh việc thu thập, sử dụng, chia sẻ, lưu trữ và bảo vệ dữ liệu của chủ ví.</w:t>
      </w:r>
    </w:p>
    <w:p>
      <w:pPr>
        <w:pStyle w:val="Normal"/>
        <w:spacing w:lineRule="auto" w:line="312" w:before="0" w:after="120"/>
        <w:ind w:hanging="0" w:start="0"/>
        <w:jc w:val="both"/>
        <w:rPr/>
      </w:pPr>
      <w:r>
        <w:rPr>
          <w:rFonts w:eastAsia="Times New Roman" w:cs="Times New Roman"/>
          <w:color w:val="000000"/>
          <w:sz w:val="26"/>
        </w:rPr>
        <w:t>- Luật Bảo vệ quyền lợi người tiêu dùng 2023, được áp dụng đối với điều kiện giao dịch, cung cấp thông tin, tiếp nhận khiếu nại và bảo vệ người dùng cuối.</w:t>
      </w:r>
    </w:p>
    <w:p>
      <w:pPr>
        <w:pStyle w:val="Heading3"/>
        <w:keepNext w:val="true"/>
        <w:spacing w:before="120" w:after="100"/>
        <w:rPr/>
      </w:pPr>
      <w:r>
        <w:rPr>
          <w:rFonts w:eastAsia="Times New Roman" w:cs="Times New Roman" w:ascii="Times New Roman" w:hAnsi="Times New Roman"/>
          <w:b/>
          <w:color w:val="000000"/>
          <w:sz w:val="26"/>
        </w:rPr>
        <w:t>4.8.2. Nội dung dịch vụ.</w:t>
      </w:r>
    </w:p>
    <w:p>
      <w:pPr>
        <w:pStyle w:val="Normal"/>
        <w:spacing w:lineRule="auto" w:line="312" w:before="0" w:after="120"/>
        <w:ind w:firstLine="567"/>
        <w:jc w:val="both"/>
        <w:rPr/>
      </w:pPr>
      <w:r>
        <w:rPr>
          <w:rFonts w:eastAsia="Times New Roman" w:cs="Times New Roman"/>
          <w:color w:val="000000"/>
          <w:sz w:val="26"/>
        </w:rPr>
        <w:t>Thứ nhất, rà soát điều kiện pháp lý và mô hình giao dịch. Tiếp nhận Giấy chứng nhận đăng ký doanh nghiệp, Giấy phép hoạt động cung ứng dịch vụ trung gian thanh toán và các văn bản sửa đổi, quy trình vận hành ví, sơ đồ luồng tiền, tài liệu API, chính sách khách hàng và hợp đồng với ngân hàng hợp tác. Trên cơ sở đó, xác định chính xác chức năng nào do doanh nghiệp thực hiện, chức năng nào thuộc bên tích hợp và chức năng nào phải do ngân hàng hoặc chủ thể được cấp phép đảm nhiệm.</w:t>
      </w:r>
    </w:p>
    <w:p>
      <w:pPr>
        <w:pStyle w:val="Normal"/>
        <w:spacing w:lineRule="auto" w:line="312" w:before="0" w:after="120"/>
        <w:ind w:firstLine="567"/>
        <w:jc w:val="both"/>
        <w:rPr/>
      </w:pPr>
      <w:r>
        <w:rPr>
          <w:rFonts w:eastAsia="Times New Roman" w:cs="Times New Roman"/>
          <w:color w:val="000000"/>
          <w:sz w:val="26"/>
        </w:rPr>
        <w:t>Kết quả rà soát phải làm rõ điều kiện tiên quyết trước khi mở môi trường sản xuất: giấy phép của doanh nghiệp còn hiệu lực và bao phủ dịch vụ ví điện tử; hợp đồng với ngân hàng hợp tác và cơ chế tài khoản đảm bảo thanh toán phù hợp; quy trình KYC, AML và kiểm soát gian lận đã được phê duyệt; bên tích hợp đáp ứng yêu cầu kỹ thuật, bảo mật và mục đích sử dụng. Trường hợp một yêu cầu kinh doanh vượt phạm vi giấy phép, luật sư phải kiến nghị loại bỏ hoặc tái cấu trúc, không hợp thức hóa bằng điều khoản hợp đồng.</w:t>
      </w:r>
    </w:p>
    <w:p>
      <w:pPr>
        <w:pStyle w:val="Normal"/>
        <w:spacing w:lineRule="auto" w:line="312" w:before="0" w:after="120"/>
        <w:ind w:firstLine="567"/>
        <w:jc w:val="both"/>
        <w:rPr/>
      </w:pPr>
      <w:r>
        <w:rPr>
          <w:rFonts w:eastAsia="Times New Roman" w:cs="Times New Roman"/>
          <w:color w:val="000000"/>
          <w:sz w:val="26"/>
        </w:rPr>
        <w:t>Thứ hai, xác định đối tượng hợp đồng và phạm vi chức năng API. Đối tượng hợp đồng được mô tả là “dịch vụ Ví được cung cấp thông qua kết nối API”, tránh cách ghi chung chung là “dịch vụ API”. Phụ lục kỹ thuật phải liệt kê từng nhóm chức năng như mở ví hoặc chuyển hướng tới luồng mở ví; eKYC và xác thực; liên kết tài khoản; nạp, rút trong phạm vi được phép; thanh toán; hoàn tiền; truy vấn số dư hoặc trạng thái giao dịch; webhook; tra soát; đối soát và báo cáo.</w:t>
      </w:r>
    </w:p>
    <w:p>
      <w:pPr>
        <w:pStyle w:val="Normal"/>
        <w:spacing w:lineRule="auto" w:line="312" w:before="0" w:after="120"/>
        <w:ind w:firstLine="567"/>
        <w:jc w:val="both"/>
        <w:rPr/>
      </w:pPr>
      <w:r>
        <w:rPr>
          <w:rFonts w:eastAsia="Times New Roman" w:cs="Times New Roman"/>
          <w:color w:val="000000"/>
          <w:sz w:val="26"/>
        </w:rPr>
        <w:t>Mỗi API phải có phiên bản, môi trường sử dụng, phương thức xác thực, cấu trúc yêu cầu và phản hồi, mã lỗi, giới hạn tần suất, cơ chế chống gửi lặp, thời hạn lưu nhật ký và quy tắc thay đổi phiên bản. Hợp đồng cần quy định dữ liệu trên hệ thống nào là căn cứ xác định trạng thái giao dịch; cách xử lý khi dữ liệu của hai bên không thống nhất; trách nhiệm bảo quản khóa bí mật; và nguyên tắc không được chia sẻ khóa API, đảo ngược công nghệ hoặc dùng API cho giao dịch trái pháp luật.</w:t>
      </w:r>
    </w:p>
    <w:p>
      <w:pPr>
        <w:pStyle w:val="Normal"/>
        <w:spacing w:lineRule="auto" w:line="312" w:before="0" w:after="120"/>
        <w:ind w:firstLine="567"/>
        <w:jc w:val="both"/>
        <w:rPr/>
      </w:pPr>
      <w:r>
        <w:rPr>
          <w:rFonts w:eastAsia="Times New Roman" w:cs="Times New Roman"/>
          <w:color w:val="000000"/>
          <w:sz w:val="26"/>
        </w:rPr>
        <w:t>Thứ ba, soạn thảo cơ chế triển khai, kiểm thử và nghiệm thu. Dịch vụ bao gồm xây dựng các điều khoản về cấp tài khoản sandbox, bộ tình huống kiểm thử, điều kiện cấp khóa production và tiêu chí nghiệm thu. Nghiệm thu không chỉ căn cứ vào việc gửi yêu cầu thành công mà phải kiểm tra toàn bộ luồng ví: hồ sơ khách hàng hợp lệ, xác thực đúng, hạn mức và số dư được kiểm soát, mã giao dịch duy nhất, webhook đúng trạng thái, giao dịch lỗi không bị ghi nhận trùng, hoàn tiền về đúng ví và dữ liệu đối soát khớp.</w:t>
      </w:r>
    </w:p>
    <w:p>
      <w:pPr>
        <w:pStyle w:val="Normal"/>
        <w:spacing w:lineRule="auto" w:line="312" w:before="0" w:after="120"/>
        <w:ind w:firstLine="567"/>
        <w:jc w:val="both"/>
        <w:rPr/>
      </w:pPr>
      <w:r>
        <w:rPr>
          <w:rFonts w:eastAsia="Times New Roman" w:cs="Times New Roman"/>
          <w:color w:val="000000"/>
          <w:sz w:val="26"/>
        </w:rPr>
        <w:t>Biên bản nghiệm thu phải ghi nhận phiên bản API, phạm vi chức năng đã kiểm thử, lỗi còn tồn tại, thời hạn khắc phục, người có thẩm quyền xác nhận và thời điểm được phép đưa dịch vụ vào vận hành. Mọi chức năng phát sinh ngoài phụ lục phải được lập yêu cầu thay đổi, đánh giá tác động pháp lý và kỹ thuật, xác định phí bổ sung và chỉ triển khai sau khi hai bên phê duyệt bằng hình thức có giá trị pháp lý.</w:t>
      </w:r>
    </w:p>
    <w:p>
      <w:pPr>
        <w:pStyle w:val="Normal"/>
        <w:spacing w:lineRule="auto" w:line="312" w:before="0" w:after="120"/>
        <w:ind w:firstLine="567"/>
        <w:jc w:val="both"/>
        <w:rPr/>
      </w:pPr>
      <w:r>
        <w:rPr>
          <w:rFonts w:eastAsia="Times New Roman" w:cs="Times New Roman"/>
          <w:color w:val="000000"/>
          <w:sz w:val="26"/>
        </w:rPr>
        <w:t>Thứ tư, xây dựng điều khoản về phí, dòng tiền và đối soát. Hợp đồng cần tách bạch phí khởi tạo hoặc tích hợp, phí nền tảng định kỳ, phí giao dịch, phí mô-đun nâng cấp và các khoản thuế liên quan. Công thức tính phí, chu kỳ xuất hóa đơn, thời hạn thanh toán, xử lý sai lệch, lãi chậm trả và điều kiện điều chỉnh phí phải được quy định cụ thể. Các con số dùng trong bài thuyết trình hoặc phương án gọi vốn chỉ là giả định kinh doanh; chỉ mức phí ghi tại hợp đồng hoặc phụ lục đã ký mới có giá trị ràng buộc.</w:t>
      </w:r>
    </w:p>
    <w:p>
      <w:pPr>
        <w:pStyle w:val="Normal"/>
        <w:spacing w:lineRule="auto" w:line="312" w:before="0" w:after="120"/>
        <w:ind w:firstLine="567"/>
        <w:jc w:val="both"/>
        <w:rPr/>
      </w:pPr>
      <w:r>
        <w:rPr>
          <w:rFonts w:eastAsia="Times New Roman" w:cs="Times New Roman"/>
          <w:color w:val="000000"/>
          <w:sz w:val="26"/>
        </w:rPr>
        <w:t>Đối với tiền của chủ ví, hợp đồng phải khẳng định số dư ví không phải doanh thu và không phải tài sản để doanh nghiệp hoặc bên tích hợp tùy ý sử dụng. Việc quản lý dòng tiền, tài khoản đảm bảo thanh toán, nạp, rút, thanh toán, hoàn trả và đối soát phải tuân thủ pháp luật chuyên ngành và thỏa thuận với ngân hàng hợp tác. Bên tích hợp chỉ được nhận dữ liệu hoặc khoản tiền thuộc phạm vi giao dịch đã được xác định; không được giữ hộ tiền hoặc tự bù trừ ngoài cơ chế được chấp thuận.</w:t>
      </w:r>
    </w:p>
    <w:p>
      <w:pPr>
        <w:pStyle w:val="Normal"/>
        <w:spacing w:lineRule="auto" w:line="312" w:before="0" w:after="120"/>
        <w:ind w:firstLine="567"/>
        <w:jc w:val="both"/>
        <w:rPr/>
      </w:pPr>
      <w:r>
        <w:rPr>
          <w:rFonts w:eastAsia="Times New Roman" w:cs="Times New Roman"/>
          <w:color w:val="000000"/>
          <w:sz w:val="26"/>
        </w:rPr>
        <w:t>Thứ năm, xây dựng cơ chế chất lượng dịch vụ và xử lý sự cố. Phụ lục SLA phải quy định tỷ lệ sẵn sàng của hệ thống, cửa sổ bảo trì, phân loại mức độ sự cố, thời gian tiếp nhận, thời gian phản hồi, thời gian khôi phục, kênh liên lạc khẩn cấp và nghĩa vụ báo cáo nguyên nhân. Đối với lỗi làm phát sinh giao dịch treo, trừ tiền hai lần, sai số dư, mất webhook hoặc chậm hoàn tiền, hợp đồng phải chỉ rõ bên chịu trách nhiệm xác minh, thời hạn tra soát, biện pháp tạm thời bảo vệ khách hàng và căn cứ xác định lỗi.</w:t>
      </w:r>
    </w:p>
    <w:p>
      <w:pPr>
        <w:pStyle w:val="Normal"/>
        <w:spacing w:lineRule="auto" w:line="312" w:before="0" w:after="120"/>
        <w:ind w:firstLine="567"/>
        <w:jc w:val="both"/>
        <w:rPr/>
      </w:pPr>
      <w:r>
        <w:rPr>
          <w:rFonts w:eastAsia="Times New Roman" w:cs="Times New Roman"/>
          <w:color w:val="000000"/>
          <w:sz w:val="26"/>
        </w:rPr>
        <w:t>Cơ chế service credit có thể được sử dụng để bù trừ một phần phí khi SLA không đạt, nhưng không nên mặc nhiên thay thế nghĩa vụ bồi thường đối với thiệt hại thực tế do lỗi cố ý, lỗi nghiêm trọng, vi phạm bảo mật hoặc xử lý trái phép tiền và dữ liệu của khách hàng. Các trường hợp bất khả kháng, lỗi của ngân hàng hợp tác hoặc lỗi của hạ tầng viễn thông phải được định nghĩa chặt chẽ và gắn với nghĩa vụ thông báo, chứng minh, giảm thiểu thiệt hại.</w:t>
      </w:r>
    </w:p>
    <w:p>
      <w:pPr>
        <w:pStyle w:val="Normal"/>
        <w:spacing w:lineRule="auto" w:line="312" w:before="0" w:after="120"/>
        <w:ind w:firstLine="567"/>
        <w:jc w:val="both"/>
        <w:rPr/>
      </w:pPr>
      <w:r>
        <w:rPr>
          <w:rFonts w:eastAsia="Times New Roman" w:cs="Times New Roman"/>
          <w:color w:val="000000"/>
          <w:sz w:val="26"/>
        </w:rPr>
        <w:t>Thứ sáu, phân định trách nhiệm tuân thủ, KYC, AML và bảo vệ người dùng. Doanh nghiệp chịu trách nhiệm đối với quy trình mở và quản lý ví, nhận biết và xác minh chủ ví, kiểm soát hạn mức, số dư, giao dịch, tài khoản đảm bảo, báo cáo và các nghĩa vụ thuộc phạm vi giấy phép. Bên tích hợp chịu trách nhiệm về tính hợp pháp của hàng hóa, dịch vụ, thông tin đơn hàng, giao diện thanh toán, việc quản lý tài khoản quản trị và khóa API, cũng như phối hợp cung cấp chứng từ khi tra soát hoặc có yêu cầu của cơ quan có thẩm quyền.</w:t>
      </w:r>
    </w:p>
    <w:p>
      <w:pPr>
        <w:pStyle w:val="Normal"/>
        <w:spacing w:lineRule="auto" w:line="312" w:before="0" w:after="120"/>
        <w:ind w:firstLine="567"/>
        <w:jc w:val="both"/>
        <w:rPr/>
      </w:pPr>
      <w:r>
        <w:rPr>
          <w:rFonts w:eastAsia="Times New Roman" w:cs="Times New Roman"/>
          <w:color w:val="000000"/>
          <w:sz w:val="26"/>
        </w:rPr>
        <w:t>Hợp đồng phải cho phép doanh nghiệp từ chối, tạm dừng hoặc yêu cầu xác minh bổ sung khi giao dịch có dấu hiệu gian lận, giả mạo, rửa tiền, vượt hạn mức, vi phạm điều kiện sử dụng hoặc yêu cầu của cơ quan nhà nước. Tuy nhiên, quyền này phải đi kèm tiêu chí áp dụng, cơ chế ghi nhận lý do, thông báo trong phạm vi pháp luật cho phép và quy trình khôi phục dịch vụ, nhằm tránh việc tạm dừng tùy tiện gây thiệt hại cho thương nhân và người dùng.</w:t>
      </w:r>
    </w:p>
    <w:p>
      <w:pPr>
        <w:pStyle w:val="Normal"/>
        <w:spacing w:lineRule="auto" w:line="312" w:before="0" w:after="120"/>
        <w:ind w:firstLine="567"/>
        <w:jc w:val="both"/>
        <w:rPr/>
      </w:pPr>
      <w:r>
        <w:rPr>
          <w:rFonts w:eastAsia="Times New Roman" w:cs="Times New Roman"/>
          <w:color w:val="000000"/>
          <w:sz w:val="26"/>
        </w:rPr>
        <w:t>Thứ bảy, soạn thảo điều khoản về dữ liệu, bảo mật và sở hữu trí tuệ. Xác định vai trò của mỗi bên trong hoạt động kiểm soát và xử lý dữ liệu; loại dữ liệu được trao đổi; mục đích, căn cứ và thời hạn xử lý; phân quyền truy cập; việc sử dụng nhà thầu phụ; chuyển dữ liệu ra ngoài lãnh thổ; quyền của chủ thể dữ liệu; thời hạn thông báo sự cố; và việc hoàn trả, xóa hoặc ẩn danh dữ liệu khi hợp đồng chấm dứt. Bên nhận dữ liệu không được sử dụng dữ liệu giao dịch để quảng cáo, chấm điểm hoặc chia sẻ cho bên thứ ba nếu chưa có căn cứ pháp lý phù hợp.</w:t>
      </w:r>
    </w:p>
    <w:p>
      <w:pPr>
        <w:pStyle w:val="Normal"/>
        <w:spacing w:lineRule="auto" w:line="312" w:before="0" w:after="120"/>
        <w:ind w:firstLine="567"/>
        <w:jc w:val="both"/>
        <w:rPr/>
      </w:pPr>
      <w:r>
        <w:rPr>
          <w:rFonts w:eastAsia="Times New Roman" w:cs="Times New Roman"/>
          <w:color w:val="000000"/>
          <w:sz w:val="26"/>
        </w:rPr>
        <w:t>Quyền sở hữu nền tảng, mã nguồn, tài liệu API, nhãn hiệu và bí mật kinh doanh của doanh nghiệp phải được bảo lưu. Bên tích hợp chỉ nhận quyền sử dụng có giới hạn, không độc quyền, không được chuyển giao và chỉ trong thời hạn hợp đồng. Đối với phần mềm, giao diện hoặc tài liệu do hai bên cùng phát triển, hợp đồng phải xác định rõ chủ sở hữu, phạm vi khai thác, quyền sửa đổi và nghĩa vụ bàn giao để tránh tranh chấp khi chấm dứt hợp tác.</w:t>
      </w:r>
    </w:p>
    <w:p>
      <w:pPr>
        <w:pStyle w:val="Normal"/>
        <w:spacing w:lineRule="auto" w:line="312" w:before="0" w:after="120"/>
        <w:ind w:firstLine="567"/>
        <w:jc w:val="both"/>
        <w:rPr/>
      </w:pPr>
      <w:r>
        <w:rPr>
          <w:rFonts w:eastAsia="Times New Roman" w:cs="Times New Roman"/>
          <w:color w:val="000000"/>
          <w:sz w:val="26"/>
        </w:rPr>
        <w:t>Thứ tám, xây dựng cơ chế trách nhiệm, chấm dứt và giải quyết tranh chấp. Hợp đồng phải phân biệt lỗi của hệ thống Ví, lỗi tích hợp của thương nhân, lỗi ngân hàng hợp tác, lỗi người dùng và sự kiện bên ngoài. Trách nhiệm bồi thường được xác định trên cơ sở hành vi vi phạm, lỗi, thiệt hại thực tế và quan hệ nhân quả; mức giới hạn trách nhiệm chỉ áp dụng cho nhóm rủi ro được thỏa thuận hợp lý và không che chắn cho hành vi gian lận, cố ý vi phạm, xâm phạm dữ liệu, quyền sở hữu trí tuệ hoặc sử dụng trái phép tiền của khách hàng.</w:t>
      </w:r>
    </w:p>
    <w:p>
      <w:pPr>
        <w:pStyle w:val="Normal"/>
        <w:spacing w:lineRule="auto" w:line="312" w:before="0" w:after="120"/>
        <w:ind w:firstLine="567"/>
        <w:jc w:val="both"/>
        <w:rPr/>
      </w:pPr>
      <w:r>
        <w:rPr>
          <w:rFonts w:eastAsia="Times New Roman" w:cs="Times New Roman"/>
          <w:color w:val="000000"/>
          <w:sz w:val="26"/>
        </w:rPr>
        <w:t>Điều khoản chấm dứt phải quy định trường hợp hết hạn, vi phạm không khắc phục, mất hoặc thu hẹp giấy phép, rủi ro an ninh nghiêm trọng, mất khả năng thanh toán và yêu cầu của cơ quan có thẩm quyền. Kế hoạch thoát phải bao gồm ngừng cấp lệnh mới, hoàn tất giao dịch đang xử lý, đối soát công nợ, xử lý khiếu nại, thu hồi khóa API, hoàn trả hoặc xóa dữ liệu, tiếp tục bảo mật và hỗ trợ chuyển đổi trong thời hạn hợp lý. Tranh chấp trước hết được thương lượng và đối soát chứng cứ điện tử; nếu không giải quyết được thì chuyển đến cơ quan tài phán đã được thỏa thuận.</w:t>
      </w:r>
    </w:p>
    <w:p>
      <w:pPr>
        <w:pStyle w:val="Heading3"/>
        <w:keepNext w:val="true"/>
        <w:spacing w:before="120" w:after="100"/>
        <w:rPr/>
      </w:pPr>
      <w:r>
        <w:rPr>
          <w:rFonts w:eastAsia="Times New Roman" w:cs="Times New Roman" w:ascii="Times New Roman" w:hAnsi="Times New Roman"/>
          <w:b/>
          <w:color w:val="000000"/>
          <w:sz w:val="26"/>
        </w:rPr>
        <w:t>4.8.3. Phạm vi dịch vụ.</w:t>
      </w:r>
    </w:p>
    <w:p>
      <w:pPr>
        <w:pStyle w:val="Normal"/>
        <w:spacing w:lineRule="auto" w:line="312" w:before="0" w:after="120"/>
        <w:ind w:firstLine="567"/>
        <w:jc w:val="both"/>
        <w:rPr/>
      </w:pPr>
      <w:r>
        <w:rPr>
          <w:rFonts w:eastAsia="Times New Roman" w:cs="Times New Roman"/>
          <w:color w:val="000000"/>
          <w:sz w:val="26"/>
        </w:rPr>
        <w:t>Phạm vi công việc của chúng tôi được triển khai theo bốn giai đoạn. Giai đoạn một là tiếp nhận tài liệu, phỏng vấn bộ phận pháp chế, kỹ thuật, sản phẩm, tài chính và vận hành để lập bản đồ chủ thể, dữ liệu và dòng tiền. Giai đoạn hai là rà soát giấy phép, mô hình cung ứng ví, hợp đồng với ngân hàng hợp tác, quy trình KYC/AML và các rủi ro pháp lý trọng yếu. Giai đoạn ba là soạn thảo hợp đồng chính cùng các phụ lục kỹ thuật, SLA, phí, dữ liệu và đối soát; tổ chức lấy ý kiến các bộ phận liên quan và chỉnh sửa. Giai đoạn bốn là hỗ trợ đàm phán, hoàn thiện, ký kết, nghiệm thu và tư vấn xử lý các vấn đề phát sinh trong thời gian vận hành ban đầu.</w:t>
      </w:r>
    </w:p>
    <w:p>
      <w:pPr>
        <w:pStyle w:val="Normal"/>
        <w:spacing w:lineRule="auto" w:line="312" w:before="0" w:after="120"/>
        <w:ind w:firstLine="567"/>
        <w:jc w:val="both"/>
        <w:rPr/>
      </w:pPr>
      <w:r>
        <w:rPr>
          <w:rFonts w:eastAsia="Times New Roman" w:cs="Times New Roman"/>
          <w:color w:val="000000"/>
          <w:sz w:val="26"/>
        </w:rPr>
        <w:t>Thứ nhất, về đối tượng áp dụng. Hợp đồng cung cấp dịch vụ API tích hợp Ví điện tử áp dụng cho quan hệ giữa doanh nghiệp cung ứng dịch vụ ví điện tử đã được Ngân hàng Nhà nước cấp phép (sau đây gọi là “Doanh nghiệp”) và thương nhân, nền tảng hoặc đơn vị có nhu cầu tích hợp phương thức thanh toán bằng Ví điện tử  vào website, ứng dụng hoặc hệ thống bán hàng (sau đây gọi là “Bên tích hợp”). Phạm vi điều chỉnh gồm việc cấp và sử dụng tài liệu kỹ thuật, thông tin xác thực, môi trường thử nghiệm và môi trường vận hành chính thức; các chức năng thanh toán, hoàn tiền, tra cứu trạng thái giao dịch, webhook, tra soát và đối soát được liệt kê tại Phụ lục kỹ thuật. Ngân hàng liên kết, khách hàng sử dụng ví và nhà cung cấp hạ tầng không mặc nhiên trở thành bên của Hợp đồng, trừ khi có thỏa thuận riêng bằng văn bản.</w:t>
      </w:r>
    </w:p>
    <w:p>
      <w:pPr>
        <w:pStyle w:val="Normal"/>
        <w:spacing w:lineRule="auto" w:line="312" w:before="0" w:after="120"/>
        <w:ind w:firstLine="567"/>
        <w:jc w:val="both"/>
        <w:rPr/>
      </w:pPr>
      <w:r>
        <w:rPr>
          <w:rFonts w:eastAsia="Times New Roman" w:cs="Times New Roman"/>
          <w:color w:val="000000"/>
          <w:sz w:val="26"/>
        </w:rPr>
        <w:t>Thứ hai, về thời điểm áp dụng và thời hạn hợp đồng. Hợp đồng có hiệu lực kể từ ngày bên ký sau cùng hoàn tất việc ký trực tiếp hoặc xác nhận bằng phương thức điện tử hợp lệ và có thời hạn 12 tháng. Bên tích hợp được sử dụng môi trường thử nghiệm sau khi nhận tài liệu hướng dẫn; việc sử dụng API trên môi trường vận hành chính thức chỉ bắt đầu sau khi hai bên hoàn tất kiểm thử, ký biên bản nghiệm thu và Doanh nghiệp cấp khóa truy cập production. Hợp đồng tự động gia hạn theo từng kỳ 12 tháng nếu không bên nào thông báo chấm dứt bằng văn bản trước ít nhất 30 ngày. Khi Hợp đồng chấm dứt, hai bên phải ngừng tiếp nhận yêu cầu giao dịch mới, hoàn tất giao dịch đang xử lý, đối soát và thanh toán các khoản còn tồn đọng, thu hồi khóa API, xử lý dữ liệu và tiếp tục thực hiện các nghĩa vụ bảo mật, bồi thường, giải quyết khiếu nại hoặc tranh chấp còn hiệu lực theo tính chất của nghĩa vụ.</w:t>
      </w:r>
    </w:p>
    <w:p>
      <w:pPr>
        <w:pStyle w:val="Normal"/>
        <w:spacing w:lineRule="auto" w:line="312" w:before="0" w:after="120"/>
        <w:ind w:firstLine="567"/>
        <w:jc w:val="both"/>
        <w:rPr/>
      </w:pPr>
      <w:r>
        <w:rPr>
          <w:rFonts w:eastAsia="Times New Roman" w:cs="Times New Roman"/>
          <w:color w:val="000000"/>
          <w:sz w:val="26"/>
        </w:rPr>
        <w:t>Thứ ba, giới hạn theo quy định pháp luật. Việc tích hợp và sử dụng API bị giới hạn bởi phạm vi Giấy phép hoạt động cung ứng dịch vụ trung gian thanh toán của Doanh nghiệp, Điều 22 và Điều 26 Nghị định số 52/2024/NĐ-CP, cùng các Điều 21, 24, 25, 26 và 27 Thông tư số 40/2024/TT-NHNN đã được sửa đổi, bổ sung bởi Thông tư số 41/2025/TT-NHNN và được hợp nhất tại Văn bản hợp nhất số 29/VBHN-NHNN. API chỉ là phương thức kết nối kỹ thuật, không phải một dịch vụ trung gian thanh toán độc lập và không làm chuyển giao giấy phép hoặc quyền cung ứng dịch vụ ví điện tử cho Bên tích hợp. Bên tích hợp không được nhân danh Doanh nghiệp để mở hoặc quản lý ví, tự quyết định kết quả nhận biết khách hàng, số dư hay hạn mức; không được giữ tiền của khách hàng, sử dụng tài khoản đảm bảo thanh toán, chia sẻ khóa API hoặc thực hiện chức năng ngoài Phụ lục kỹ thuật. Các giao dịch vẫn phải tuân thủ quy định về nhận biết và xác minh khách hàng, liên kết ví, mục đích sử dụng, hạn mức giao dịch, tài khoản đảm bảo thanh toán, phòng chống rửa tiền, bảo vệ dữ liệu cá nhân, quyền lợi người tiêu dùng và an toàn thông tin. Khi giấy phép, pháp luật, luồng tiền hoặc mô hình tích hợp thay đổi, chức năng bị ảnh hưởng phải tạm dừng cho đến khi được rà soát và phê duyệt hợp lệ.</w:t>
      </w:r>
    </w:p>
    <w:p>
      <w:pPr>
        <w:pStyle w:val="Normal"/>
        <w:spacing w:lineRule="auto" w:line="312" w:before="0" w:after="120"/>
        <w:ind w:firstLine="567"/>
        <w:jc w:val="both"/>
        <w:rPr/>
      </w:pPr>
      <w:r>
        <w:rPr>
          <w:rFonts w:eastAsia="Times New Roman" w:cs="Times New Roman"/>
          <w:color w:val="000000"/>
          <w:sz w:val="26"/>
        </w:rPr>
        <w:t>Thứ tư, phạm vi dịch vụ không bao gồm các chức năng không được liệt kê tại Phụ lục kỹ thuật hoặc vượt quá nội dung Giấy phép; hoạt động nhận tiền gửi, cấp tín dụng, cho vay, phát hành thẻ hoặc kinh doanh ngoại hối; việc Bên tích hợp tự mở ví, thực hiện KYC, quản lý số dư, giữ tiền hoặc vận hành tài khoản đảm bảo thanh toán thay Doanh nghiệp; phát triển mã nguồn riêng cho Bên tích hợp, kiểm toán an toàn hệ thống hoặc kiểm thử xâm nhập; xin cấp mới hoặc điều chỉnh Giấy phép hoạt động cung ứng dịch vụ trung gian thanh toán; đại diện tố tụng; và cam kết về doanh thu, tỷ lệ chuyển đổi hoặc việc mọi giao dịch đều thành công. Công việc ngoài phạm vi chỉ được thực hiện khi hai bên ký phụ lục hoặc hợp đồng riêng, xác định rõ nội dung, phí, thời hạn và trách nhiệm tương ứng.</w:t>
      </w:r>
    </w:p>
    <w:p>
      <w:pPr>
        <w:pStyle w:val="Normal"/>
        <w:spacing w:lineRule="auto" w:line="312" w:before="0" w:after="120"/>
        <w:ind w:firstLine="567"/>
        <w:jc w:val="both"/>
        <w:rPr/>
      </w:pPr>
      <w:r>
        <w:rPr>
          <w:rFonts w:eastAsia="Times New Roman" w:cs="Times New Roman"/>
          <w:color w:val="000000"/>
          <w:sz w:val="26"/>
        </w:rPr>
        <w:t>Trong quá trình thực hiện, luật sư có quyền yêu cầu khách hàng cung cấp thông tin trung thực, đầy đủ và xác nhận các giả định kỹ thuật. Ý kiến pháp lý chỉ áp dụng cho mô hình, tài liệu và pháp luật được xác định tại thời điểm tư vấn. Khi API, luồng tiền, đối tác ngân hàng, phạm vi giấy phép hoặc pháp luật thay đổi, hợp đồng phải được rà soát lại trước khi triển khai chức năng mới.</w:t>
      </w:r>
    </w:p>
    <w:p>
      <w:pPr>
        <w:pStyle w:val="Heading3"/>
        <w:keepNext w:val="true"/>
        <w:spacing w:before="120" w:after="100"/>
        <w:rPr/>
      </w:pPr>
      <w:r>
        <w:rPr>
          <w:rFonts w:eastAsia="Times New Roman" w:cs="Times New Roman" w:ascii="Times New Roman" w:hAnsi="Times New Roman"/>
          <w:b/>
          <w:color w:val="000000"/>
          <w:sz w:val="26"/>
        </w:rPr>
        <w:t>4.8.4. Mục đích và giá trị của dịch vụ.</w:t>
      </w:r>
    </w:p>
    <w:p>
      <w:pPr>
        <w:pStyle w:val="Normal"/>
        <w:spacing w:lineRule="auto" w:line="312" w:before="0" w:after="120"/>
        <w:ind w:firstLine="567"/>
        <w:jc w:val="both"/>
        <w:rPr/>
      </w:pPr>
      <w:r>
        <w:rPr>
          <w:rFonts w:eastAsia="Times New Roman" w:cs="Times New Roman"/>
          <w:color w:val="000000"/>
          <w:sz w:val="26"/>
        </w:rPr>
        <w:t>Thứ nhất, dịch vụ bảo đảm mô hình hợp tác được đặt đúng trong ranh giới pháp luật về ví điện tử. Việc mô tả chính xác đối tượng hợp đồng giúp nhà đầu tư nhận biết đâu là hoạt động công nghệ, đâu là hoạt động trung gian thanh toán có điều kiện và chủ thể nào chịu trách nhiệm. Đây là nền tảng để tránh rủi ro cung ứng vượt giấy phép hoặc chuyển giao trái phép chức năng cốt lõi cho đối tác.</w:t>
      </w:r>
    </w:p>
    <w:p>
      <w:pPr>
        <w:pStyle w:val="Normal"/>
        <w:spacing w:lineRule="auto" w:line="312" w:before="0" w:after="120"/>
        <w:ind w:firstLine="567"/>
        <w:jc w:val="both"/>
        <w:rPr/>
      </w:pPr>
      <w:r>
        <w:rPr>
          <w:rFonts w:eastAsia="Times New Roman" w:cs="Times New Roman"/>
          <w:color w:val="000000"/>
          <w:sz w:val="26"/>
        </w:rPr>
        <w:t>Thứ hai, hợp đồng bảo vệ tiền, dữ liệu và quyền lợi của chủ ví bằng cơ chế kiểm soát có thể kiểm chứng. Các quy định về trạng thái giao dịch, nhật ký hệ thống, KYC, AML, tài khoản đảm bảo, hoàn tiền, tra soát và bảo mật tạo ra chuỗi chứng cứ rõ ràng. Khi có sự cố, doanh nghiệp không phải xử lý theo phán đoán mà có sẵn quy trình, đầu mối, thời hạn và nguyên tắc chịu trách nhiệm.</w:t>
      </w:r>
    </w:p>
    <w:p>
      <w:pPr>
        <w:pStyle w:val="Normal"/>
        <w:spacing w:lineRule="auto" w:line="312" w:before="0" w:after="120"/>
        <w:ind w:firstLine="567"/>
        <w:jc w:val="both"/>
        <w:rPr/>
      </w:pPr>
      <w:r>
        <w:rPr>
          <w:rFonts w:eastAsia="Times New Roman" w:cs="Times New Roman"/>
          <w:color w:val="000000"/>
          <w:sz w:val="26"/>
        </w:rPr>
        <w:t>Thứ ba, hợp đồng chuẩn hóa việc mở rộng mạng lưới thương nhân. Một bộ hợp đồng lõi và các phụ lục mô-đun giúp chúng tôi kết nối nhiều đối tác mà không phải đàm phán lại toàn bộ cấu trúc pháp lý cho từng dự án. Doanh nghiệp có thể hình thành các gói cơ bản, nâng cao và chuyên biệt: gói cơ bản cung cấp thanh toán, hoàn tiền và đối soát; gói nâng cao bổ sung chống gian lận, dashboard, báo cáo đa chi nhánh và SLA cao hơn; gói chuyên biệt bổ sung hỗ trợ tích hợp, giám sát và đầu mối vận hành riêng.</w:t>
      </w:r>
    </w:p>
    <w:p>
      <w:pPr>
        <w:pStyle w:val="Normal"/>
        <w:spacing w:lineRule="auto" w:line="312" w:before="0" w:after="120"/>
        <w:ind w:firstLine="567"/>
        <w:jc w:val="both"/>
        <w:rPr/>
      </w:pPr>
      <w:r>
        <w:rPr>
          <w:rFonts w:eastAsia="Times New Roman" w:cs="Times New Roman"/>
          <w:color w:val="000000"/>
          <w:sz w:val="26"/>
        </w:rPr>
        <w:t>Thứ tư, dịch vụ tạo cơ sở cho doanh thu lặp lại nhưng không đánh đổi tuân thủ. Hợp đồng cho phép thiết kế phí khởi tạo, phí nền tảng, phí giao dịch và phí mô-đun bổ sung một cách minh bạch, đồng thời tách bạch doanh thu dịch vụ với tiền của chủ ví. Đối với nhà đầu tư, giá trị không chỉ nằm ở số lượng kết nối API mà còn ở chất lượng doanh thu, khả năng giữ chân thương nhân, mức độ sử dụng lại và chi phí rủi ro trên mỗi giao dịch.</w:t>
      </w:r>
    </w:p>
    <w:p>
      <w:pPr>
        <w:pStyle w:val="Normal"/>
        <w:spacing w:lineRule="auto" w:line="312" w:before="0" w:after="120"/>
        <w:ind w:firstLine="567"/>
        <w:jc w:val="both"/>
        <w:rPr/>
      </w:pPr>
      <w:r>
        <w:rPr>
          <w:rFonts w:eastAsia="Times New Roman" w:cs="Times New Roman"/>
          <w:color w:val="000000"/>
          <w:sz w:val="26"/>
        </w:rPr>
        <w:t>Thứ năm, hồ sơ hợp đồng đầy đủ nâng cao khả năng thẩm định và gọi vốn. Nhà đầu tư có thể kiểm tra giấy phép, quyền sở hữu công nghệ, quyền sử dụng dữ liệu, trách nhiệm với ngân hàng hợp tác, cơ chế xử lý sự cố và nghĩa vụ tài chính thông qua một hệ thống tài liệu nhất quán. Điều này làm giảm rủi ro pháp lý tiềm ẩn, rút ngắn quá trình thẩm định và cho thấy doanh nghiệp có năng lực tăng trưởng có kiểm soát.</w:t>
      </w:r>
    </w:p>
    <w:p>
      <w:pPr>
        <w:pStyle w:val="Normal"/>
        <w:spacing w:lineRule="auto" w:line="312" w:before="0" w:after="120"/>
        <w:ind w:firstLine="567"/>
        <w:jc w:val="both"/>
        <w:rPr/>
      </w:pPr>
      <w:r>
        <w:rPr>
          <w:rFonts w:eastAsia="Times New Roman" w:cs="Times New Roman"/>
          <w:color w:val="000000"/>
          <w:sz w:val="26"/>
        </w:rPr>
        <w:t>Giá trị cốt lõi của dịch vụ vì vậy không phải là tạo ra một bản hợp đồng dài, mà là chuyển mô hình Ví Thịnh Vượng thành các quyền, nghĩa vụ, giới hạn và quy trình có thể thực hiện, đo lường và chứng minh. API tạo khả năng mở rộng về công nghệ; hợp đồng đúng luật tạo khả năng mở rộng bền vững về thương mại và đầu tư.</w:t>
      </w:r>
    </w:p>
    <w:p>
      <w:pPr>
        <w:pStyle w:val="Heading2"/>
        <w:keepNext w:val="true"/>
        <w:spacing w:before="120" w:after="100"/>
        <w:rPr/>
      </w:pPr>
      <w:r>
        <w:rPr>
          <w:rFonts w:eastAsia="Times New Roman" w:cs="Times New Roman" w:ascii="Times New Roman" w:hAnsi="Times New Roman"/>
          <w:b/>
          <w:color w:val="000000"/>
          <w:sz w:val="26"/>
        </w:rPr>
        <w:t>4.9. Hợp đồng sử dụng dịch vụ ví điện tử liên kết ngân hàng (*).</w:t>
      </w:r>
    </w:p>
    <w:p>
      <w:pPr>
        <w:pStyle w:val="Heading3"/>
        <w:keepNext w:val="true"/>
        <w:spacing w:before="120" w:after="100"/>
        <w:rPr/>
      </w:pPr>
      <w:r>
        <w:rPr>
          <w:rFonts w:eastAsia="Times New Roman" w:cs="Times New Roman" w:ascii="Times New Roman" w:hAnsi="Times New Roman"/>
          <w:b/>
          <w:color w:val="000000"/>
          <w:sz w:val="26"/>
        </w:rPr>
        <w:t>4.9.1. Giới thiệu dịch vụ.</w:t>
      </w:r>
    </w:p>
    <w:p>
      <w:pPr>
        <w:pStyle w:val="Normal"/>
        <w:spacing w:lineRule="auto" w:line="312" w:before="0" w:after="120"/>
        <w:ind w:firstLine="567"/>
        <w:jc w:val="both"/>
        <w:rPr/>
      </w:pPr>
      <w:r>
        <w:rPr>
          <w:rFonts w:eastAsia="Times New Roman" w:cs="Times New Roman"/>
          <w:color w:val="000000"/>
          <w:sz w:val="26"/>
        </w:rPr>
        <w:t>Hợp đồng sử dụng dịch vụ ví điện tử liên kết ngân hàng là một trong những văn bản pháp lý cơ bản, quan trọng cần phải có ở doanh nghiệp hoạt động trong lĩnh vực cung cấp dịch vụ ví điện tử để giải quyết những rủi ro phát sinh như khiếu nại hoàn tiền, giao dịch trái phép, tranh chấp phí, trách nhiệm khi hệ thống lỗi,...Về bản chất, đây là thỏa thuận giữa bên cung ứng là doanh nghiệp được phép cung ứng dịch vụ ví điện tử, bên sử dụng là khách hàng mở và sử dụng ví điện tử và ngân hàng liên kết - ngân hàng nơi khách hàng có tài khoản đồng Việt Nam hoặc thẻ ghi nợ được liên kết với ví. Có thể hình dung đây là quan hệ pháp lý giữa doanh nghiệp cung ứng ví điện tử với khách hàng sử dụng dịch vụ và giữa doanh nghiệp với ngân hàng liên kết.</w:t>
      </w:r>
    </w:p>
    <w:p>
      <w:pPr>
        <w:pStyle w:val="Normal"/>
        <w:spacing w:lineRule="auto" w:line="312" w:before="0" w:after="120"/>
        <w:ind w:firstLine="567"/>
        <w:jc w:val="both"/>
        <w:rPr/>
      </w:pPr>
      <w:r>
        <w:rPr>
          <w:rFonts w:eastAsia="Times New Roman" w:cs="Times New Roman"/>
          <w:color w:val="000000"/>
          <w:sz w:val="26"/>
        </w:rPr>
        <w:t>Căn cứ vào Nghị định 52/2024/NĐ-CP: Quy định chung về hoạt động thanh toán không dùng tiền mặt, Thông tư 40/2024/TT-NHNN, sửa đổi bổ sung bởi Thông tư 41/2025/TT-NHNN và Văn bản hợp nhất số 29/VBHN-NHNN năm 2025 về hoạt động cung ứng dịch vụ trung gian thanh toán, Thông tư 17/2024/TT-NHNN, sửa đổi bổ sung bởi Thông tư 25/2025/TT-NHNN về việc mở và sử dụng tài khoản thanh toán tại tổ chức cung ứng dịch vụ và thanh toán để xây dựng bộ điều khoản yêu cầu thỏa thuận tối thiểu trong hợp đồng.</w:t>
      </w:r>
    </w:p>
    <w:p>
      <w:pPr>
        <w:pStyle w:val="Heading3"/>
        <w:keepNext w:val="true"/>
        <w:spacing w:before="120" w:after="100"/>
        <w:rPr/>
      </w:pPr>
      <w:r>
        <w:rPr>
          <w:rFonts w:eastAsia="Times New Roman" w:cs="Times New Roman" w:ascii="Times New Roman" w:hAnsi="Times New Roman"/>
          <w:b/>
          <w:color w:val="000000"/>
          <w:sz w:val="26"/>
        </w:rPr>
        <w:t>4.9.2. Nội dung dịch vụ.</w:t>
      </w:r>
    </w:p>
    <w:p>
      <w:pPr>
        <w:pStyle w:val="Normal"/>
        <w:spacing w:lineRule="auto" w:line="312" w:before="0" w:after="120"/>
        <w:ind w:firstLine="567"/>
        <w:jc w:val="both"/>
        <w:rPr/>
      </w:pPr>
      <w:r>
        <w:rPr>
          <w:rFonts w:eastAsia="Times New Roman" w:cs="Times New Roman"/>
          <w:color w:val="000000"/>
          <w:sz w:val="26"/>
        </w:rPr>
        <w:t>Trước hết, hợp đồng xác lập quyền của khách hàng được sử dụng hệ thống ví điện tử của doanh nghiệp theo quy định của Nghị định 52/2024/NĐ-CP: Quy định chung về hoạt động thanh toán không dùng tiền mặt, bao gồm những điều khoản quy định về phương thức nạp tiền và rút tiền, phương thức thanh toán cũng như điều kiện nạp tiền, rút tiền ra khỏi ví, hạn mức, các giao dịch bị cấm và hạn chế,...</w:t>
      </w:r>
    </w:p>
    <w:p>
      <w:pPr>
        <w:pStyle w:val="Normal"/>
        <w:spacing w:lineRule="auto" w:line="312" w:before="0" w:after="120"/>
        <w:ind w:firstLine="567"/>
        <w:jc w:val="both"/>
        <w:rPr/>
      </w:pPr>
      <w:r>
        <w:rPr>
          <w:rFonts w:eastAsia="Times New Roman" w:cs="Times New Roman"/>
          <w:color w:val="000000"/>
          <w:sz w:val="26"/>
        </w:rPr>
        <w:t>Tiếp theo, căn cứ vào Thông tư 40/2024/TT-NHNN, sửa đổi bổ sung bởi Thông tư 41/2025/TT-NHNN và Văn bản hợp nhất số 29/VBHN-NHNN năm 2025 về hoạt động cung ứng dịch vụ trung gian thanh toán để xây dựng quyền và nghĩa vụ của hai bên. Theo đó, doanh nghiệp phải có nghĩa vụ cam kết về duy trì bảo đảm hệ thống an toàn, bảo mật, cung cấp dịch vụ thông tin về số dư và giao dịch, cung cấp dịch vụ theo đúng phạm vị được phép, tiếp nhận và xử lý lỗi hệ thống, khiếu nại, xác thực khách hàng,... Trong trường hợp tài khoản bị xâm nhập, nghi ngờ gian lận giao dịch, phát hiện giao dịch bất thường hay vi phạm điều kiện sử dụng hợp đồng sẽ quy định điều khoản cho phép doanh nghiệp can thiệp xử lý. Đồng thời, khách hàng cũng cần phải cung cấp thông tin tài khoản ngân hàng liên kết chính xác, cập nhật thông tin khi có thay đổi, sử dụng ví đúng mục đích không thực hiện giao dịch trái phép, tuân thủ hạn mức, nộp phí (nếu có),... Ngoài ra, hợp đồng cũng bao gồm những điều khoản khi liên kết ngân hàng về điều kiện liên kết, phương thức xác thực, trường hợp hủy liên kết hay thay đổi tài khoản ngân hàng, giao dịch qua tài khoản liên kết và trách nhiệm khi ngân hàng hoặc ví xảy ra sự cố gián đoạn trong lúc đang thực hiện giao dịch,...Quy định về xác thực thông tin khách hàng qua quy trình xác minh danh tính, thông tin định danh, thiết bị, tài khoản, OTP, xác thực sinh trắc học,…</w:t>
      </w:r>
    </w:p>
    <w:p>
      <w:pPr>
        <w:pStyle w:val="Heading3"/>
        <w:keepNext w:val="true"/>
        <w:spacing w:before="120" w:after="100"/>
        <w:rPr/>
      </w:pPr>
      <w:r>
        <w:rPr>
          <w:rFonts w:eastAsia="Times New Roman" w:cs="Times New Roman" w:ascii="Times New Roman" w:hAnsi="Times New Roman"/>
          <w:b/>
          <w:color w:val="000000"/>
          <w:sz w:val="26"/>
        </w:rPr>
        <w:t>4.9.3. Phạm vi dịch vụ.</w:t>
      </w:r>
    </w:p>
    <w:p>
      <w:pPr>
        <w:pStyle w:val="Normal"/>
        <w:spacing w:lineRule="auto" w:line="312" w:before="0" w:after="120"/>
        <w:ind w:firstLine="567"/>
        <w:jc w:val="both"/>
        <w:rPr/>
      </w:pPr>
      <w:r>
        <w:rPr>
          <w:rFonts w:eastAsia="Times New Roman" w:cs="Times New Roman"/>
          <w:color w:val="000000"/>
          <w:sz w:val="26"/>
        </w:rPr>
        <w:t>Hợp đồng được áp dụng đối với khách hàng có nhu cầu đăng ký, mở, liên kết, sử dụng và quản lý ví điện tử do doanh nghiệp cung ứng trên cơ sở liên kết với tài khoản thanh toán/thẻ của khách hàng tại ngân hàng. Trong đó, gồm ba bên: Bên cung ứng dịch vụ (doanh nghiệp), khách hàng (cá nhân hoặc tổ chức đáp ứng điều kiện mở và sử dụng ví điện tử theo quy định pháp luật và quy định của doanh nghiệp), ngân hàng liên kết (tham gia kết nối với ví điện tử để thực hiện việc nạp tiền, rút tiền, chuyển tiền, thanh toán).</w:t>
      </w:r>
    </w:p>
    <w:p>
      <w:pPr>
        <w:pStyle w:val="Normal"/>
        <w:spacing w:lineRule="auto" w:line="312" w:before="0" w:after="120"/>
        <w:ind w:firstLine="567"/>
        <w:jc w:val="both"/>
        <w:rPr/>
      </w:pPr>
      <w:r>
        <w:rPr>
          <w:rFonts w:eastAsia="Times New Roman" w:cs="Times New Roman"/>
          <w:color w:val="000000"/>
          <w:sz w:val="26"/>
        </w:rPr>
        <w:t>Hợp đồng có hiệu lực từ ngày ký và được lập thành văn bản. Nếu doanh nghiệp sử dụng hợp đồng điện tử, nên quy định rõ thời điểm khách hàng nhấn “Đồng ý” chấp nhận tất cả các điều khoản của hợp đồng, xác nhận bằng OTP, chữ ký điện tử hoặc phương thức xác thực hợp lệ khác. Hợp đồng sẽ chấm dứt trong các trường hợp sau: khách hàng yêu cầu đóng tài khoản ví điện tử bằng thanh toán liên kết ngân hàng, doanh nghiệp ngừng cung cấp dịch vụ ví điện tử sau khi thông báo trước ít nhất (số ngày)ngày, theo quy định của pháp luật hoặc yêu cầu của các bên. Khi chấm dứt hợp đồng, số dư trong ví được hoàn trả vào tài khoản ngân hàng liên kết.</w:t>
      </w:r>
    </w:p>
    <w:p>
      <w:pPr>
        <w:pStyle w:val="Normal"/>
        <w:spacing w:lineRule="auto" w:line="312" w:before="0" w:after="120"/>
        <w:ind w:firstLine="567"/>
        <w:jc w:val="both"/>
        <w:rPr/>
      </w:pPr>
      <w:r>
        <w:rPr>
          <w:rFonts w:eastAsia="Times New Roman" w:cs="Times New Roman"/>
          <w:color w:val="000000"/>
          <w:sz w:val="26"/>
        </w:rPr>
        <w:t>Việc khách hàng sử dụng dịch vụ ví điện tử liên kết ngân hàng phải được thực hiện trong phạm vi giấy phép hoạt động cung ứng dịch vụ trung gian thanh toán của doanh nghiệp, quy định của Ngân hàng Nhà nước và pháp luật Việt Nam có liên quan. Theo đó, doanh nghiệp phải từ chối cung cấp dịch vụ cho khách hàng trong các trường hợp được quy định tại Điều 24 Thông tư 40/2024/TT-NHNN, sửa đổi bổ sung bởi Thông tư 41/2025/TT-NHNN và Văn bản hợp nhất số 29/VBHN-NHNN năm 2025 và khách hàng phải tuân thủ các quy định sử dụng ví điện tử tại Điều 25, hạn mức tại Điều 26 thông tư này.</w:t>
      </w:r>
    </w:p>
    <w:p>
      <w:pPr>
        <w:pStyle w:val="Normal"/>
        <w:spacing w:lineRule="auto" w:line="312" w:before="0" w:after="120"/>
        <w:ind w:firstLine="567"/>
        <w:jc w:val="both"/>
        <w:rPr/>
      </w:pPr>
      <w:r>
        <w:rPr>
          <w:rFonts w:eastAsia="Times New Roman" w:cs="Times New Roman"/>
          <w:color w:val="000000"/>
          <w:sz w:val="26"/>
        </w:rPr>
        <w:t>Phạm vi dịch vụ không bao gồm việc doanh nghiệp cung cấp thay cho ngân hàng về nhận tiền gửi, phát hành thẻ ngân hàng, tín dụng, cho vay, kinh doanh ngoại hối, các dịch vụ khác không được phép hoạt động. Công ty không cam kết mọi giao dịch của khách hàng đều được thực hiện thành công trong mọi trường hợp, giao dịch có thể bị từ chối, tạm dừng xuất phát từ những nguyên nhân như: lỗi kết nối ngân hàng, tài khoản liên kết không đủ điều kiện, vượt hạn mức,…</w:t>
      </w:r>
    </w:p>
    <w:p>
      <w:pPr>
        <w:pStyle w:val="Heading3"/>
        <w:keepNext w:val="true"/>
        <w:spacing w:before="120" w:after="100"/>
        <w:rPr/>
      </w:pPr>
      <w:r>
        <w:rPr>
          <w:rFonts w:eastAsia="Times New Roman" w:cs="Times New Roman" w:ascii="Times New Roman" w:hAnsi="Times New Roman"/>
          <w:b/>
          <w:color w:val="000000"/>
          <w:sz w:val="26"/>
        </w:rPr>
        <w:t>4.9.4. Mục đích dịch vụ.</w:t>
      </w:r>
    </w:p>
    <w:p>
      <w:pPr>
        <w:pStyle w:val="Normal"/>
        <w:spacing w:lineRule="auto" w:line="312" w:before="0" w:after="120"/>
        <w:ind w:firstLine="567"/>
        <w:jc w:val="both"/>
        <w:rPr/>
      </w:pPr>
      <w:r>
        <w:rPr>
          <w:rFonts w:eastAsia="Times New Roman" w:cs="Times New Roman"/>
          <w:color w:val="000000"/>
          <w:sz w:val="26"/>
        </w:rPr>
        <w:t>Hợp đồng sử dụng dịch vụ ví điện tử liên kết ngân hàng giúp doanh nghiệp giải quyết những rủi ro phát sinh giữa doanh nghiệp, khách hàng và ngân hàng liên kết đồng thời hợp đồng giúp doanh nghiệp xây dựng trước phương án xử lý các tình huống xấu, thay vì chỉ xử lý khi tranh chấp xảy ra.</w:t>
      </w:r>
    </w:p>
    <w:p>
      <w:pPr>
        <w:pStyle w:val="Normal"/>
        <w:spacing w:lineRule="auto" w:line="312" w:before="0" w:after="120"/>
        <w:ind w:firstLine="567"/>
        <w:jc w:val="both"/>
        <w:rPr/>
      </w:pPr>
      <w:r>
        <w:rPr>
          <w:rFonts w:eastAsia="Times New Roman" w:cs="Times New Roman"/>
          <w:color w:val="000000"/>
          <w:sz w:val="26"/>
        </w:rPr>
        <w:t>Thứ nhất, là cơ sở để xác định quyền và nghĩa vụ của mỗi bên trong những trường hợp như: khách hàng được sử dụng những dịch vụ nào, quyền khiếu nại, phải trả những loại phí gì và nếu không trả thì sao, quá trình giao dịch của khách hàng gặp gián đoạn thì trách nhiệm thuộc về hệ thống ví hay của ngân hàng, quyền tạm khóa ví, yêu cầu xác thực nếu hệ thống của ngân hàng và ví từ chối giao dịch bất thường khi có nghi ngờ gian lận, giả mạo,…</w:t>
      </w:r>
    </w:p>
    <w:p>
      <w:pPr>
        <w:pStyle w:val="Normal"/>
        <w:spacing w:lineRule="auto" w:line="312" w:before="0" w:after="120"/>
        <w:ind w:firstLine="567"/>
        <w:jc w:val="both"/>
        <w:rPr/>
      </w:pPr>
      <w:r>
        <w:rPr>
          <w:rFonts w:eastAsia="Times New Roman" w:cs="Times New Roman"/>
          <w:color w:val="000000"/>
          <w:sz w:val="26"/>
        </w:rPr>
        <w:t>Thứ hai, là căn cứ để bảo vệ khách hàng nếu như thông tin của mình bị lộ lọt bởi hệ thống ví hoặc ngân hàng thì khách hàng có thể khiếu nại hoặc yêu cầu bồi thường. Đồng thời, cũng là căn cứ để bảo vệ doanh nghiệp nếu như khách hàng lợi dụng ví điện tử để thực hiện hành vi trái phép như rửa tiền, tài trợ khủng bố,…gây nên tổn thất tài chính, uy tín của doanh nghiệp khi đó cơ quan nhà nước sẽ kiểm tra và ảnh hưởng đến giấy phép hoạt động kinh doanh của doanh nghiệp thì nếu như điều này đã được dự liệu sẵn trong điều khoản của hợp đồng thì trách nhiệm thuộc sẽ thuộc về khách hàng, giảm tổn thất cho doanh nghiệp.</w:t>
      </w:r>
    </w:p>
    <w:p>
      <w:pPr>
        <w:pStyle w:val="Normal"/>
        <w:spacing w:lineRule="auto" w:line="312" w:before="0" w:after="120"/>
        <w:ind w:firstLine="567"/>
        <w:jc w:val="both"/>
        <w:rPr/>
      </w:pPr>
      <w:r>
        <w:rPr>
          <w:rFonts w:eastAsia="Times New Roman" w:cs="Times New Roman"/>
          <w:color w:val="000000"/>
          <w:sz w:val="26"/>
        </w:rPr>
        <w:t>Thứ ba, là công cụ ràng buộc để các bên tuân thủ. Doanh nghiệp hoạt động trong lĩnh vực cung ứng ví điện tử chịu sự quản lý chặt chẽ của Ngân hàng Nhà nước đặt ra nhiều yêu cầu về cấp phép, vận hành, liên kết ngân hàng, quản lý rủi ro, xác minh khách hàng, an toàn dịch vụ và luôn tiềm ẩn rủi ro. Do đó, hợp đồng phải được thiết kế đúng pháp luật một cách chặt chẽ để các bên tuân thủ giảm thiểu rủi ro và đảm bảo an toàn hệ thống ví cho doanh nghiệp.</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5. TƯ VẤN TUÂN THỦ VÀ QUẢN TRỊ RỦI RO PHÁP LÝ.</w:t>
      </w:r>
    </w:p>
    <w:p>
      <w:pPr>
        <w:pStyle w:val="Heading2"/>
        <w:keepNext w:val="true"/>
        <w:spacing w:before="120" w:after="100"/>
        <w:rPr/>
      </w:pPr>
      <w:r>
        <w:rPr>
          <w:rFonts w:eastAsia="Times New Roman" w:cs="Times New Roman" w:ascii="Times New Roman" w:hAnsi="Times New Roman"/>
          <w:b/>
          <w:color w:val="000000"/>
          <w:sz w:val="26"/>
        </w:rPr>
        <w:t>5.1. Chính sách bảo vệ dữ liệu cá nhân (*).</w:t>
      </w:r>
    </w:p>
    <w:p>
      <w:pPr>
        <w:pStyle w:val="Heading3"/>
        <w:keepNext w:val="true"/>
        <w:spacing w:before="120" w:after="100"/>
        <w:rPr/>
      </w:pPr>
      <w:r>
        <w:rPr>
          <w:rFonts w:eastAsia="Times New Roman" w:cs="Times New Roman" w:ascii="Times New Roman" w:hAnsi="Times New Roman"/>
          <w:b/>
          <w:color w:val="000000"/>
          <w:sz w:val="26"/>
        </w:rPr>
        <w:t>5.1.1. Giới thiệu dịch vụ.</w:t>
      </w:r>
    </w:p>
    <w:p>
      <w:pPr>
        <w:pStyle w:val="Normal"/>
        <w:spacing w:lineRule="auto" w:line="312" w:before="0" w:after="120"/>
        <w:ind w:firstLine="567"/>
        <w:jc w:val="both"/>
        <w:rPr/>
      </w:pPr>
      <w:r>
        <w:rPr>
          <w:rFonts w:eastAsia="Times New Roman" w:cs="Times New Roman"/>
          <w:color w:val="000000"/>
          <w:sz w:val="26"/>
        </w:rPr>
        <w:t>Chính sách bảo vệ dữ liệu cá nhân là văn bản pháp lý quy định chi tiết toàn bộ quá trình xử lý dữ liệu của Ví điện tử, bao gồm các bước thu thập, lưu trữ, sử dụng, phân tích, mã hóa và chia sẻ thông tin người dùng. Trong mô hình kinh doanh Fintech cung ứng dịch vụ trung gian thanh toán, hệ thống dữ liệu tục có sự truyền tải, đối soát thông tin qua lại với nhiều bên thứ ba như tổ chức cung cấp giải pháp eKYC, nhà cung cấp dịch vụ máy chủ đám mây và các đơn vị chấp nhận thanh toán. Về bản chất, dữ liệu mà nền tảng Ví điện tử tiếp nhận và quản lý thuộc nhóm dữ liệu cá nhân nhạy cảm, có ảnh hưởng trực tiếp đến an ninh tài chính của người dùng. Các trường thông tin cơ bản bao gồm ảnh chụp căn cước công dân, dữ liệu sinh trắc học khuôn mặt, thông tin tài khoản ngân hàng liên kết, biến động số dư và chi tiết lịch sử giao dịch. Bất kỳ một sự can thiệp trái phép hay lỗ hổng nào trong quá trình lưu trữ đều xâm phạm trực tiếp đến quyền nhân thân và tạo cơ hội cho các hành vi gian lận tài chính. Việc xây dựng một chính sách bảo vệ dữ liệu toàn diện giúp doanh nghiệp thiết lập kỷ luật vận hành nội bộ, hợp pháp hóa hoạt động thu thập thông tin người dùng theo quy định tại Luật Bảo vệ dữ liệu cá nhân số 91/2025/QH15 và Nghị định 356/2025/NĐ-CP và xây dựng nền tảng niềm tin vững chắc với khách hàng khi sử dụng dịch vụ cũng như đáp ứng tiêu chuẩn của các đối tác tài chính, ngân hàng.</w:t>
      </w:r>
    </w:p>
    <w:p>
      <w:pPr>
        <w:pStyle w:val="Heading3"/>
        <w:keepNext w:val="true"/>
        <w:spacing w:before="120" w:after="100"/>
        <w:rPr/>
      </w:pPr>
      <w:r>
        <w:rPr>
          <w:rFonts w:eastAsia="Times New Roman" w:cs="Times New Roman" w:ascii="Times New Roman" w:hAnsi="Times New Roman"/>
          <w:b/>
          <w:color w:val="000000"/>
          <w:sz w:val="26"/>
        </w:rPr>
        <w:t>5.1.2. Nội dung dịch vụ.</w:t>
      </w:r>
    </w:p>
    <w:p>
      <w:pPr>
        <w:pStyle w:val="Normal"/>
        <w:spacing w:lineRule="auto" w:line="312" w:before="0" w:after="120"/>
        <w:ind w:firstLine="567"/>
        <w:jc w:val="both"/>
        <w:rPr/>
      </w:pPr>
      <w:r>
        <w:rPr>
          <w:rFonts w:eastAsia="Times New Roman" w:cs="Times New Roman"/>
          <w:color w:val="000000"/>
          <w:sz w:val="26"/>
        </w:rPr>
        <w:t>Thứ nhất, soạn thảo bản Chính sách Bảo vệ dữ liệu cá nhân chuẩn chỉnh, minh bạch để hiển thị công khai trên giao diện (App và Website). Chính sách quy định rõ mục đích thu thập, phạm vi dữ liệu, thời gian lưu trữ và cơ chế để người dùng thực hiện các quyền (truy cập, chỉnh sửa, xóa dữ liệu, rút lại sự đồng ý). Đồng thời, tư vấn chuẩn hóa luồng hiển thị (UI/UX) trên ứng dụng để việc thu thập sự đồng ý hợp pháp được thực hiện.</w:t>
      </w:r>
    </w:p>
    <w:p>
      <w:pPr>
        <w:pStyle w:val="Normal"/>
        <w:spacing w:lineRule="auto" w:line="312" w:before="0" w:after="120"/>
        <w:ind w:firstLine="567"/>
        <w:jc w:val="both"/>
        <w:rPr/>
      </w:pPr>
      <w:r>
        <w:rPr>
          <w:rFonts w:eastAsia="Times New Roman" w:cs="Times New Roman"/>
          <w:color w:val="000000"/>
          <w:sz w:val="26"/>
        </w:rPr>
        <w:t>Thứ hai, tư vấn và soạn thảo các điều khoản ràng buộc trách nhiệm pháp lý với các bên thứ ba tham gia vào luồng xử lý dữ liệu (nhà cung cấp máy chủ đám mây, đối tác giải pháp eKYC, các đơn vị chấp nhận thanh toán và tổ chức tín dụng liên kết).</w:t>
      </w:r>
    </w:p>
    <w:p>
      <w:pPr>
        <w:pStyle w:val="Normal"/>
        <w:spacing w:lineRule="auto" w:line="312" w:before="0" w:after="120"/>
        <w:ind w:firstLine="567"/>
        <w:jc w:val="both"/>
        <w:rPr/>
      </w:pPr>
      <w:r>
        <w:rPr>
          <w:rFonts w:eastAsia="Times New Roman" w:cs="Times New Roman"/>
          <w:color w:val="000000"/>
          <w:sz w:val="26"/>
        </w:rPr>
        <w:t>Thứ ba, xây dựng các quy chế bảo mật thông tin và cơ chế phân quyền truy cập dữ liệu nội bộ rõ ràng cho từng phòng ban, đảm bảo an toàn cho các dữ liệu quan trọng như hồ sơ KYC, lịch sử giao dịch.</w:t>
      </w:r>
    </w:p>
    <w:p>
      <w:pPr>
        <w:pStyle w:val="Normal"/>
        <w:spacing w:lineRule="auto" w:line="312" w:before="0" w:after="120"/>
        <w:ind w:firstLine="567"/>
        <w:jc w:val="both"/>
        <w:rPr/>
      </w:pPr>
      <w:r>
        <w:rPr>
          <w:rFonts w:eastAsia="Times New Roman" w:cs="Times New Roman"/>
          <w:color w:val="000000"/>
          <w:sz w:val="26"/>
        </w:rPr>
        <w:t>Thứ tư, cung cấp biểu mẫu, rà soát pháp lý và hỗ trợ chuẩn hóa Hồ sơ Đánh giá tác động xử lý dữ liệu cá nhân (bao gồm cả hồ sơ chuyển dữ liệu ra nước ngoài) để doanh nghiệp nộp cho cơ quan nhà nước, kèm theo quy trình hướng dẫn gửi thông báo khi xảy ra sự cố rò rỉ.</w:t>
      </w:r>
    </w:p>
    <w:p>
      <w:pPr>
        <w:pStyle w:val="Heading3"/>
        <w:keepNext w:val="true"/>
        <w:spacing w:before="120" w:after="100"/>
        <w:rPr/>
      </w:pPr>
      <w:r>
        <w:rPr>
          <w:rFonts w:eastAsia="Times New Roman" w:cs="Times New Roman" w:ascii="Times New Roman" w:hAnsi="Times New Roman"/>
          <w:b/>
          <w:color w:val="000000"/>
          <w:sz w:val="26"/>
        </w:rPr>
        <w:t>5.1.3. Phạm vi dịch vụ.</w:t>
      </w:r>
    </w:p>
    <w:p>
      <w:pPr>
        <w:pStyle w:val="Normal"/>
        <w:spacing w:lineRule="auto" w:line="312" w:before="0" w:after="120"/>
        <w:ind w:firstLine="567"/>
        <w:jc w:val="both"/>
        <w:rPr/>
      </w:pPr>
      <w:r>
        <w:rPr>
          <w:rFonts w:eastAsia="Times New Roman" w:cs="Times New Roman"/>
          <w:color w:val="000000"/>
          <w:sz w:val="26"/>
        </w:rPr>
        <w:t>Trọng tâm cốt lõi của dịch vụ là việc soạn thảo bản Chính sách bảo vệ dữ liệu cá nhân chuẩn chỉnh, minh bạch và đáp ứng tuyệt đối các yêu cầu của pháp luật. Song song với đó, đối với nền tảng giao diện người dùng, dịch vụ hỗ trợ trực tiếp làm việc với đội ngũ IT/Product để tư vấn tối ưu luồng hiển thị (UI/UX) trên ứng dụng. Việc tối ưu các bước hiển thị như pop-up, checkbox giúp cơ chế lấy sự đồng ý của khách hàng diễn ra hợp pháp, loại bỏ các giao diện gây hiểu lầm dẫn đến rủi ro thanh tra. Đồng thời, dịch vụ cung cấp hướng dẫn cách gửi thông báo hợp lệ cho người dùng khi chính sách có sự thay đổi hoặc khi xảy ra sự cố.</w:t>
      </w:r>
    </w:p>
    <w:p>
      <w:pPr>
        <w:pStyle w:val="Normal"/>
        <w:spacing w:lineRule="auto" w:line="312" w:before="0" w:after="120"/>
        <w:ind w:firstLine="567"/>
        <w:jc w:val="both"/>
        <w:rPr/>
      </w:pPr>
      <w:r>
        <w:rPr>
          <w:rFonts w:eastAsia="Times New Roman" w:cs="Times New Roman"/>
          <w:color w:val="000000"/>
          <w:sz w:val="26"/>
        </w:rPr>
        <w:t>Bên cạnh các chính sách hướng tới người dùng và các điều khoản ràng buộc pháp lý với đối tác thứ ba, dịch vụ còn thiết lập các quy chế bảo mật thông tin và cơ chế phân quyền truy cập dữ liệu nội bộ rõ ràng cho từng phòng ban. Việc này đảm bảo nguyên tắc chỉ những cá nhân có thẩm quyền mới được phép tiếp cận các đối tượng dữ liệu quan trọng của khách hàng như hồ sơ KYC, lịch sử giao dịch.</w:t>
      </w:r>
    </w:p>
    <w:p>
      <w:pPr>
        <w:pStyle w:val="Normal"/>
        <w:spacing w:lineRule="auto" w:line="312" w:before="0" w:after="120"/>
        <w:ind w:firstLine="567"/>
        <w:jc w:val="both"/>
        <w:rPr/>
      </w:pPr>
      <w:r>
        <w:rPr>
          <w:rFonts w:eastAsia="Times New Roman" w:cs="Times New Roman"/>
          <w:color w:val="000000"/>
          <w:sz w:val="26"/>
        </w:rPr>
        <w:t>Đặc biệt, đối với Hồ sơ Đánh giá tác động xử lý dữ liệu cá nhân (DPIA), bao gồm cả hồ sơ chuyển dữ liệu ra nước ngoài nếu sử dụng máy chủ quốc tế, dịch vụ chỉ đóng vai trò hỗ trợ pháp lý: cung cấp biểu mẫu chuẩn định, xây dựng các lập luận pháp lý, đồng thời hướng dẫn và chuẩn hóa các dữ liệu kỹ thuật do bộ phận IT của quý công ty cung cấp để tổng hợp thành một bộ hồ sơ hoàn chỉnh. Toàn bộ bản Chính sách bảo vệ dữ liệu, quy chế vận hành và bộ hồ sơ DPIA đều được xây dựng dựa trên sự tuân thủ nghiêm ngặt khuôn khổ của Luật Bảo vệ dữ liệu cá nhân số 91/2025/QH15 và Nghị định 356/2025/NĐ-CP, Luật An toàn thông tin mạng và các quy định bảo mật chuyên ngành của Ngân hàng Nhà nước, qua đó chuẩn bị sẵn sàng để quý công ty tự thực hiện thủ tục nộp lên Cục An ninh mạng và phòng, chống tội phạm sử dụng công nghệ cao (Bộ Công an) theo yêu cầu tại Khoản 4 Điều 24 Nghị định.</w:t>
      </w:r>
    </w:p>
    <w:p>
      <w:pPr>
        <w:pStyle w:val="Normal"/>
        <w:spacing w:lineRule="auto" w:line="312" w:before="0" w:after="120"/>
        <w:ind w:firstLine="567"/>
        <w:jc w:val="both"/>
        <w:rPr/>
      </w:pPr>
      <w:r>
        <w:rPr>
          <w:rFonts w:eastAsia="Times New Roman" w:cs="Times New Roman"/>
          <w:color w:val="000000"/>
          <w:sz w:val="26"/>
        </w:rPr>
        <w:t>Về thời điểm áp dụng, lộ trình cung cấp dịch vụ được xây dựng liên tục, trải dài từ khâu thẩm định hiện trạng, soạn thảo Chính sách bảo vệ dữ liệu cá nhân, đến việc tư vấn tối ưu luồng giao diện trên ứng dụng và kéo dài cho tới khi hoàn tất nghiệm thu, bàn giao bộ hồ sơ DPIA. Sau các mốc này, dịch vụ vẫn tiếp tục duy trì cơ chế tư vấn thường trực nhằm hướng dẫn quy trình thông báo khẩn cấp khi phát sinh sự cố rò rỉ thông tin trong suốt thời hạn hiệu lực của hợp đồng.</w:t>
      </w:r>
    </w:p>
    <w:p>
      <w:pPr>
        <w:pStyle w:val="Normal"/>
        <w:spacing w:lineRule="auto" w:line="312" w:before="0" w:after="120"/>
        <w:ind w:firstLine="567"/>
        <w:jc w:val="both"/>
        <w:rPr/>
      </w:pPr>
      <w:r>
        <w:rPr>
          <w:rFonts w:eastAsia="Times New Roman" w:cs="Times New Roman"/>
          <w:color w:val="000000"/>
          <w:sz w:val="26"/>
        </w:rPr>
        <w:t>Phạm vi dịch vụ không bao gồm việc đại diện doanh nghiệp trực tiếp nộp hồ sơ hay giải trình với Cục An ninh mạng và phòng, chống tội phạm sử dụng công nghệ cao (Bộ Công an). Dịch vụ cũng không đi vào thẩm định sâu vào kiến trúc cơ sở dữ liệu (backend) hay mã nguồn hệ thống; toàn bộ tư vấn sẽ được thực hiện dựa trên các mô tả kỹ thuật do quý công ty chủ động cung cấp. Cuối cùng, dịch vụ không bao gồm việc đại diện tham gia làm việc với Cơ quan điều tra nếu sự cố rò rỉ dữ liệu chuyển biến thành vụ án hình sự và không chịu trách nhiệm liên đới đối với các quyết định xử phạt vi phạm hành chính hay bồi thường thiệt hại nếu sự cố xuất phát từ việc công ty vận hành sai lệch, không tuân thủ đúng các khuyến nghị pháp lý đã được tư vấn.</w:t>
      </w:r>
    </w:p>
    <w:p>
      <w:pPr>
        <w:pStyle w:val="Heading3"/>
        <w:keepNext w:val="true"/>
        <w:spacing w:before="120" w:after="100"/>
        <w:rPr/>
      </w:pPr>
      <w:r>
        <w:rPr>
          <w:rFonts w:eastAsia="Times New Roman" w:cs="Times New Roman" w:ascii="Times New Roman" w:hAnsi="Times New Roman"/>
          <w:b/>
          <w:color w:val="000000"/>
          <w:sz w:val="26"/>
        </w:rPr>
        <w:t>5.1.4. Mục đích dịch vụ.</w:t>
      </w:r>
    </w:p>
    <w:p>
      <w:pPr>
        <w:pStyle w:val="Normal"/>
        <w:spacing w:lineRule="auto" w:line="312" w:before="0" w:after="120"/>
        <w:ind w:firstLine="567"/>
        <w:jc w:val="both"/>
        <w:rPr/>
      </w:pPr>
      <w:r>
        <w:rPr>
          <w:rFonts w:eastAsia="Times New Roman" w:cs="Times New Roman"/>
          <w:color w:val="000000"/>
          <w:sz w:val="26"/>
        </w:rPr>
        <w:t>Việc xây dựng một hệ thống chính sách chuẩn mực giúp doanh nghiệp của nhà đầu tư có thể chủ động kiểm soát và giảm thiểu tối đa các rủi ro pháp lý nghiêm trọng. Thiếu sót trong bảo vệ dữ liệu có thể dẫn đến hậu quả như bị phạt tiền nặng, đình chỉ hoạt động xử lý dữ liệu, thu hồi giấy phép hoạt động hoặc thậm chí truy cứu trách nhiệm hình sự theo Nghị định 13 khi xảy ra sự cố rò rỉ.</w:t>
      </w:r>
    </w:p>
    <w:p>
      <w:pPr>
        <w:pStyle w:val="Normal"/>
        <w:spacing w:lineRule="auto" w:line="312" w:before="0" w:after="120"/>
        <w:ind w:firstLine="567"/>
        <w:jc w:val="both"/>
        <w:rPr/>
      </w:pPr>
      <w:r>
        <w:rPr>
          <w:rFonts w:eastAsia="Times New Roman" w:cs="Times New Roman"/>
          <w:color w:val="000000"/>
          <w:sz w:val="26"/>
        </w:rPr>
        <w:t>Ở góc độ chiến lược kinh doanh, việc sở hữu quy trình bảo mật và khung pháp lý xử lý dữ liệu cá nhân chặt chẽ sẽ giải quyết bài toán hội nhập hạ tầng tài chính. Đây là điều kiện thiết yếu giúp doanh nghiệp dễ dàng vượt qua các vòng thẩm định kỹ thuật và pháp lý khi kết nối API sâu vào hệ thống Core Banking của các ngân hàng thương mại hay các đối tác cung cấp dịch vụ đám mây quốc tế. Đồng thời, sự minh bạch trong việc bảo vệ dữ liệu là minh chứng rõ nét nhất cho năng lực quản trị rủi ro chuyên nghiệp, tạo lợi thế đàm phán cực lớn để nâng cao định giá công ty khi có nhu cầu gọi vốn từ các quỹ đầu tư quốc tế.</w:t>
      </w:r>
    </w:p>
    <w:p>
      <w:pPr>
        <w:pStyle w:val="Heading2"/>
        <w:keepNext w:val="true"/>
        <w:spacing w:before="120" w:after="100"/>
        <w:rPr/>
      </w:pPr>
      <w:r>
        <w:rPr>
          <w:rFonts w:eastAsia="Times New Roman" w:cs="Times New Roman" w:ascii="Times New Roman" w:hAnsi="Times New Roman"/>
          <w:b/>
          <w:color w:val="000000"/>
          <w:sz w:val="26"/>
        </w:rPr>
        <w:t>5.2. Quy trình xử lý khiếu nại và tra soát (*).</w:t>
      </w:r>
    </w:p>
    <w:p>
      <w:pPr>
        <w:pStyle w:val="Heading3"/>
        <w:keepNext w:val="true"/>
        <w:spacing w:before="120" w:after="100"/>
        <w:rPr/>
      </w:pPr>
      <w:r>
        <w:rPr>
          <w:rFonts w:eastAsia="Times New Roman" w:cs="Times New Roman" w:ascii="Times New Roman" w:hAnsi="Times New Roman"/>
          <w:b/>
          <w:color w:val="000000"/>
          <w:sz w:val="26"/>
        </w:rPr>
        <w:t>5.2.1. Giới thiệu dịch vụ.</w:t>
      </w:r>
    </w:p>
    <w:p>
      <w:pPr>
        <w:pStyle w:val="Normal"/>
        <w:spacing w:lineRule="auto" w:line="312" w:before="0" w:after="120"/>
        <w:ind w:firstLine="567"/>
        <w:jc w:val="both"/>
        <w:rPr/>
      </w:pPr>
      <w:r>
        <w:rPr>
          <w:rFonts w:eastAsia="Times New Roman" w:cs="Times New Roman"/>
          <w:color w:val="000000"/>
          <w:sz w:val="26"/>
        </w:rPr>
        <w:t>Trong quá trình vận hành, doanh nghiệp không chỉ cần luật sư khi đã có tranh chấp, bị thanh tra, bị đối tác chậm thanh toán hoặc phát sinh khiếu nại lao động. Đây là dịch vụ tư vấn thường xuyên, đồng hành cùng công ty trong suốt quá trình tiếp nhận, xử lý khiếu nại và giải quyết các sự cố phát sinh của ví điện tử (e-wallet). Ví điện tử là sản phẩm trung gian thanh toán chịu sự quản lý chặt chẽ của Ngân hàng Nhà nước (NHNN) và nhiều quy định pháp luật liên ngành (bảo vệ quyền lợi người tiêu dùng, phòng chống rửa tiền, an ninh mạng...), nên đòi hỏi tư vấn có chuyên môn sâu và cập nhật liên tục, thay vì tư vấn một lần. Thay vì chỉ xử lý pháp lý theo từng vụ việc riêng lẻ, doanh nghiệp có thể có một đầu mối pháp lý đồng hành định kỳ, hiểu mô hình hoạt động, nắm hồ sơ, theo sát giao dịch và hỗ trợ ban lãnh đạo kiểm soát rủi ro trong quá trình kinh doanh.</w:t>
      </w:r>
    </w:p>
    <w:p>
      <w:pPr>
        <w:pStyle w:val="Heading3"/>
        <w:keepNext w:val="true"/>
        <w:spacing w:before="120" w:after="100"/>
        <w:rPr/>
      </w:pPr>
      <w:r>
        <w:rPr>
          <w:rFonts w:eastAsia="Times New Roman" w:cs="Times New Roman" w:ascii="Times New Roman" w:hAnsi="Times New Roman"/>
          <w:b/>
          <w:color w:val="000000"/>
          <w:sz w:val="26"/>
        </w:rPr>
        <w:t>5.2.2. Nội dung dịch vụ.</w:t>
      </w:r>
    </w:p>
    <w:p>
      <w:pPr>
        <w:pStyle w:val="Normal"/>
        <w:spacing w:lineRule="auto" w:line="312" w:before="0" w:after="120"/>
        <w:ind w:firstLine="567"/>
        <w:jc w:val="both"/>
        <w:rPr/>
      </w:pPr>
      <w:r>
        <w:rPr>
          <w:rFonts w:eastAsia="Times New Roman" w:cs="Times New Roman"/>
          <w:color w:val="000000"/>
          <w:sz w:val="26"/>
        </w:rPr>
        <w:t>Tầng 1: Tiếp nhận, Phân loại &amp; Xử lý Tuyến đầu Xây dựng Bộ Quy tắc Bán hàng &amp; Ứng xử để đóng gói kịch bản phản hồi cho bộ phận CSKH/Telesales, đảm bảo từng câu từ không phát sinh nghĩa vụ pháp lý ngoài ý muốn hoặc vi phạm quy định về quảng cáo dịch vụ tài chính. Đồng thời, thực hiện phân loại rủi ro lập tức thành Nhóm A (Lỗi hệ thống/Kỹ thuật: treo tiền, hạch toán trùng, không gạch nợ), Nhóm B (Tranh chấp Thương mại: người mua không nhận được hàng từ Merchant, khiếu nại dịch vụ bên thứ ba) và Nhóm C (Nghi vấn Gian lận/Tội phạm: nghi ngờ hack tài khoản, lừa đảo chuyển tiền, KYC giả). Thiết lập hệ thống thời gian phản hồi chuẩn hóa (Legal SLA) cam kết các mốc thời gian tiếp nhận và xử lý sự cố chuẩn pháp lý (ví dụ: phản hồi trong 24h, tra soát tối đa 30-45 ngày làm việc theo quy định NHNN).</w:t>
      </w:r>
    </w:p>
    <w:p>
      <w:pPr>
        <w:pStyle w:val="Normal"/>
        <w:spacing w:lineRule="auto" w:line="312" w:before="0" w:after="120"/>
        <w:ind w:firstLine="567"/>
        <w:jc w:val="both"/>
        <w:rPr/>
      </w:pPr>
      <w:r>
        <w:rPr>
          <w:rFonts w:eastAsia="Times New Roman" w:cs="Times New Roman"/>
          <w:color w:val="000000"/>
          <w:sz w:val="26"/>
        </w:rPr>
        <w:t>Tầng 2: Thẩm định &amp; Xử lý Chuyên sâu Thiết lập cơ chế phong tỏa và tạm dừng giao dịch, xây dựng quy trình vận hành chuẩn cho phép bộ phận Pháp chế/Rủi ro tạm khóa tài khoản hoặc phong tỏa số dư nghi vấn đúng căn cứ pháp lý để tránh bị người dùng kiện ngược về hành vi "chiếm dụng tài sản trái phép". Xây dựng quy trình phối hợp xử lý đa bên, bao gồm phối hợp với Ngân hàng liên kết và Trung tâm chuyển mạch để tra soát dòng tiền, cũng như phối hợp với Đơn vị chấp nhận thanh toán trong việc giữ lại tiền thanh toán khi có khiếu nại gian lận.</w:t>
      </w:r>
    </w:p>
    <w:p>
      <w:pPr>
        <w:pStyle w:val="Normal"/>
        <w:spacing w:lineRule="auto" w:line="312" w:before="0" w:after="120"/>
        <w:ind w:firstLine="567"/>
        <w:jc w:val="both"/>
        <w:rPr/>
      </w:pPr>
      <w:r>
        <w:rPr>
          <w:rFonts w:eastAsia="Times New Roman" w:cs="Times New Roman"/>
          <w:color w:val="000000"/>
          <w:sz w:val="26"/>
        </w:rPr>
        <w:t>Tầng 3: Xử lý Tranh chấp Bậc cao &amp; Đại diện Pháp lý Xây dựng quy trình báo cáo, giải trình chuyên nghiệp (Giải trình Pháp lý với cơ quan có thẩm quyền) khi người dùng nộp đơn khiếu nại lên Cục Cạnh tranh và Bảo vệ người tiêu dùng hoặc Thanh tra NHNN.</w:t>
      </w:r>
    </w:p>
    <w:p>
      <w:pPr>
        <w:pStyle w:val="Heading3"/>
        <w:keepNext w:val="true"/>
        <w:spacing w:before="120" w:after="100"/>
        <w:rPr/>
      </w:pPr>
      <w:r>
        <w:rPr>
          <w:rFonts w:eastAsia="Times New Roman" w:cs="Times New Roman" w:ascii="Times New Roman" w:hAnsi="Times New Roman"/>
          <w:b/>
          <w:color w:val="000000"/>
          <w:sz w:val="26"/>
        </w:rPr>
        <w:t>5.2.3. Phạm vi dịch vụ.</w:t>
      </w:r>
    </w:p>
    <w:p>
      <w:pPr>
        <w:pStyle w:val="Normal"/>
        <w:spacing w:lineRule="auto" w:line="312" w:before="0" w:after="120"/>
        <w:ind w:firstLine="567"/>
        <w:jc w:val="both"/>
        <w:rPr/>
      </w:pPr>
      <w:r>
        <w:rPr>
          <w:rFonts w:eastAsia="Times New Roman" w:cs="Times New Roman"/>
          <w:color w:val="000000"/>
          <w:sz w:val="26"/>
        </w:rPr>
        <w:t>Phạm vi dịch vụ bao gồm tiếp nhận, phân loại, theo dõi và phối hợp xử lý khiếu nại, tra soát liên quan đến giao dịch ví điện tử; không thay thế thẩm quyền giải quyết của cơ quan nhà nước, cơ quan tài phán hoặc nghĩa vụ kỹ thuật của đơn vị vận hành hệ thống.</w:t>
      </w:r>
    </w:p>
    <w:p>
      <w:pPr>
        <w:pStyle w:val="Heading3"/>
        <w:keepNext w:val="true"/>
        <w:spacing w:before="120" w:after="100"/>
        <w:rPr/>
      </w:pPr>
      <w:r>
        <w:rPr>
          <w:rFonts w:eastAsia="Times New Roman" w:cs="Times New Roman" w:ascii="Times New Roman" w:hAnsi="Times New Roman"/>
          <w:b/>
          <w:color w:val="000000"/>
          <w:sz w:val="26"/>
        </w:rPr>
        <w:t>5.2.4. Mục đích dịch vụ.</w:t>
      </w:r>
    </w:p>
    <w:p>
      <w:pPr>
        <w:pStyle w:val="Normal"/>
        <w:spacing w:lineRule="auto" w:line="312" w:before="0" w:after="120"/>
        <w:ind w:firstLine="567"/>
        <w:jc w:val="both"/>
        <w:rPr/>
      </w:pPr>
      <w:r>
        <w:rPr>
          <w:rFonts w:eastAsia="Times New Roman" w:cs="Times New Roman"/>
          <w:color w:val="000000"/>
          <w:sz w:val="26"/>
        </w:rPr>
        <w:t>Dịch vụ giúp doanh nghiệp tránh rủi ro bị xử phạt hành chính hoặc bị kiện tụng kéo dài do xử lý khiếu nại sai quy trình hoặc vi phạm thời hạn luật định. Việc chậm trễ giải quyết tra soát hoặc tự ý phong tỏa tài sản khách hàng không đúng căn cứ có thể dẫn đến việc doanh nghiệp bị khiếu kiện, xử phạt theo quy định pháp luật về bảo vệ quyền lợi người tiêu dùng và hoạt động trung gian thanh toán; việc được tư vấn chuẩn hóa quy trình giúp doanh nghiệp ứng phó minh bạch, đúng luật.</w:t>
      </w:r>
    </w:p>
    <w:p>
      <w:pPr>
        <w:pStyle w:val="Normal"/>
        <w:spacing w:lineRule="auto" w:line="312" w:before="0" w:after="120"/>
        <w:ind w:firstLine="567"/>
        <w:jc w:val="both"/>
        <w:rPr/>
      </w:pPr>
      <w:r>
        <w:rPr>
          <w:rFonts w:eastAsia="Times New Roman" w:cs="Times New Roman"/>
          <w:color w:val="000000"/>
          <w:sz w:val="26"/>
        </w:rPr>
        <w:t>Giảm thời gian xử lý sự cố và khủng hoảng truyền thông nhờ chúng tôi cung cấp sẵn bộ playbook biểu mẫu chuẩn hóa và kịch bản ứng phó chi tiết. Điều này đặc biệt có ý nghĩa khi xảy ra sự cố kỹ thuật diện rộng hoặc rò rỉ dữ liệu đòi hỏi phải phản ứng nhanh trong vòng 24 đến 72 giờ, giúp ngăn chặn sự cố leo thang gây tổn hại nghiêm trọng đến uy tín thương hiệu và giá trị định giá với nhà đầu tư.</w:t>
      </w:r>
    </w:p>
    <w:p>
      <w:pPr>
        <w:pStyle w:val="Normal"/>
        <w:spacing w:lineRule="auto" w:line="312" w:before="0" w:after="120"/>
        <w:ind w:firstLine="567"/>
        <w:jc w:val="both"/>
        <w:rPr/>
      </w:pPr>
      <w:r>
        <w:rPr>
          <w:rFonts w:eastAsia="Times New Roman" w:cs="Times New Roman"/>
          <w:color w:val="000000"/>
          <w:sz w:val="26"/>
        </w:rPr>
        <w:t>Kiểm soát rủi ro pháp lý liên quan đến tội phạm tài chính, rửa tiền và tuân thủ dữ liệu cá nhân - những vấn đề cốt lõi quyết định sự sống còn của một dự án fintech. Việc tư vấn thường xuyên giúp doanh nghiệp thiết lập chặt chẽ quy trình phối hợp với cơ quan công an (A05/C05) và tuân thủ nghiêm ngặt Luật Bảo vệ dữ liệu cá nhân số 91/2025/QH15 và Nghị định 356/2025/NĐ-CP về bảo vệ dữ liệu, tránh rơi vào các khoản phạt khổng lồ hoặc bị đình chỉ hoạt động do lộ thông tin người dùng.</w:t>
      </w:r>
    </w:p>
    <w:p>
      <w:pPr>
        <w:pStyle w:val="Normal"/>
        <w:spacing w:lineRule="auto" w:line="312" w:before="0" w:after="120"/>
        <w:ind w:firstLine="567"/>
        <w:jc w:val="both"/>
        <w:rPr/>
      </w:pPr>
      <w:r>
        <w:rPr>
          <w:rFonts w:eastAsia="Times New Roman" w:cs="Times New Roman"/>
          <w:color w:val="000000"/>
          <w:sz w:val="26"/>
        </w:rPr>
        <w:t>Hỗ trợ đội ngũ pháp chế/tuân thủ nội bộ của doanh nghiệp vốn thường có nguồn lực mỏng, xử lý khối lượng công việc tranh chấp lớn khi lượng người dùng tăng trưởng nhanh. Với tính chất của một mô hình kinh doanh công nghệ có tần suất phát sinh sự cố vận hành cao, doanh nghiệp thường khó bố trí đủ nhân sự pháp lý chuyên sâu để xử lý đồng thời các vấn đề về khiếu nại, kỹ thuật và hình sự; chúng tôi đóng vai trò như bộ phận pháp chế mở rộng, giúp san sẻ áp lực này.</w:t>
      </w:r>
    </w:p>
    <w:p>
      <w:pPr>
        <w:pStyle w:val="Normal"/>
        <w:spacing w:lineRule="auto" w:line="312" w:before="0" w:after="120"/>
        <w:ind w:firstLine="567"/>
        <w:jc w:val="both"/>
        <w:rPr/>
      </w:pPr>
      <w:r>
        <w:rPr>
          <w:rFonts w:eastAsia="Times New Roman" w:cs="Times New Roman"/>
          <w:color w:val="000000"/>
          <w:sz w:val="26"/>
        </w:rPr>
        <w:t>Tạo niềm tin tuyệt đối với nhà đầu tư và cơ quan quản lý (NHNN, Bộ Công an), nhờ hệ thống quản trị rủi ro vận hành được thiết kế bài bản, chuyên nghiệp và có năng lực ứng phó khủng hoảng thực chiến. Một doanh nghiệp sở hữu khung quy trình 3 tầng và bộ playbook tình huống hoàn chỉnh sẽ chứng minh được năng lực kiểm soát rủi ro vững chắc, giúp nhà đầu tư hoàn toàn yên tâm rót vốn và đồng hành dài hạn.</w:t>
      </w:r>
    </w:p>
    <w:p>
      <w:pPr>
        <w:pStyle w:val="Heading2"/>
        <w:keepNext w:val="true"/>
        <w:spacing w:before="120" w:after="100"/>
        <w:rPr/>
      </w:pPr>
      <w:r>
        <w:rPr>
          <w:rFonts w:eastAsia="Times New Roman" w:cs="Times New Roman" w:ascii="Times New Roman" w:hAnsi="Times New Roman"/>
          <w:b/>
          <w:color w:val="000000"/>
          <w:sz w:val="26"/>
        </w:rPr>
        <w:t>5.3. Dịch vụ cập nhật pháp lý định kỳ.</w:t>
      </w:r>
    </w:p>
    <w:p>
      <w:pPr>
        <w:pStyle w:val="Heading3"/>
        <w:keepNext w:val="true"/>
        <w:spacing w:before="120" w:after="100"/>
        <w:rPr/>
      </w:pPr>
      <w:r>
        <w:rPr>
          <w:rFonts w:eastAsia="Times New Roman" w:cs="Times New Roman" w:ascii="Times New Roman" w:hAnsi="Times New Roman"/>
          <w:b/>
          <w:color w:val="000000"/>
          <w:sz w:val="26"/>
        </w:rPr>
        <w:t>5.3.1. Giới thiệu dịch vụ.</w:t>
      </w:r>
    </w:p>
    <w:p>
      <w:pPr>
        <w:pStyle w:val="Normal"/>
        <w:spacing w:lineRule="auto" w:line="312" w:before="0" w:after="120"/>
        <w:ind w:firstLine="567"/>
        <w:jc w:val="both"/>
        <w:rPr/>
      </w:pPr>
      <w:r>
        <w:rPr>
          <w:rFonts w:eastAsia="Times New Roman" w:cs="Times New Roman"/>
          <w:color w:val="000000"/>
          <w:sz w:val="26"/>
        </w:rPr>
        <w:t>Lĩnh vực Fintech nói chung và dịch vụ ví điện tử nói riêng chịu sự điều chỉnh của hệ thống pháp luật vô cùng phức tạp và liên tục biến động. Các quy định về trung gian thanh toán, phòng chống rửa tiền, an toàn - bảo mật hệ thống công nghệ thông tin, định danh khách hàng điện tử (eKYC) cũng như bảo vệ dữ liệu cá nhân thường xuyên được Ngân hàng Nhà nước và các cơ quan quản lý ban hành mới, sửa đổi hoặc bổ sung. Trong bối cảnh đó, nếu doanh nghiệp chỉ tiếp cận tư vấn pháp lý theo từng vụ việc phát sinh, nguy cơ đối mặt với các rủi ro tuân thủ là rất lớn do cập nhật không kịp thời hoặc áp dụng sai quy định. Dịch vụ tư vấn thường xuyên thuộc nhánh cập nhật pháp lý định kỳ được thiết kế như một giải pháp cảnh báo sớm và chủ động, đồng hành cùng doanh nghiệp trong việc theo dõi, phân tích và thích ứng với những thay đổi chính sách, bảo đảm mọi hoạt động vận hành của ví điện tử luôn duy trì trạng thái tuân thủ pháp luật liên tục và an toàn.</w:t>
      </w:r>
    </w:p>
    <w:p>
      <w:pPr>
        <w:pStyle w:val="Heading3"/>
        <w:keepNext w:val="true"/>
        <w:spacing w:before="120" w:after="100"/>
        <w:rPr/>
      </w:pPr>
      <w:r>
        <w:rPr>
          <w:rFonts w:eastAsia="Times New Roman" w:cs="Times New Roman" w:ascii="Times New Roman" w:hAnsi="Times New Roman"/>
          <w:b/>
          <w:color w:val="000000"/>
          <w:sz w:val="26"/>
        </w:rPr>
        <w:t>5.3.2. Nội dung dịch vụ.</w:t>
      </w:r>
    </w:p>
    <w:p>
      <w:pPr>
        <w:pStyle w:val="Normal"/>
        <w:spacing w:lineRule="auto" w:line="312" w:before="0" w:after="120"/>
        <w:ind w:firstLine="567"/>
        <w:jc w:val="both"/>
        <w:rPr/>
      </w:pPr>
      <w:r>
        <w:rPr>
          <w:rFonts w:eastAsia="Times New Roman" w:cs="Times New Roman"/>
          <w:color w:val="000000"/>
          <w:sz w:val="26"/>
        </w:rPr>
        <w:t>Nội dung dịch vụ được triển khai thông qua quy trình bốn bước chuyên sâu nhằm bảo đảm tính kịp thời và chính xác trong suốt thời gian hợp đồng:</w:t>
      </w:r>
    </w:p>
    <w:p>
      <w:pPr>
        <w:pStyle w:val="Normal"/>
        <w:spacing w:lineRule="auto" w:line="312" w:before="0" w:after="120"/>
        <w:ind w:firstLine="567"/>
        <w:jc w:val="both"/>
        <w:rPr/>
      </w:pPr>
      <w:r>
        <w:rPr>
          <w:rFonts w:eastAsia="Times New Roman" w:cs="Times New Roman"/>
          <w:color w:val="000000"/>
          <w:sz w:val="26"/>
        </w:rPr>
        <w:t>Thứ nhất, chúng tôi thực hiện theo dõi và thu thập định kỳ toàn bộ các văn bản quy phạm pháp luật, văn bản chỉ đạo, dự thảo chính sách mới ban hành từ Ngân hàng Nhà nước Việt Nam, Bộ Thông tin và Truyền thông, Bộ Công an và các cơ quan có thẩm quyền liên quan trực tiếp đến hoạt động cung ứng dịch vụ trung gian thanh toán, ngân hàng số và giao dịch điện tử.</w:t>
      </w:r>
    </w:p>
    <w:p>
      <w:pPr>
        <w:pStyle w:val="Normal"/>
        <w:spacing w:lineRule="auto" w:line="312" w:before="0" w:after="120"/>
        <w:ind w:firstLine="567"/>
        <w:jc w:val="both"/>
        <w:rPr/>
      </w:pPr>
      <w:r>
        <w:rPr>
          <w:rFonts w:eastAsia="Times New Roman" w:cs="Times New Roman"/>
          <w:color w:val="000000"/>
          <w:sz w:val="26"/>
        </w:rPr>
        <w:t>Thứ hai, chúng tôi tiến hành phân tích chuyên sâu nội dung thay đổi của văn bản luật, đối chiếu trực tiếp với mô hình vận hành, các tính năng sản phẩm và quy trình nghiệp vụ hiện tại của doanh nghiệp. Qua đó, chúng tôi xác định cụ thể các mốc thời hạn áp dụng, nghĩa vụ pháp lý mới phát sinh, các điểm chưa tuân thủ hoặc nguy cơ rủi ro mà doanh nghiệp có thể gặp phải nếu không điều chỉnh kịp thời.</w:t>
      </w:r>
    </w:p>
    <w:p>
      <w:pPr>
        <w:pStyle w:val="Normal"/>
        <w:spacing w:lineRule="auto" w:line="312" w:before="0" w:after="120"/>
        <w:ind w:firstLine="567"/>
        <w:jc w:val="both"/>
        <w:rPr/>
      </w:pPr>
      <w:r>
        <w:rPr>
          <w:rFonts w:eastAsia="Times New Roman" w:cs="Times New Roman"/>
          <w:color w:val="000000"/>
          <w:sz w:val="26"/>
        </w:rPr>
        <w:t>Thứ ba, sau bước phân tích, chúng tôi tổng hợp thông tin để xây dựng và gửi cho doanh nghiệp Báo cáo cập nhật pháp lý định kỳ (theo tháng hoặc quý). Báo cáo này không chỉ tóm tắt các điểm mới của văn bản luật mà còn đi kèm các khuyến nghị hành động chi tiết, giúp Ban Điều hành và bộ phận pháp chế nội bộ dễ dàng nắm bắt bản chất vấn đề và chủ động đề ra kế hoạch điều chỉnh phù hợp.</w:t>
      </w:r>
    </w:p>
    <w:p>
      <w:pPr>
        <w:pStyle w:val="Normal"/>
        <w:spacing w:lineRule="auto" w:line="312" w:before="0" w:after="120"/>
        <w:ind w:firstLine="567"/>
        <w:jc w:val="both"/>
        <w:rPr/>
      </w:pPr>
      <w:r>
        <w:rPr>
          <w:rFonts w:eastAsia="Times New Roman" w:cs="Times New Roman"/>
          <w:color w:val="000000"/>
          <w:sz w:val="26"/>
        </w:rPr>
        <w:t>Thứ tư, chúng tôi phối hợp tổ chức các buổi tham vấn trực tiếp hoặc tập huấn nội bộ cho đội ngũ quản lý và các phòng ban liên quan (kỹ thuật, vận hành, kiểm soát rủi ro). Tại các buổi trao đổi này, chúng tôi giải đáp trực tiếp các vướng mắc phát sinh trong quá trình triển khai quy định mới, đồng thời hỗ trợ rà soát và chỉnh sửa các quy chế, quy trình nội bộ nhằm đảm bảo sự tương thích hoàn toàn với hành lang pháp lý hiện hành.</w:t>
      </w:r>
    </w:p>
    <w:p>
      <w:pPr>
        <w:pStyle w:val="Heading3"/>
        <w:keepNext w:val="true"/>
        <w:spacing w:before="120" w:after="100"/>
        <w:rPr/>
      </w:pPr>
      <w:r>
        <w:rPr>
          <w:rFonts w:eastAsia="Times New Roman" w:cs="Times New Roman" w:ascii="Times New Roman" w:hAnsi="Times New Roman"/>
          <w:b/>
          <w:color w:val="000000"/>
          <w:sz w:val="26"/>
        </w:rPr>
        <w:t>5.3.3. Phạm vi dịch vụ.</w:t>
      </w:r>
    </w:p>
    <w:p>
      <w:pPr>
        <w:pStyle w:val="Normal"/>
        <w:spacing w:lineRule="auto" w:line="312" w:before="0" w:after="120"/>
        <w:ind w:firstLine="567"/>
        <w:jc w:val="both"/>
        <w:rPr/>
      </w:pPr>
      <w:r>
        <w:rPr>
          <w:rFonts w:eastAsia="Times New Roman" w:cs="Times New Roman"/>
          <w:color w:val="000000"/>
          <w:sz w:val="26"/>
        </w:rPr>
        <w:t>Phạm vi của nhánh tư vấn cập nhật pháp lý định kỳ tập trung vào các lĩnh vực pháp luật chuyên ngành ảnh hưởng trực tiếp đến sự tồn tại và phát triển của doanh nghiệp ví điện tử. Lĩnh vực rà soát bao gồm pháp luật về trung gian thanh toán (như Nghị định 52/2024/NĐ-CP và các Thông tư hướng dẫn), pháp luật về phòng chống rửa tiền và tài trợ khủng bố, an toàn an ninh mạng, giao dịch điện tử, chữ ký số, cũng như các quy định về bảo vệ dữ liệu cá nhân và người tiêu dùng.</w:t>
      </w:r>
    </w:p>
    <w:p>
      <w:pPr>
        <w:pStyle w:val="Normal"/>
        <w:spacing w:lineRule="auto" w:line="312" w:before="0" w:after="120"/>
        <w:ind w:firstLine="567"/>
        <w:jc w:val="both"/>
        <w:rPr/>
      </w:pPr>
      <w:r>
        <w:rPr>
          <w:rFonts w:eastAsia="Times New Roman" w:cs="Times New Roman"/>
          <w:color w:val="000000"/>
          <w:sz w:val="26"/>
        </w:rPr>
        <w:t>Về thời gian và tần suất cung cấp, dịch vụ được duy trì liên tục trong suốt thời hạn hiệu lực của hợp đồng tư vấn thường xuyên. Báo cáo đánh giá và bản tin pháp lý sẽ được chuyển giao định kỳ theo kế hoạch đã thỏa thuận (hàng tháng hoặc hàng quý). Đáng chú ý, trong trường hợp cơ quan nhà nước ban hành các quy định khẩn cấp hoặc văn bản quy phạm pháp luật có tác động lớn, thay đổi đột ngột đến mô hình kinh doanh ví điện tử, chúng tôi sẽ phát hành Bản cảnh báo pháp lý đột xuất để doanh nghiệp kịp thời ứng phó.</w:t>
      </w:r>
    </w:p>
    <w:p>
      <w:pPr>
        <w:pStyle w:val="Normal"/>
        <w:spacing w:lineRule="auto" w:line="312" w:before="0" w:after="120"/>
        <w:ind w:firstLine="567"/>
        <w:jc w:val="both"/>
        <w:rPr/>
      </w:pPr>
      <w:r>
        <w:rPr>
          <w:rFonts w:eastAsia="Times New Roman" w:cs="Times New Roman"/>
          <w:color w:val="000000"/>
          <w:sz w:val="26"/>
        </w:rPr>
        <w:t>Tuy nhiên, phạm vi dịch vụ có giới hạn rõ ràng nhằm bảo đảm hiệu quả công việc. Dịch vụ không bao gồm việc đại diện doanh nghiệp tham gia tố tụng, giải quyết tranh chấp tại Tòa án hay Trọng tài, không bao gồm thực hiện các thủ tục hành chính xin cấp mới hoặc sửa đổi Giấy phép trung gian thanh toán, và không thay thế công việc kiểm toán kỹ thuật, kiểm toán an toàn thông tin hạ tầng công nghệ của các đơn vị độc lập, trừ khi các nội dung này được hai bên thỏa thuận bổ sung bằng hợp đồng dịch vụ riêng biệt.</w:t>
      </w:r>
    </w:p>
    <w:p>
      <w:pPr>
        <w:pStyle w:val="Heading3"/>
        <w:keepNext w:val="true"/>
        <w:spacing w:before="120" w:after="100"/>
        <w:rPr/>
      </w:pPr>
      <w:r>
        <w:rPr>
          <w:rFonts w:eastAsia="Times New Roman" w:cs="Times New Roman" w:ascii="Times New Roman" w:hAnsi="Times New Roman"/>
          <w:b/>
          <w:color w:val="000000"/>
          <w:sz w:val="26"/>
        </w:rPr>
        <w:t>5.3.4. Mục đích dịch vụ.</w:t>
      </w:r>
    </w:p>
    <w:p>
      <w:pPr>
        <w:pStyle w:val="Normal"/>
        <w:spacing w:lineRule="auto" w:line="312" w:before="0" w:after="120"/>
        <w:ind w:firstLine="567"/>
        <w:jc w:val="both"/>
        <w:rPr/>
      </w:pPr>
      <w:r>
        <w:rPr>
          <w:rFonts w:eastAsia="Times New Roman" w:cs="Times New Roman"/>
          <w:color w:val="000000"/>
          <w:sz w:val="26"/>
        </w:rPr>
        <w:t>Dịch vụ tư vấn cập nhật pháp lý định kỳ mang lại giá trị cốt lõi trong việc giúp doanh nghiệp triệt tiêu nguy cơ vi phạm pháp luật do thiếu hụt thông tin hoặc hiểu sai quy định chuyên ngành. Nhờ việc phát hiện sớm các điểm không tương thích, doanh nghiệp chủ động loại bỏ rủi ro bị xử phạt hành chính, bị tạm đình chỉ dịch vụ hoặc nghiêm trọng hơn là bị thu hồi Giấy phép hoạt động cung ứng dịch vụ trung gian thanh toán.</w:t>
      </w:r>
    </w:p>
    <w:p>
      <w:pPr>
        <w:pStyle w:val="Normal"/>
        <w:spacing w:lineRule="auto" w:line="312" w:before="0" w:after="120"/>
        <w:ind w:firstLine="567"/>
        <w:jc w:val="both"/>
        <w:rPr/>
      </w:pPr>
      <w:r>
        <w:rPr>
          <w:rFonts w:eastAsia="Times New Roman" w:cs="Times New Roman"/>
          <w:color w:val="000000"/>
          <w:sz w:val="26"/>
        </w:rPr>
        <w:t>Bên cạnh đó, dịch vụ giúp doanh nghiệp tối ưu hóa chi phí tuân thủ và tiết kiệm thời gian vận hành. Việc nắm bắt trước các xu hướng thay đổi chính sách từ giai đoạn dự thảo giúp Ban Điều hành có đủ thời gian chuẩn bị về hạ tầng kỹ thuật, tài chính và nhân sự, tránh tình trạng bị động hay phải tạm ngừng cung ứng dịch vụ để nâng cấp hệ thống khi văn bản pháp luật chính thức có hiệu lực.</w:t>
      </w:r>
    </w:p>
    <w:p>
      <w:pPr>
        <w:pStyle w:val="Normal"/>
        <w:spacing w:lineRule="auto" w:line="312" w:before="0" w:after="120"/>
        <w:ind w:firstLine="567"/>
        <w:jc w:val="both"/>
        <w:rPr/>
      </w:pPr>
      <w:r>
        <w:rPr>
          <w:rFonts w:eastAsia="Times New Roman" w:cs="Times New Roman"/>
          <w:color w:val="000000"/>
          <w:sz w:val="26"/>
        </w:rPr>
        <w:t>Cuối cùng, việc duy trì một cơ chế cập nhật pháp lý thường xuyên và bài bản góp phần củng cố năng lực cho đội ngũ pháp chế nội bộ vốn thường mỏng về nhân sự chuyên sâu trong lĩnh vực Fintech. Đồng thời, hình ảnh một doanh nghiệp luôn tuân thủ chuẩn mực và cập nhật kịp thời quy định pháp luật sẽ nâng cao uy tín, tạo niềm tin vững chắc đối với Ngân hàng Nhà nước, các ngân hàng hợp tác liên kết và đông đảo người sử dụng dịch vụ ví điện tử.</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6. TƯ VẤN XỬ LÝ CÁC VẤN ĐỀ PHÁT SINH.</w:t>
      </w:r>
    </w:p>
    <w:p>
      <w:pPr>
        <w:pStyle w:val="Normal"/>
        <w:spacing w:lineRule="auto" w:line="312" w:before="0" w:after="120"/>
        <w:ind w:firstLine="567"/>
        <w:jc w:val="both"/>
        <w:rPr/>
      </w:pPr>
      <w:r>
        <w:rPr>
          <w:rFonts w:eastAsia="Times New Roman" w:cs="Times New Roman"/>
          <w:color w:val="000000"/>
          <w:sz w:val="26"/>
        </w:rPr>
        <w:t>Các văn bản/hồ sơ xử lý tùy tình huống cụ thể</w:t>
      </w:r>
    </w:p>
    <w:p>
      <w:pPr>
        <w:pStyle w:val="Heading2"/>
        <w:keepNext w:val="true"/>
        <w:spacing w:before="120" w:after="100"/>
        <w:rPr/>
      </w:pPr>
      <w:r>
        <w:rPr>
          <w:rFonts w:eastAsia="Times New Roman" w:cs="Times New Roman" w:ascii="Times New Roman" w:hAnsi="Times New Roman"/>
          <w:b/>
          <w:color w:val="000000"/>
          <w:sz w:val="26"/>
        </w:rPr>
        <w:t>6.1. Giới thiệu dịch vụ.</w:t>
      </w:r>
    </w:p>
    <w:p>
      <w:pPr>
        <w:pStyle w:val="Normal"/>
        <w:spacing w:lineRule="auto" w:line="312" w:before="0" w:after="120"/>
        <w:ind w:firstLine="567"/>
        <w:jc w:val="both"/>
        <w:rPr/>
      </w:pPr>
      <w:r>
        <w:rPr>
          <w:rFonts w:eastAsia="Times New Roman" w:cs="Times New Roman"/>
          <w:color w:val="000000"/>
          <w:sz w:val="26"/>
        </w:rPr>
        <w:t>Trong quá trình vận hành, doanh nghiệp không chỉ cần luật sư khi đã có tranh chấp, bị thanh tra, bị đối tác chậm thanh toán hoặc phát sinh khiếu nại lao động. Đây là dịch vụ đồng hành cùng công ty trong suốt quá trình xây dựng, hoàn thiện và sử dụng các biểu mẫu, văn bản pháp lý để xử lý các sự cố phát sinh của ví điện tử (e-wallet). Doanh nghiệp có thể có một đầu mối pháp lý đồng hành định kỳ, hiểu mô hình hoạt động, nắm hồ sơ, theo sát giao dịch và hỗ trợ ban lãnh đạo kiểm soát rủi ro trong quá trình kinh doanh.</w:t>
      </w:r>
    </w:p>
    <w:p>
      <w:pPr>
        <w:pStyle w:val="Heading2"/>
        <w:keepNext w:val="true"/>
        <w:spacing w:before="120" w:after="100"/>
        <w:rPr/>
      </w:pPr>
      <w:r>
        <w:rPr>
          <w:rFonts w:eastAsia="Times New Roman" w:cs="Times New Roman" w:ascii="Times New Roman" w:hAnsi="Times New Roman"/>
          <w:b/>
          <w:color w:val="000000"/>
          <w:sz w:val="26"/>
        </w:rPr>
        <w:t>6.2. Nội dung dịch vụ.</w:t>
      </w:r>
    </w:p>
    <w:p>
      <w:pPr>
        <w:pStyle w:val="Normal"/>
        <w:spacing w:lineRule="auto" w:line="312" w:before="0" w:after="120"/>
        <w:ind w:firstLine="567"/>
        <w:jc w:val="both"/>
        <w:rPr/>
      </w:pPr>
      <w:r>
        <w:rPr>
          <w:rFonts w:eastAsia="Times New Roman" w:cs="Times New Roman"/>
          <w:color w:val="000000"/>
          <w:sz w:val="26"/>
        </w:rPr>
        <w:t>Thứ nhất, nhóm Hồ sơ Xử lý Lừa đảo, Tội phạm Tài chính &amp; Rửa tiền.</w:t>
      </w:r>
    </w:p>
    <w:p>
      <w:pPr>
        <w:pStyle w:val="Normal"/>
        <w:spacing w:lineRule="auto" w:line="312" w:before="0" w:after="120"/>
        <w:ind w:hanging="0" w:start="0"/>
        <w:jc w:val="both"/>
        <w:rPr/>
      </w:pPr>
      <w:r>
        <w:rPr>
          <w:rFonts w:eastAsia="Times New Roman" w:cs="Times New Roman"/>
          <w:color w:val="000000"/>
          <w:sz w:val="26"/>
        </w:rPr>
        <w:t>- Văn bản Thông báo Tạm dừng/Đơn phương Tạm khóa Dịch vụ: Dùng để căn cứ đúng Nghị định 52/2024/NĐ-CP và Điều khoản dịch vụ nhằm tiến hành dừng hoặc khóa tạm thời dịch vụ của khách hàng khi cần thiết.</w:t>
      </w:r>
    </w:p>
    <w:p>
      <w:pPr>
        <w:pStyle w:val="Normal"/>
        <w:spacing w:lineRule="auto" w:line="312" w:before="0" w:after="120"/>
        <w:ind w:hanging="0" w:start="0"/>
        <w:jc w:val="both"/>
        <w:rPr/>
      </w:pPr>
      <w:r>
        <w:rPr>
          <w:rFonts w:eastAsia="Times New Roman" w:cs="Times New Roman"/>
          <w:color w:val="000000"/>
          <w:sz w:val="26"/>
        </w:rPr>
        <w:t>-  Công văn Yêu cầu Cung cấp Thông tin/Giải trình KYC: Dùng để gửi tới khách hàng có các giao dịch bất thường nhằm phục vụ cho công tác phòng, chống rửa tiền.</w:t>
      </w:r>
    </w:p>
    <w:p>
      <w:pPr>
        <w:pStyle w:val="Normal"/>
        <w:spacing w:lineRule="auto" w:line="312" w:before="0" w:after="120"/>
        <w:ind w:hanging="0" w:start="0"/>
        <w:jc w:val="both"/>
        <w:rPr/>
      </w:pPr>
      <w:r>
        <w:rPr>
          <w:rFonts w:eastAsia="Times New Roman" w:cs="Times New Roman"/>
          <w:color w:val="000000"/>
          <w:sz w:val="26"/>
        </w:rPr>
        <w:t>- Hồ sơ Chuyển giao Thông tin &amp; Báo cáo Tội phạm: Dùng làm văn bản báo cáo các nghi vấn hành vi vi phạm pháp luật để gửi cho Cục An ninh mạng và phòng chống tội phạm sử dụng công nghệ cao (A05/C05) hoặc gửi Công an cấp Tỉnh/Thành phố.</w:t>
      </w:r>
    </w:p>
    <w:p>
      <w:pPr>
        <w:pStyle w:val="Normal"/>
        <w:spacing w:lineRule="auto" w:line="312" w:before="0" w:after="120"/>
        <w:ind w:hanging="0" w:start="0"/>
        <w:jc w:val="both"/>
        <w:rPr/>
      </w:pPr>
      <w:r>
        <w:rPr>
          <w:rFonts w:eastAsia="Times New Roman" w:cs="Times New Roman"/>
          <w:color w:val="000000"/>
          <w:sz w:val="26"/>
        </w:rPr>
        <w:t>- Hồ sơ Xử lý Lệnh Phong tỏa Khẩn cấp từ Cơ quan Điều tra: Dùng để thực hiện quy trình tiếp nhận, xác minh tính hợp pháp của Lệnh phong tỏa nhận được từ Công an hoặc Tòa án, đồng thời làm văn bản phản hồi kết quả thực hiện.</w:t>
      </w:r>
    </w:p>
    <w:p>
      <w:pPr>
        <w:pStyle w:val="Normal"/>
        <w:spacing w:lineRule="auto" w:line="312" w:before="0" w:after="120"/>
        <w:ind w:hanging="0" w:start="0"/>
        <w:jc w:val="both"/>
        <w:rPr/>
      </w:pPr>
      <w:r>
        <w:rPr>
          <w:rFonts w:eastAsia="Times New Roman" w:cs="Times New Roman"/>
          <w:color w:val="000000"/>
          <w:sz w:val="26"/>
        </w:rPr>
        <w:t>- Thứ hai, nhóm Hồ sơ Xử lý Sự cố Kỹ thuật &amp; Tranh chấp Tài chính.</w:t>
      </w:r>
    </w:p>
    <w:p>
      <w:pPr>
        <w:pStyle w:val="Normal"/>
        <w:spacing w:lineRule="auto" w:line="312" w:before="0" w:after="120"/>
        <w:ind w:hanging="0" w:start="0"/>
        <w:jc w:val="both"/>
        <w:rPr/>
      </w:pPr>
      <w:r>
        <w:rPr>
          <w:rFonts w:eastAsia="Times New Roman" w:cs="Times New Roman"/>
          <w:color w:val="000000"/>
          <w:sz w:val="26"/>
        </w:rPr>
        <w:t>- Văn bản Thỏa thuận Miễn trừ Trách nhiệm &amp; Bồi thường: Sử dụng khi xảy ra sự cố sập hệ thống ảnh hưởng đến hàng loạt người dùng, giúp khoanh vùng nghĩa vụ bồi thường và chấm dứt tranh chấp.</w:t>
      </w:r>
    </w:p>
    <w:p>
      <w:pPr>
        <w:pStyle w:val="Normal"/>
        <w:spacing w:lineRule="auto" w:line="312" w:before="0" w:after="120"/>
        <w:ind w:hanging="0" w:start="0"/>
        <w:jc w:val="both"/>
        <w:rPr/>
      </w:pPr>
      <w:r>
        <w:rPr>
          <w:rFonts w:eastAsia="Times New Roman" w:cs="Times New Roman"/>
          <w:color w:val="000000"/>
          <w:sz w:val="26"/>
        </w:rPr>
        <w:t>- Hồ sơ Truy thu &amp; Tra soát Tài chính: Bộ văn bản gửi Ngân hàng liên kết, Napas hoặc Merchant để hoàn trả tiền do lỗi hạch toán trùng hoặc chuyển tiền nhầm.</w:t>
      </w:r>
    </w:p>
    <w:p>
      <w:pPr>
        <w:pStyle w:val="Normal"/>
        <w:spacing w:lineRule="auto" w:line="312" w:before="0" w:after="120"/>
        <w:ind w:hanging="0" w:start="0"/>
        <w:jc w:val="both"/>
        <w:rPr/>
      </w:pPr>
      <w:r>
        <w:rPr>
          <w:rFonts w:eastAsia="Times New Roman" w:cs="Times New Roman"/>
          <w:color w:val="000000"/>
          <w:sz w:val="26"/>
        </w:rPr>
        <w:t>- Thỏa thuận Bảo mật Thông tin &amp; Đền bù Khủng hoảng: Sử dụng trong các trường hợp thương lượng đền bù riêng lẻ với người dùng cá nhân để tránh lộ thông tin ra truyền thông.</w:t>
      </w:r>
    </w:p>
    <w:p>
      <w:pPr>
        <w:pStyle w:val="Normal"/>
        <w:spacing w:lineRule="auto" w:line="312" w:before="0" w:after="120"/>
        <w:ind w:firstLine="567"/>
        <w:jc w:val="both"/>
        <w:rPr/>
      </w:pPr>
      <w:r>
        <w:rPr>
          <w:rFonts w:eastAsia="Times New Roman" w:cs="Times New Roman"/>
          <w:color w:val="000000"/>
          <w:sz w:val="26"/>
        </w:rPr>
        <w:t>Thứ ba, nhóm Hồ sơ Bảo vệ Dữ liệu Cá nhân &amp; An ninh mạng.</w:t>
      </w:r>
    </w:p>
    <w:p>
      <w:pPr>
        <w:pStyle w:val="Normal"/>
        <w:spacing w:lineRule="auto" w:line="312" w:before="0" w:after="120"/>
        <w:ind w:hanging="0" w:start="0"/>
        <w:jc w:val="both"/>
        <w:rPr/>
      </w:pPr>
      <w:r>
        <w:rPr>
          <w:rFonts w:eastAsia="Times New Roman" w:cs="Times New Roman"/>
          <w:color w:val="000000"/>
          <w:sz w:val="26"/>
        </w:rPr>
        <w:t>- Hồ sơ Thông báo Sự cố Rò rỉ Dữ liệu: Văn bản thông báo khẩn cấp trong vòng 72 giờ gửi Cục An ninh mạng (Bộ Công an) khi phát hiện hệ thống bị Hack hoặc rò rỉ dữ liệu người dùng.</w:t>
      </w:r>
    </w:p>
    <w:p>
      <w:pPr>
        <w:pStyle w:val="Normal"/>
        <w:spacing w:lineRule="auto" w:line="312" w:before="0" w:after="120"/>
        <w:ind w:hanging="0" w:start="0"/>
        <w:jc w:val="both"/>
        <w:rPr/>
      </w:pPr>
      <w:r>
        <w:rPr>
          <w:rFonts w:eastAsia="Times New Roman" w:cs="Times New Roman"/>
          <w:color w:val="000000"/>
          <w:sz w:val="26"/>
        </w:rPr>
        <w:t>- Mẫu Phản hồi Yêu cầu của Chủ thể Dữ liệu: Văn bản xử lý các quyền của người dùng như quyền truy cập, quyền xóa dữ liệu, quyền rút lại sự đồng ý hoặc quyền khiếu nại.</w:t>
      </w:r>
    </w:p>
    <w:p>
      <w:pPr>
        <w:pStyle w:val="Normal"/>
        <w:spacing w:lineRule="auto" w:line="312" w:before="0" w:after="120"/>
        <w:ind w:hanging="0" w:start="0"/>
        <w:jc w:val="both"/>
        <w:rPr/>
      </w:pPr>
      <w:r>
        <w:rPr>
          <w:rFonts w:eastAsia="Times New Roman" w:cs="Times New Roman"/>
          <w:color w:val="000000"/>
          <w:sz w:val="26"/>
        </w:rPr>
        <w:t>- Hồ sơ Đánh giá Tác động Xử lý Dữ liệu Cá nhân: Bộ hồ sơ hoàn chỉnh phục vụ việc nộp báo cáo tuân thủ bắt buộc cho Bộ Công an.</w:t>
      </w:r>
    </w:p>
    <w:p>
      <w:pPr>
        <w:pStyle w:val="Heading2"/>
        <w:keepNext w:val="true"/>
        <w:spacing w:before="120" w:after="100"/>
        <w:rPr/>
      </w:pPr>
      <w:r>
        <w:rPr>
          <w:rFonts w:eastAsia="Times New Roman" w:cs="Times New Roman" w:ascii="Times New Roman" w:hAnsi="Times New Roman"/>
          <w:b/>
          <w:color w:val="000000"/>
          <w:sz w:val="26"/>
        </w:rPr>
        <w:t>6.3. Phạm vi dịch vụ.</w:t>
      </w:r>
    </w:p>
    <w:p>
      <w:pPr>
        <w:pStyle w:val="Normal"/>
        <w:spacing w:lineRule="auto" w:line="312" w:before="0" w:after="120"/>
        <w:ind w:firstLine="567"/>
        <w:jc w:val="both"/>
        <w:rPr/>
      </w:pPr>
      <w:r>
        <w:rPr>
          <w:rFonts w:eastAsia="Times New Roman" w:cs="Times New Roman"/>
          <w:color w:val="000000"/>
          <w:sz w:val="26"/>
        </w:rPr>
        <w:t>Phạm vi dịch vụ áp dụng đối với sự cố, khiếu nại, tranh chấp và yêu cầu khẩn cấp phát sinh trong quá trình vận hành ví điện tử; việc đại diện tố tụng, giám định kỹ thuật và làm việc ngoài phạm vi ủy quyền chỉ được thực hiện khi có thỏa thuận riêng.</w:t>
      </w:r>
    </w:p>
    <w:p>
      <w:pPr>
        <w:pStyle w:val="Heading2"/>
        <w:keepNext w:val="true"/>
        <w:spacing w:before="120" w:after="100"/>
        <w:rPr/>
      </w:pPr>
      <w:r>
        <w:rPr>
          <w:rFonts w:eastAsia="Times New Roman" w:cs="Times New Roman" w:ascii="Times New Roman" w:hAnsi="Times New Roman"/>
          <w:b/>
          <w:color w:val="000000"/>
          <w:sz w:val="26"/>
        </w:rPr>
        <w:t>6.4. Mục đích dịch vụ.</w:t>
      </w:r>
    </w:p>
    <w:p>
      <w:pPr>
        <w:pStyle w:val="Normal"/>
        <w:spacing w:lineRule="auto" w:line="312" w:before="0" w:after="120"/>
        <w:ind w:firstLine="567"/>
        <w:jc w:val="both"/>
        <w:rPr/>
      </w:pPr>
      <w:r>
        <w:rPr>
          <w:rFonts w:eastAsia="Times New Roman" w:cs="Times New Roman"/>
          <w:color w:val="000000"/>
          <w:sz w:val="26"/>
        </w:rPr>
        <w:t>Dịch vụ giúp doanh nghiệp tránh rủi ro bị mất quyền chủ động pháp lý hoặc bị xử phạt do sử dụng sai văn bản, sai thẩm quyền khi xử lý các sự cố khẩn cấp. Việc ban hành văn bản tạm khóa, thông báo xử lý vi phạm hay báo cáo cơ quan chức năng không đúng chuẩn pháp lý có thể khiến doanh nghiệp bị người dùng khiếu kiện ngược hoặc bị cơ quan quản lý phạt hành chính; việc sở hữu bộ biểu mẫu chuẩn hóa giúp doanh nghiệp xử lý nhanh, đúng căn cứ pháp luật.</w:t>
      </w:r>
    </w:p>
    <w:p>
      <w:pPr>
        <w:pStyle w:val="Normal"/>
        <w:spacing w:lineRule="auto" w:line="312" w:before="0" w:after="120"/>
        <w:ind w:firstLine="567"/>
        <w:jc w:val="both"/>
        <w:rPr/>
      </w:pPr>
      <w:r>
        <w:rPr>
          <w:rFonts w:eastAsia="Times New Roman" w:cs="Times New Roman"/>
          <w:color w:val="000000"/>
          <w:sz w:val="26"/>
        </w:rPr>
        <w:t>Giảm thời gian xử lý khủng hoảng nhờ doanh nghiệp đã có sẵn kho văn bản để sử dụng, chỉ cần điền thông tin và ban hành ngay khi sự cố xảy ra. Điều này đặc biệt có ý nghĩa trong các tình huống nhạy cảm như sự cố sập hệ thống diện rộng hoặc lộ dữ liệu trong vòng 72 giờ, giúp ngăn chặn việc thông tin lan truyền tiêu cực trên truyền thông và bảo vệ uy tín thương hiệu trước nhà đầu tư.</w:t>
      </w:r>
    </w:p>
    <w:p>
      <w:pPr>
        <w:pStyle w:val="Normal"/>
        <w:spacing w:lineRule="auto" w:line="312" w:before="0" w:after="120"/>
        <w:ind w:firstLine="567"/>
        <w:jc w:val="both"/>
        <w:rPr/>
      </w:pPr>
      <w:r>
        <w:rPr>
          <w:rFonts w:eastAsia="Times New Roman" w:cs="Times New Roman"/>
          <w:color w:val="000000"/>
          <w:sz w:val="26"/>
        </w:rPr>
        <w:t>Kiểm soát chặt chẽ rủi ro liên quan đến tội phạm tài chính, rửa tiền và tuân thủ bảo mật dữ liệu - những yếu tố sống còn quyết định sự thành bại của một dự án fintech. Bộ biểu mẫu được thiết kế chuyên biệt giúp doanh nghiệp thực hiện đúng trình tự phối hợp với cơ quan công an (A05/C05) và tuân thủ nghiêm ngặt Luật Bảo vệ dữ liệu cá nhân số 91/2025/QH15 và Nghị định 356/2025/NĐ-CP, triệt tiêu nguy cơ bị đình chỉ hoạt động do vi phạm pháp luật an ninh mạng.</w:t>
      </w:r>
    </w:p>
    <w:p>
      <w:pPr>
        <w:pStyle w:val="Normal"/>
        <w:spacing w:lineRule="auto" w:line="312" w:before="0" w:after="120"/>
        <w:ind w:firstLine="567"/>
        <w:jc w:val="both"/>
        <w:rPr/>
      </w:pPr>
      <w:r>
        <w:rPr>
          <w:rFonts w:eastAsia="Times New Roman" w:cs="Times New Roman"/>
          <w:color w:val="000000"/>
          <w:sz w:val="26"/>
        </w:rPr>
        <w:t>Hỗ trợ đội ngũ pháp chế/tuân thủ nội bộ của doanh nghiệp vốn thường có nguồn lực mỏng, giải quyết nhanh chóng khối lượng văn bản hành chính - pháp lý lớn phát sinh liên tục trong quá trình vận hành. Thay vì mất nhiều thời gian tự soạn thảo từng văn bản cho mỗi sự cố riêng lẻ, đội ngũ nội bộ có thể sử dụng ngay bộ Playbook chuẩn hóa, giúp tối ưu hóa hiệu suất làm việc và giảm tải áp lực cho bộ máy nhân sự.</w:t>
      </w:r>
    </w:p>
    <w:p>
      <w:pPr>
        <w:pStyle w:val="Normal"/>
        <w:spacing w:lineRule="auto" w:line="312" w:before="0" w:after="120"/>
        <w:ind w:firstLine="567"/>
        <w:jc w:val="both"/>
        <w:rPr/>
      </w:pPr>
      <w:r>
        <w:rPr>
          <w:rFonts w:eastAsia="Times New Roman" w:cs="Times New Roman"/>
          <w:color w:val="000000"/>
          <w:sz w:val="26"/>
        </w:rPr>
        <w:t>Tạo niềm tin tuyệt đối với nhà đầu tư và các đối tác tài chính (ngân hàng liên kết, tổ chức trung gian), nhờ doanh nghiệp sở hữu một hệ thống quản trị rủi ro bằng văn bản bài bản, minh bạch và chuyên nghiệp. Sự chuẩn chỉ trong từng bộ hồ sơ xử lý sự cố chính là bảo chứng mạnh mẽ nhất cho năng lực vận hành an toàn, giúp nhà đầu tư yên tâm tuyệt đối khi rót vốn vào dự án.</w:t>
      </w:r>
    </w:p>
    <w:p>
      <w:pPr>
        <w:pStyle w:val="Normal"/>
        <w:spacing w:lineRule="auto" w:line="312" w:before="0" w:after="120"/>
        <w:ind w:firstLine="567"/>
        <w:jc w:val="both"/>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7. HAI SẢN PHẨM DEMO.</w:t>
      </w:r>
    </w:p>
    <w:p>
      <w:pPr>
        <w:pStyle w:val="Heading2"/>
        <w:keepNext w:val="true"/>
        <w:spacing w:before="120" w:after="100"/>
        <w:rPr/>
      </w:pPr>
      <w:r>
        <w:rPr>
          <w:rFonts w:eastAsia="Times New Roman" w:cs="Times New Roman" w:ascii="Times New Roman" w:hAnsi="Times New Roman"/>
          <w:b/>
          <w:color w:val="000000"/>
          <w:sz w:val="26"/>
        </w:rPr>
        <w:t>7.1. Demo Điều lệ công ty cổ phần cung ứng dịch vụ ví điện tử.</w:t>
      </w:r>
    </w:p>
    <w:p>
      <w:pPr>
        <w:pStyle w:val="Heading3"/>
        <w:keepNext w:val="true"/>
        <w:spacing w:before="120" w:after="100"/>
        <w:rPr/>
      </w:pPr>
      <w:r>
        <w:rPr>
          <w:rFonts w:eastAsia="Times New Roman" w:cs="Times New Roman" w:ascii="Times New Roman" w:hAnsi="Times New Roman"/>
          <w:b/>
          <w:color w:val="000000"/>
          <w:sz w:val="26"/>
        </w:rPr>
        <w:t>7.1.1. Mục đích lựa chọn sản phẩm demo.</w:t>
      </w:r>
    </w:p>
    <w:p>
      <w:pPr>
        <w:pStyle w:val="Normal"/>
        <w:spacing w:lineRule="auto" w:line="312" w:before="0" w:after="120"/>
        <w:ind w:firstLine="567"/>
        <w:jc w:val="both"/>
        <w:rPr/>
      </w:pPr>
      <w:r>
        <w:rPr>
          <w:rFonts w:eastAsia="Times New Roman" w:cs="Times New Roman"/>
          <w:color w:val="000000"/>
          <w:sz w:val="26"/>
        </w:rPr>
        <w:t>Điều lệ được lựa chọn làm sản phẩm demo thứ nhất vì đây là văn bản quản trị nền tảng của công ty cổ phần dự kiến cung ứng dịch vụ ví điện tử. Sản phẩm thể hiện cách nhóm tư vấn chuyển các yêu cầu của Luật Doanh nghiệp và pháp luật chuyên ngành thành cơ chế phân quyền, kiểm soát vốn, quản trị người điều hành, bảo vệ dữ liệu và quản lý tài sản công nghệ.</w:t>
      </w:r>
    </w:p>
    <w:p>
      <w:pPr>
        <w:pStyle w:val="Heading3"/>
        <w:keepNext w:val="true"/>
        <w:spacing w:before="120" w:after="100"/>
        <w:rPr/>
      </w:pPr>
      <w:r>
        <w:rPr>
          <w:rFonts w:eastAsia="Times New Roman" w:cs="Times New Roman" w:ascii="Times New Roman" w:hAnsi="Times New Roman"/>
          <w:b/>
          <w:color w:val="000000"/>
          <w:sz w:val="26"/>
        </w:rPr>
        <w:t>7.1.2. Nội dung trình diễn.</w:t>
      </w:r>
    </w:p>
    <w:p>
      <w:pPr>
        <w:pStyle w:val="Normal"/>
        <w:spacing w:lineRule="auto" w:line="312" w:before="0" w:after="120"/>
        <w:ind w:firstLine="567"/>
        <w:jc w:val="both"/>
        <w:rPr/>
      </w:pPr>
      <w:r>
        <w:rPr>
          <w:rFonts w:eastAsia="Times New Roman" w:cs="Times New Roman"/>
          <w:color w:val="000000"/>
          <w:sz w:val="26"/>
        </w:rPr>
        <w:t>Bản demo tập trung vào cơ cấu năm cổ đông sáng lập; vốn điều lệ, loại cổ phần và thời hạn góp vốn; thẩm quyền của Đại hội đồng cổ đông, Hội đồng quản trị và Giám đốc hoặc Tổng giám đốc; cơ chế tiếp nhận nhà đầu tư mới; quản lý xung đột lợi ích; bảo vệ mã nguồn, dữ liệu và hệ thống; cùng nguyên tắc ra quyết định đối với giấy phép hoạt động cung ứng dịch vụ trung gian thanh toán.</w:t>
      </w:r>
    </w:p>
    <w:p>
      <w:pPr>
        <w:pStyle w:val="Heading3"/>
        <w:keepNext w:val="true"/>
        <w:spacing w:before="120" w:after="100"/>
        <w:rPr/>
      </w:pPr>
      <w:r>
        <w:rPr>
          <w:rFonts w:eastAsia="Times New Roman" w:cs="Times New Roman" w:ascii="Times New Roman" w:hAnsi="Times New Roman"/>
          <w:b/>
          <w:color w:val="000000"/>
          <w:sz w:val="26"/>
        </w:rPr>
        <w:t>7.1.3. Phương án thuyết trình.</w:t>
      </w:r>
    </w:p>
    <w:p>
      <w:pPr>
        <w:pStyle w:val="Normal"/>
        <w:spacing w:lineRule="auto" w:line="312" w:before="0" w:after="120"/>
        <w:ind w:firstLine="567"/>
        <w:jc w:val="both"/>
        <w:rPr/>
      </w:pPr>
      <w:r>
        <w:rPr>
          <w:rFonts w:eastAsia="Times New Roman" w:cs="Times New Roman"/>
          <w:color w:val="000000"/>
          <w:sz w:val="26"/>
        </w:rPr>
        <w:t>Khi demo, nhóm trình bày sơ đồ cơ cấu quản trị, lựa chọn một tình huống giả định về tiếp nhận nhà đầu tư mới và minh họa cách Điều lệ phân định thẩm quyền thông qua nghị quyết. Phần trình diễn phải làm rõ rằng Giấy chứng nhận đăng ký doanh nghiệp và Điều lệ không thay thế giấy phép chuyên ngành do Ngân hàng Nhà nước cấp.</w:t>
      </w:r>
    </w:p>
    <w:p>
      <w:pPr>
        <w:pStyle w:val="Heading3"/>
        <w:keepNext w:val="true"/>
        <w:spacing w:before="120" w:after="100"/>
        <w:rPr/>
      </w:pPr>
      <w:r>
        <w:rPr>
          <w:rFonts w:eastAsia="Times New Roman" w:cs="Times New Roman" w:ascii="Times New Roman" w:hAnsi="Times New Roman"/>
          <w:b/>
          <w:color w:val="000000"/>
          <w:sz w:val="26"/>
        </w:rPr>
        <w:t>7.1.4. Giá trị đối với nhà đầu tư.</w:t>
      </w:r>
    </w:p>
    <w:p>
      <w:pPr>
        <w:pStyle w:val="Normal"/>
        <w:spacing w:lineRule="auto" w:line="312" w:before="0" w:after="120"/>
        <w:ind w:firstLine="567"/>
        <w:jc w:val="both"/>
        <w:rPr/>
      </w:pPr>
      <w:r>
        <w:rPr>
          <w:rFonts w:eastAsia="Times New Roman" w:cs="Times New Roman"/>
          <w:color w:val="000000"/>
          <w:sz w:val="26"/>
        </w:rPr>
        <w:t>Điều lệ giúp nhà đầu tư nhìn thấy cơ chế kiểm soát quyền lực, bảo vệ vốn góp, xử lý bế tắc và duy trì tính liên tục của hoạt động. Văn bản quản trị rõ ràng còn tạo thuận lợi cho quá trình thẩm định pháp lý, gọi vốn và giải trình về năng lực quản trị của doanh nghiệp ví điện tử.</w:t>
      </w:r>
    </w:p>
    <w:p>
      <w:pPr>
        <w:pStyle w:val="Heading2"/>
        <w:keepNext w:val="true"/>
        <w:spacing w:before="120" w:after="100"/>
        <w:rPr/>
      </w:pPr>
      <w:r>
        <w:rPr>
          <w:rFonts w:eastAsia="Times New Roman" w:cs="Times New Roman" w:ascii="Times New Roman" w:hAnsi="Times New Roman"/>
          <w:b/>
          <w:color w:val="000000"/>
          <w:sz w:val="26"/>
        </w:rPr>
        <w:t>7.2. Demo Hợp đồng mở và sử dụng ví điện tử.</w:t>
      </w:r>
    </w:p>
    <w:p>
      <w:pPr>
        <w:pStyle w:val="Heading3"/>
        <w:keepNext w:val="true"/>
        <w:spacing w:before="120" w:after="100"/>
        <w:rPr/>
      </w:pPr>
      <w:r>
        <w:rPr>
          <w:rFonts w:eastAsia="Times New Roman" w:cs="Times New Roman" w:ascii="Times New Roman" w:hAnsi="Times New Roman"/>
          <w:b/>
          <w:color w:val="000000"/>
          <w:sz w:val="26"/>
        </w:rPr>
        <w:t>7.2.1. Mục đích lựa chọn sản phẩm demo.</w:t>
      </w:r>
    </w:p>
    <w:p>
      <w:pPr>
        <w:pStyle w:val="Normal"/>
        <w:spacing w:lineRule="auto" w:line="312" w:before="0" w:after="120"/>
        <w:ind w:firstLine="567"/>
        <w:jc w:val="both"/>
        <w:rPr/>
      </w:pPr>
      <w:r>
        <w:rPr>
          <w:rFonts w:eastAsia="Times New Roman" w:cs="Times New Roman"/>
          <w:color w:val="000000"/>
          <w:sz w:val="26"/>
        </w:rPr>
        <w:t>Hợp đồng mở và sử dụng ví điện tử được lựa chọn làm sản phẩm demo thứ hai vì đây là tài liệu trực tiếp điều chỉnh quan hệ giữa doanh nghiệp cung ứng ví và người sử dụng. Sản phẩm thể hiện khả năng chuyển yêu cầu pháp luật về thanh toán, bảo vệ người tiêu dùng, dữ liệu cá nhân và phòng, chống rửa tiền thành điều khoản có thể áp dụng trong vận hành.</w:t>
      </w:r>
    </w:p>
    <w:p>
      <w:pPr>
        <w:pStyle w:val="Heading3"/>
        <w:keepNext w:val="true"/>
        <w:spacing w:before="120" w:after="100"/>
        <w:rPr/>
      </w:pPr>
      <w:r>
        <w:rPr>
          <w:rFonts w:eastAsia="Times New Roman" w:cs="Times New Roman" w:ascii="Times New Roman" w:hAnsi="Times New Roman"/>
          <w:b/>
          <w:color w:val="000000"/>
          <w:sz w:val="26"/>
        </w:rPr>
        <w:t>7.2.2. Nội dung trình diễn.</w:t>
      </w:r>
    </w:p>
    <w:p>
      <w:pPr>
        <w:pStyle w:val="Normal"/>
        <w:spacing w:lineRule="auto" w:line="312" w:before="0" w:after="120"/>
        <w:ind w:firstLine="567"/>
        <w:jc w:val="both"/>
        <w:rPr/>
      </w:pPr>
      <w:r>
        <w:rPr>
          <w:rFonts w:eastAsia="Times New Roman" w:cs="Times New Roman"/>
          <w:color w:val="000000"/>
          <w:sz w:val="26"/>
        </w:rPr>
        <w:t>Bản demo bao quát điều kiện mở ví; nhận biết và xác minh khách hàng; liên kết tài khoản hoặc thẻ ngân hàng; nạp, rút, chuyển tiền và thanh toán; hạn mức và phí; xác thực giao dịch; bảo mật; tra soát, khiếu nại và hoàn tiền; tạm khóa, phong tỏa, đóng ví; trách nhiệm khi có giao dịch gian lận hoặc sự cố hệ thống; cùng nguyên tắc xử lý dữ liệu cá nhân.</w:t>
      </w:r>
    </w:p>
    <w:p>
      <w:pPr>
        <w:pStyle w:val="Heading3"/>
        <w:keepNext w:val="true"/>
        <w:spacing w:before="120" w:after="100"/>
        <w:rPr/>
      </w:pPr>
      <w:r>
        <w:rPr>
          <w:rFonts w:eastAsia="Times New Roman" w:cs="Times New Roman" w:ascii="Times New Roman" w:hAnsi="Times New Roman"/>
          <w:b/>
          <w:color w:val="000000"/>
          <w:sz w:val="26"/>
        </w:rPr>
        <w:t>7.2.3. Phương án thuyết trình.</w:t>
      </w:r>
    </w:p>
    <w:p>
      <w:pPr>
        <w:pStyle w:val="Normal"/>
        <w:spacing w:lineRule="auto" w:line="312" w:before="0" w:after="120"/>
        <w:ind w:firstLine="567"/>
        <w:jc w:val="both"/>
        <w:rPr/>
      </w:pPr>
      <w:r>
        <w:rPr>
          <w:rFonts w:eastAsia="Times New Roman" w:cs="Times New Roman"/>
          <w:color w:val="000000"/>
          <w:sz w:val="26"/>
        </w:rPr>
        <w:t>Nhóm sử dụng một tình huống giả định về giao dịch thanh toán không thành công nhưng tài khoản đã bị trừ tiền. Qua tình huống này, nhóm minh họa cách hợp đồng xác định trạng thái giao dịch, nguồn dữ liệu đối soát, thời hạn tra soát, trách nhiệm thông báo, hoàn tiền và bảo toàn chứng cứ điện tử.</w:t>
      </w:r>
    </w:p>
    <w:p>
      <w:pPr>
        <w:pStyle w:val="Heading3"/>
        <w:keepNext w:val="true"/>
        <w:spacing w:before="120" w:after="100"/>
        <w:rPr/>
      </w:pPr>
      <w:r>
        <w:rPr>
          <w:rFonts w:eastAsia="Times New Roman" w:cs="Times New Roman" w:ascii="Times New Roman" w:hAnsi="Times New Roman"/>
          <w:b/>
          <w:color w:val="000000"/>
          <w:sz w:val="26"/>
        </w:rPr>
        <w:t>7.2.4. Giá trị đối với nhà đầu tư.</w:t>
      </w:r>
    </w:p>
    <w:p>
      <w:pPr>
        <w:pStyle w:val="Normal"/>
        <w:spacing w:lineRule="auto" w:line="312" w:before="0" w:after="120"/>
        <w:ind w:firstLine="567"/>
        <w:jc w:val="both"/>
        <w:rPr/>
      </w:pPr>
      <w:r>
        <w:rPr>
          <w:rFonts w:eastAsia="Times New Roman" w:cs="Times New Roman"/>
          <w:color w:val="000000"/>
          <w:sz w:val="26"/>
        </w:rPr>
        <w:t>Hợp đồng giúp tiêu chuẩn hóa hành trình khách hàng và giảm rủi ro tranh chấp, xử phạt hoặc tổn thất uy tín. Đối với nhà đầu tư, sản phẩm demo cho thấy dự án đã gắn nghĩa vụ pháp lý với quy trình vận hành thực tế, qua đó tăng khả năng kiểm soát rủi ro và mở rộng quy mô dịch vụ.</w:t>
      </w:r>
    </w:p>
    <w:p>
      <w:pPr>
        <w:pStyle w:val="Heading1"/>
        <w:keepNext w:val="true"/>
        <w:spacing w:before="160" w:after="100"/>
        <w:jc w:val="center"/>
        <w:rPr/>
      </w:pPr>
      <w:r>
        <w:rPr>
          <w:rFonts w:eastAsia="Times New Roman" w:cs="Times New Roman" w:ascii="Times New Roman" w:hAnsi="Times New Roman"/>
          <w:b/>
          <w:color w:val="000000"/>
          <w:sz w:val="26"/>
        </w:rPr>
        <w:t>KẾT LUẬN VÀ KIẾN NGHỊ.</w:t>
      </w:r>
    </w:p>
    <w:p>
      <w:pPr>
        <w:pStyle w:val="Normal"/>
        <w:spacing w:lineRule="auto" w:line="312" w:before="0" w:after="120"/>
        <w:ind w:firstLine="567"/>
        <w:jc w:val="both"/>
        <w:rPr/>
      </w:pPr>
      <w:r>
        <w:rPr>
          <w:rFonts w:eastAsia="Times New Roman" w:cs="Times New Roman"/>
          <w:color w:val="000000"/>
          <w:sz w:val="26"/>
        </w:rPr>
        <w:t>Chương trình sáu nhóm dịch vụ của chúng tôi cung cấp cho nhà đầu tư một lộ trình pháp lý xuyên suốt từ ý tưởng đến vận hành và xử lý sự cố. Lợi ích không chỉ nằm ở việc có đủ văn bản, mà ở sự thống nhất giữa mô hình kinh doanh, cơ cấu quản trị, giấy phép, hợp đồng, quy trình dữ liệu và cơ chế kiểm soát rủi ro.</w:t>
      </w:r>
    </w:p>
    <w:p>
      <w:pPr>
        <w:pStyle w:val="Normal"/>
        <w:spacing w:lineRule="auto" w:line="312" w:before="0" w:after="120"/>
        <w:ind w:firstLine="567"/>
        <w:jc w:val="both"/>
        <w:rPr/>
      </w:pPr>
      <w:r>
        <w:rPr>
          <w:rFonts w:eastAsia="Times New Roman" w:cs="Times New Roman"/>
          <w:color w:val="000000"/>
          <w:sz w:val="26"/>
        </w:rPr>
        <w:t>Nhà đầu tư nên triển khai trước gói cơ bản để thẩm định mô hình, sau đó thực hiện gói tối thiểu đồng thời với quá trình thành lập và chuẩn bị cấp phép. Gói nâng cao được triển khai trước khi ra mắt chính thức và duy trì trong quá trình mở rộng đối tác. Mỗi giai đoạn cần có biên bản chốt phạm vi, danh mục hồ sơ đầu vào, sản phẩm bàn giao và người có thẩm quyền phê duyệt để tránh hiểu sai trách nhiệm giữa chúng tôi và khách hàng.</w:t>
      </w:r>
    </w:p>
    <w:p>
      <w:pPr>
        <w:pStyle w:val="Heading1"/>
        <w:keepNext w:val="true"/>
        <w:spacing w:before="160" w:after="100"/>
        <w:jc w:val="center"/>
        <w:rPr/>
      </w:pPr>
      <w:r>
        <w:rPr>
          <w:rFonts w:eastAsia="Times New Roman" w:cs="Times New Roman" w:ascii="Times New Roman" w:hAnsi="Times New Roman"/>
          <w:b/>
          <w:color w:val="000000"/>
          <w:sz w:val="26"/>
        </w:rPr>
        <w:t>DANH MỤC CĂN CỨ PHÁP LÝ CẬP NHẬT.</w:t>
      </w:r>
    </w:p>
    <w:p>
      <w:pPr>
        <w:pStyle w:val="ListNumber"/>
        <w:numPr>
          <w:ilvl w:val="0"/>
          <w:numId w:val="4"/>
        </w:numPr>
        <w:ind w:hanging="0" w:start="360"/>
        <w:rPr/>
      </w:pPr>
      <w:r>
        <w:rPr>
          <w:rFonts w:eastAsia="Times New Roman" w:cs="Times New Roman"/>
          <w:color w:val="000000"/>
          <w:sz w:val="26"/>
        </w:rPr>
        <w:t>Bộ luật Dân sự số 91/2015/QH13.</w:t>
      </w:r>
    </w:p>
    <w:p>
      <w:pPr>
        <w:pStyle w:val="ListNumber"/>
        <w:numPr>
          <w:ilvl w:val="0"/>
          <w:numId w:val="4"/>
        </w:numPr>
        <w:ind w:hanging="0" w:start="360"/>
        <w:rPr/>
      </w:pPr>
      <w:r>
        <w:rPr>
          <w:rFonts w:eastAsia="Times New Roman" w:cs="Times New Roman"/>
          <w:color w:val="000000"/>
          <w:sz w:val="26"/>
        </w:rPr>
        <w:t>Bộ luật Lao động số 45/2019/QH14.</w:t>
      </w:r>
    </w:p>
    <w:p>
      <w:pPr>
        <w:pStyle w:val="ListNumber"/>
        <w:numPr>
          <w:ilvl w:val="0"/>
          <w:numId w:val="4"/>
        </w:numPr>
        <w:ind w:hanging="0" w:start="360"/>
        <w:rPr/>
      </w:pPr>
      <w:r>
        <w:rPr>
          <w:rFonts w:eastAsia="Times New Roman" w:cs="Times New Roman"/>
          <w:color w:val="000000"/>
          <w:sz w:val="26"/>
        </w:rPr>
        <w:t>Luật Doanh nghiệp số 59/2020/QH14, được sửa đổi, bổ sung bởi Luật số 76/2025/QH15.</w:t>
      </w:r>
    </w:p>
    <w:p>
      <w:pPr>
        <w:pStyle w:val="ListNumber"/>
        <w:numPr>
          <w:ilvl w:val="0"/>
          <w:numId w:val="4"/>
        </w:numPr>
        <w:ind w:hanging="0" w:start="360"/>
        <w:rPr/>
      </w:pPr>
      <w:r>
        <w:rPr>
          <w:rFonts w:eastAsia="Times New Roman" w:cs="Times New Roman"/>
          <w:color w:val="000000"/>
          <w:sz w:val="26"/>
        </w:rPr>
        <w:t>Luật Phòng, chống rửa tiền số 14/2022/QH15.</w:t>
      </w:r>
    </w:p>
    <w:p>
      <w:pPr>
        <w:pStyle w:val="ListNumber"/>
        <w:numPr>
          <w:ilvl w:val="0"/>
          <w:numId w:val="4"/>
        </w:numPr>
        <w:ind w:hanging="0" w:start="360"/>
        <w:rPr/>
      </w:pPr>
      <w:r>
        <w:rPr>
          <w:rFonts w:eastAsia="Times New Roman" w:cs="Times New Roman"/>
          <w:color w:val="000000"/>
          <w:sz w:val="26"/>
        </w:rPr>
        <w:t>Luật Giao dịch điện tử số 20/2023/QH15.</w:t>
      </w:r>
    </w:p>
    <w:p>
      <w:pPr>
        <w:pStyle w:val="ListNumber"/>
        <w:numPr>
          <w:ilvl w:val="0"/>
          <w:numId w:val="4"/>
        </w:numPr>
        <w:ind w:hanging="0" w:start="360"/>
        <w:rPr/>
      </w:pPr>
      <w:r>
        <w:rPr>
          <w:rFonts w:eastAsia="Times New Roman" w:cs="Times New Roman"/>
          <w:color w:val="000000"/>
          <w:sz w:val="26"/>
        </w:rPr>
        <w:t>Luật Bảo vệ quyền lợi người tiêu dùng số 19/2023/QH15.</w:t>
      </w:r>
    </w:p>
    <w:p>
      <w:pPr>
        <w:pStyle w:val="ListNumber"/>
        <w:numPr>
          <w:ilvl w:val="0"/>
          <w:numId w:val="4"/>
        </w:numPr>
        <w:ind w:hanging="0" w:start="360"/>
        <w:rPr/>
      </w:pPr>
      <w:r>
        <w:rPr>
          <w:rFonts w:eastAsia="Times New Roman" w:cs="Times New Roman"/>
          <w:color w:val="000000"/>
          <w:sz w:val="26"/>
        </w:rPr>
        <w:t>Luật Dữ liệu số 60/2024/QH15.</w:t>
      </w:r>
    </w:p>
    <w:p>
      <w:pPr>
        <w:pStyle w:val="ListNumber"/>
        <w:numPr>
          <w:ilvl w:val="0"/>
          <w:numId w:val="4"/>
        </w:numPr>
        <w:ind w:hanging="0" w:start="360"/>
        <w:rPr/>
      </w:pPr>
      <w:r>
        <w:rPr>
          <w:rFonts w:eastAsia="Times New Roman" w:cs="Times New Roman"/>
          <w:color w:val="000000"/>
          <w:sz w:val="26"/>
        </w:rPr>
        <w:t>Luật Bảo vệ dữ liệu cá nhân số 91/2025/QH15 và Nghị định số 356/2025/NĐ-CP.</w:t>
      </w:r>
    </w:p>
    <w:p>
      <w:pPr>
        <w:pStyle w:val="ListNumber"/>
        <w:numPr>
          <w:ilvl w:val="0"/>
          <w:numId w:val="4"/>
        </w:numPr>
        <w:ind w:hanging="0" w:start="360"/>
        <w:rPr/>
      </w:pPr>
      <w:r>
        <w:rPr>
          <w:rFonts w:eastAsia="Times New Roman" w:cs="Times New Roman"/>
          <w:color w:val="000000"/>
          <w:sz w:val="26"/>
        </w:rPr>
        <w:t>Nghị định số 52/2024/NĐ-CP về thanh toán không dùng tiền mặt.</w:t>
      </w:r>
    </w:p>
    <w:p>
      <w:pPr>
        <w:pStyle w:val="ListNumber"/>
        <w:numPr>
          <w:ilvl w:val="0"/>
          <w:numId w:val="4"/>
        </w:numPr>
        <w:spacing w:before="0" w:after="120"/>
        <w:ind w:hanging="0" w:start="360"/>
        <w:contextualSpacing/>
        <w:rPr/>
      </w:pPr>
      <w:r>
        <w:rPr>
          <w:rFonts w:eastAsia="Times New Roman" w:cs="Times New Roman"/>
          <w:color w:val="000000"/>
          <w:sz w:val="26"/>
        </w:rPr>
        <w:t>Văn bản hợp nhất số 29/VBHN-NHNN ngày 08/12/2025 quy định về hoạt động cung ứng dịch vụ trung gian thanh toán.</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0</w:t>
    </w:r>
    <w:r>
      <w:rPr>
        <w:rFonts w:eastAsia="Times New Roman" w:cs="Times New Roman"/>
        <w:color w:val="000000"/>
        <w:sz w:val="2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80</w:t>
    </w:r>
    <w:r>
      <w:rPr>
        <w:rFonts w:eastAsia="Times New Roman" w:cs="Times New Roman"/>
        <w:color w:val="000000"/>
        <w:sz w:val="2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80</w:t>
    </w:r>
    <w:r>
      <w:rPr>
        <w:rFonts w:eastAsia="Times New Roman" w:cs="Times New Roman"/>
        <w:color w:val="000000"/>
        <w:sz w:val="2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12" w:before="0" w:after="120"/>
      <w:ind w:firstLine="567"/>
      <w:jc w:val="both"/>
    </w:pPr>
    <w:rPr>
      <w:rFonts w:ascii="Times New Roman" w:hAnsi="Times New Roman" w:eastAsia="Times New Roman" w:cs="Times New Roman"/>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ind w:hanging="0"/>
      <w:jc w:val="start"/>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ind w:hanging="0"/>
      <w:jc w:val="start"/>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ind w:hanging="0"/>
      <w:jc w:val="start"/>
      <w:outlineLvl w:val="2"/>
    </w:pPr>
    <w:rPr>
      <w:rFonts w:ascii="Calibri" w:hAnsi="Calibri" w:eastAsia=""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sz w:val="26"/>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sz w:val="26"/>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sz w:val="26"/>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6"/>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6"/>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customStyle="1">
    <w:name w:val="Heading"/>
    <w:basedOn w:val="Normal"/>
    <w:next w:val="BodyText"/>
    <w:qFormat/>
    <w:pPr>
      <w:keepNext w:val="true"/>
      <w:spacing w:before="240" w:after="120"/>
    </w:pPr>
    <w:rPr>
      <w:rFonts w:ascii="Times New Roman" w:hAnsi="Times New Roman" w:eastAsia="Times New Roman" w:cs="Times New Roman"/>
      <w:color w:val="000000"/>
      <w:sz w:val="26"/>
      <w:szCs w:val="28"/>
    </w:rPr>
  </w:style>
  <w:style w:type="paragraph" w:styleId="BodyText">
    <w:name w:val="Body Text"/>
    <w:basedOn w:val="Normal"/>
    <w:link w:val="BodyTextChar"/>
    <w:uiPriority w:val="99"/>
    <w:unhideWhenUsed/>
    <w:rsid w:val="00aa1d8d"/>
    <w:pPr/>
    <w:rPr>
      <w:rFonts w:ascii="Times New Roman" w:hAnsi="Times New Roman" w:eastAsia="Times New Roman" w:cs="Times New Roman"/>
      <w:color w:val="000000"/>
      <w:sz w:val="26"/>
    </w:rPr>
  </w:style>
  <w:style w:type="paragraph" w:styleId="List">
    <w:name w:val="List"/>
    <w:basedOn w:val="Normal"/>
    <w:uiPriority w:val="99"/>
    <w:unhideWhenUsed/>
    <w:rsid w:val="00aa1d8d"/>
    <w:pPr>
      <w:spacing w:before="0" w:after="120"/>
      <w:ind w:hanging="360" w:start="360"/>
      <w:contextualSpacing/>
    </w:pPr>
    <w:rPr>
      <w:rFonts w:ascii="Times New Roman" w:hAnsi="Times New Roman" w:eastAsia="Times New Roman" w:cs="Times New Roman"/>
      <w:color w:val="000000"/>
      <w:sz w:val="26"/>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bCs/>
      <w:color w:val="000000"/>
      <w:sz w:val="26"/>
      <w:szCs w:val="18"/>
    </w:rPr>
  </w:style>
  <w:style w:type="paragraph" w:styleId="Index" w:customStyle="1">
    <w:name w:val="Index"/>
    <w:basedOn w:val="Normal"/>
    <w:qFormat/>
    <w:pPr>
      <w:suppressLineNumbers/>
    </w:pPr>
    <w:rPr>
      <w:rFonts w:ascii="Times New Roman" w:hAnsi="Times New Roman" w:eastAsia="Times New Roman" w:cs="Times New Roman"/>
      <w:color w:val="000000"/>
      <w:sz w:val="26"/>
    </w:rPr>
  </w:style>
  <w:style w:type="paragraph" w:styleId="HeaderandFooter" w:customStyle="1">
    <w:name w:val="Header and Footer"/>
    <w:basedOn w:val="Normal"/>
    <w:qFormat/>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000000"/>
      <w:kern w:val="0"/>
      <w:sz w:val="26"/>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00"/>
      <w:ind w:hanging="0"/>
      <w:contextualSpacing/>
      <w:jc w:val="start"/>
    </w:pPr>
    <w:rPr>
      <w:rFonts w:ascii="Calibri" w:hAnsi="Calibri" w:eastAsia="" w:cs="" w:asciiTheme="majorHAnsi" w:cstheme="majorBidi" w:eastAsiaTheme="majorEastAsia" w:hAnsiTheme="majorHAnsi"/>
      <w:b/>
      <w:color w:val="000000"/>
      <w:spacing w:val="5"/>
      <w:kern w:val="2"/>
      <w:sz w:val="2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6"/>
      <w:szCs w:val="24"/>
    </w:rPr>
  </w:style>
  <w:style w:type="paragraph" w:styleId="ListParagraph">
    <w:name w:val="List Paragraph"/>
    <w:basedOn w:val="Normal"/>
    <w:uiPriority w:val="34"/>
    <w:qFormat/>
    <w:rsid w:val="00fc693f"/>
    <w:pPr>
      <w:spacing w:before="0" w:after="120"/>
      <w:ind w:start="720"/>
      <w:contextualSpacing/>
    </w:pPr>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qFormat/>
    <w:rsid w:val="00aa1d8d"/>
    <w:pPr>
      <w:spacing w:lineRule="auto" w:line="480"/>
    </w:pPr>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qFormat/>
    <w:rsid w:val="00aa1d8d"/>
    <w:pPr/>
    <w:rPr>
      <w:rFonts w:ascii="Times New Roman" w:hAnsi="Times New Roman" w:eastAsia="Times New Roman" w:cs="Times New Roman"/>
      <w:color w:val="000000"/>
      <w:sz w:val="26"/>
      <w:szCs w:val="16"/>
    </w:rPr>
  </w:style>
  <w:style w:type="paragraph" w:styleId="List2">
    <w:name w:val="List 2"/>
    <w:basedOn w:val="Normal"/>
    <w:uiPriority w:val="99"/>
    <w:unhideWhenUsed/>
    <w:qFormat/>
    <w:rsid w:val="00326f90"/>
    <w:pPr>
      <w:spacing w:before="0" w:after="120"/>
      <w:ind w:hanging="360" w:start="720"/>
      <w:contextualSpacing/>
    </w:pPr>
    <w:rPr>
      <w:rFonts w:ascii="Times New Roman" w:hAnsi="Times New Roman" w:eastAsia="Times New Roman" w:cs="Times New Roman"/>
      <w:color w:val="000000"/>
      <w:sz w:val="26"/>
    </w:rPr>
  </w:style>
  <w:style w:type="paragraph" w:styleId="List3">
    <w:name w:val="List 3"/>
    <w:basedOn w:val="Normal"/>
    <w:uiPriority w:val="99"/>
    <w:unhideWhenUsed/>
    <w:qFormat/>
    <w:rsid w:val="00326f90"/>
    <w:pPr>
      <w:spacing w:before="0" w:after="120"/>
      <w:ind w:hanging="360" w:start="108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ilvl w:val="0"/>
        <w:numId w:val="1"/>
      </w:numPr>
      <w:spacing w:before="0" w:after="12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ilvl w:val="0"/>
        <w:numId w:val="2"/>
      </w:numPr>
      <w:spacing w:before="0" w:after="120"/>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ilvl w:val="0"/>
        <w:numId w:val="3"/>
      </w:numPr>
      <w:spacing w:before="0" w:after="120"/>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ilvl w:val="0"/>
        <w:numId w:val="4"/>
      </w:numPr>
      <w:spacing w:before="0" w:after="12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ilvl w:val="0"/>
        <w:numId w:val="5"/>
      </w:numPr>
      <w:spacing w:before="0" w:after="120"/>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ilvl w:val="0"/>
        <w:numId w:val="6"/>
      </w:numPr>
      <w:spacing w:before="0" w:after="120"/>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before="0" w:after="120"/>
      <w:ind w:star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before="0" w:after="120"/>
      <w:ind w:star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before="0" w:after="120"/>
      <w:ind w:star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Times New Roman" w:hAnsi="Times New Roman" w:eastAsia="" w:cs="" w:cstheme="minorBidi" w:eastAsiaTheme="minorEastAsia"/>
      <w:color w:val="000000"/>
      <w:kern w:val="0"/>
      <w:sz w:val="26"/>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Times New Roman" w:hAnsi="Times New Roman" w:eastAsia="Times New Roman" w:cs="Times New Roman"/>
      <w:b/>
      <w:bCs/>
      <w:i/>
      <w:iCs/>
      <w:color w:val="000000"/>
      <w:sz w:val="26"/>
    </w:rPr>
  </w:style>
  <w:style w:type="paragraph" w:styleId="IndexHeading">
    <w:name w:val="index heading"/>
    <w:basedOn w:val="Heading"/>
    <w:pPr/>
    <w:rPr>
      <w:rFonts w:ascii="Times New Roman" w:hAnsi="Times New Roman" w:eastAsia="Times New Roman" w:cs="Times New Roman"/>
      <w:color w:val="000000"/>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paragraph" w:styleId="TOC1" w:customStyle="1">
    <w:name w:val="toc 1"/>
    <w:pPr>
      <w:widowControl/>
      <w:suppressAutoHyphens w:val="true"/>
      <w:bidi w:val="0"/>
      <w:spacing w:lineRule="auto" w:line="240" w:before="0" w:after="20"/>
      <w:ind w:hanging="0" w:start="0"/>
      <w:jc w:val="start"/>
    </w:pPr>
    <w:rPr>
      <w:rFonts w:ascii="Times New Roman" w:hAnsi="Times New Roman" w:eastAsia="Times New Roman" w:cs="Times New Roman"/>
      <w:b/>
      <w:color w:val="000000"/>
      <w:kern w:val="0"/>
      <w:sz w:val="26"/>
      <w:szCs w:val="22"/>
      <w:lang w:val="en-US" w:eastAsia="en-US" w:bidi="ar-SA"/>
    </w:rPr>
  </w:style>
  <w:style w:type="paragraph" w:styleId="TOC2" w:customStyle="1">
    <w:name w:val="toc 2"/>
    <w:pPr>
      <w:widowControl/>
      <w:suppressAutoHyphens w:val="true"/>
      <w:bidi w:val="0"/>
      <w:spacing w:lineRule="auto" w:line="240" w:before="0" w:after="20"/>
      <w:ind w:hanging="0" w:start="397"/>
      <w:jc w:val="start"/>
    </w:pPr>
    <w:rPr>
      <w:rFonts w:ascii="Times New Roman" w:hAnsi="Times New Roman" w:eastAsia="Times New Roman" w:cs="Times New Roman"/>
      <w:b w:val="false"/>
      <w:color w:val="000000"/>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Application>LibreOffice/26.2.4.2$MacOSX_AARCH64 LibreOffice_project/0229ac93fcf0d7cbc6376066c6f35021cef002dc</Application>
  <AppVersion>15.0000</AppVersion>
  <Pages>80</Pages>
  <Words>40896</Words>
  <Characters>145045</Characters>
  <CharactersWithSpaces>185239</CharactersWithSpaces>
  <Paragraphs>699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13</dc:creator>
  <dc:description>generated by python-docx</dc:description>
  <dc:language>en-US</dc:language>
  <cp:lastModifiedBy/>
  <dcterms:modified xsi:type="dcterms:W3CDTF">2026-09-07T12:13:35Z</dcterms:modified>
  <cp:revision>7</cp:revision>
  <dc:subject>Môn Thực hành nghề luật</dc:subject>
  <dc:title>Báo cáo tổng hợp dịch vụ pháp lý ví điện tử</dc:title>
</cp:coreProperties>
</file>

<file path=docProps/custom.xml><?xml version="1.0" encoding="utf-8"?>
<Properties xmlns="http://schemas.openxmlformats.org/officeDocument/2006/custom-properties" xmlns:vt="http://schemas.openxmlformats.org/officeDocument/2006/docPropsVTypes"/>
</file>