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520" w:after="120"/>
        <w:ind w:hanging="0" w:start="0"/>
        <w:jc w:val="center"/>
        <w:rPr/>
      </w:pPr>
      <w:r>
        <w:rPr/>
        <w:drawing>
          <wp:inline distT="0" distB="0" distL="0" distR="0">
            <wp:extent cx="1417320" cy="1651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17320" cy="1651635"/>
                    </a:xfrm>
                    <a:prstGeom prst="rect">
                      <a:avLst/>
                    </a:prstGeom>
                    <a:noFill/>
                  </pic:spPr>
                </pic:pic>
              </a:graphicData>
            </a:graphic>
          </wp:inline>
        </w:drawing>
      </w:r>
    </w:p>
    <w:p>
      <w:pPr>
        <w:pStyle w:val="Normal"/>
        <w:spacing w:lineRule="auto" w:line="312" w:before="0" w:after="120"/>
        <w:ind w:hanging="0" w:start="0"/>
        <w:jc w:val="center"/>
        <w:rPr/>
      </w:pPr>
      <w:r>
        <w:rPr>
          <w:rFonts w:eastAsia="Times New Roman" w:cs="Times New Roman"/>
          <w:b/>
          <w:color w:val="000000"/>
          <w:sz w:val="30"/>
        </w:rPr>
        <w:drawing>
          <wp:anchor distT="0" distB="0" distL="0" distR="0" simplePos="0" relativeHeight="3"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Khung viền bìa hoa văn Học viện Ngân hàng" descr="Khung viền trang trí màu xanh trên trang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ung viền bìa hoa văn Học viện Ngân hàng" descr="Khung viền trang trí màu xanh trên trang bìa"/>
                    <pic:cNvPicPr>
                      <a:picLocks noChangeAspect="1" noChangeArrowheads="1"/>
                    </pic:cNvPicPr>
                  </pic:nvPicPr>
                  <pic:blipFill>
                    <a:blip r:embed="rId3"/>
                    <a:stretch>
                      <a:fillRect/>
                    </a:stretch>
                  </pic:blipFill>
                  <pic:spPr bwMode="auto">
                    <a:xfrm>
                      <a:off x="0" y="0"/>
                      <a:ext cx="7560310" cy="10692130"/>
                    </a:xfrm>
                    <a:prstGeom prst="rect">
                      <a:avLst/>
                    </a:prstGeom>
                    <a:noFill/>
                  </pic:spPr>
                </pic:pic>
              </a:graphicData>
            </a:graphic>
          </wp:anchor>
        </w:drawing>
      </w:r>
      <w:r>
        <w:rPr>
          <w:rFonts w:eastAsia="Times New Roman" w:cs="Times New Roman"/>
          <w:b/>
          <w:color w:val="000000"/>
          <w:sz w:val="30"/>
        </w:rPr>
        <w:t>HỌC VIỆN NGÂN HÀNG</w:t>
      </w:r>
    </w:p>
    <w:p>
      <w:pPr>
        <w:pStyle w:val="Normal"/>
        <w:spacing w:lineRule="auto" w:line="312" w:before="0" w:after="120"/>
        <w:ind w:hanging="0" w:start="0"/>
        <w:jc w:val="center"/>
        <w:rPr/>
      </w:pPr>
      <w:r>
        <w:rPr>
          <w:rFonts w:eastAsia="Times New Roman" w:cs="Times New Roman"/>
          <w:b/>
          <w:color w:val="000000"/>
          <w:sz w:val="28"/>
        </w:rPr>
        <w:t>MÔN THỰC HÀNH NGHỀ LUẬT</w:t>
      </w:r>
    </w:p>
    <w:p>
      <w:pPr>
        <w:pStyle w:val="Normal"/>
        <w:spacing w:lineRule="auto" w:line="312" w:before="0" w:after="120"/>
        <w:ind w:hanging="0" w:start="0"/>
        <w:jc w:val="center"/>
        <w:rPr/>
      </w:pPr>
      <w:r>
        <w:rPr>
          <w:rFonts w:eastAsia="Times New Roman" w:cs="Times New Roman"/>
          <w:b/>
          <w:color w:val="000000"/>
          <w:sz w:val="40"/>
        </w:rPr>
        <w:t>BÁO CÁO TỔNG HỢP</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DỊCH VỤ PHÁP LÝ HỖ TRỢ THÀNH LẬP VÀ VẬN HÀNH</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DOANH NGHIỆP CUNG ỨNG VÍ ĐIỆN TỬ</w:t>
      </w:r>
    </w:p>
    <w:p>
      <w:pPr>
        <w:pStyle w:val="Normal"/>
        <w:spacing w:lineRule="auto" w:line="312" w:before="0" w:after="120"/>
        <w:ind w:hanging="0" w:start="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634" w:top="1201" w:footer="634" w:bottom="1201"/>
          <w:pgNumType w:fmt="decimal"/>
          <w:formProt w:val="false"/>
          <w:titlePg/>
          <w:textDirection w:val="lrTb"/>
          <w:docGrid w:type="default" w:linePitch="360" w:charSpace="0"/>
        </w:sectPr>
      </w:pPr>
      <w:r>
        <w:rPr>
          <w:rFonts w:eastAsia="Times New Roman" w:cs="Times New Roman"/>
          <w:b/>
          <w:color w:val="000000"/>
          <w:sz w:val="30"/>
        </w:rPr>
        <w:t>NHÓM 13</w:t>
      </w:r>
    </w:p>
    <w:p>
      <w:pPr>
        <w:pStyle w:val="Normal"/>
        <w:spacing w:lineRule="auto" w:line="312" w:before="360" w:after="120"/>
        <w:jc w:val="center"/>
        <w:rPr/>
      </w:pPr>
      <w:r>
        <w:rPr>
          <w:rFonts w:eastAsia="Times New Roman" w:cs="Times New Roman"/>
          <w:b/>
          <w:color w:val="000000"/>
          <w:sz w:val="26"/>
        </w:rPr>
        <w:t>DANH SÁCH THÀNH VIÊN NHÓM 13.</w:t>
      </w:r>
    </w:p>
    <w:tbl>
      <w:tblPr>
        <w:tblStyle w:val="TableGrid"/>
        <w:tblW w:w="9071" w:type="dxa"/>
        <w:jc w:val="center"/>
        <w:tblInd w:w="0" w:type="dxa"/>
        <w:tblLayout w:type="fixed"/>
        <w:tblCellMar>
          <w:top w:w="55" w:type="dxa"/>
          <w:start w:w="85" w:type="dxa"/>
          <w:bottom w:w="55" w:type="dxa"/>
          <w:end w:w="85" w:type="dxa"/>
        </w:tblCellMar>
        <w:tblLook w:noHBand="0" w:lastColumn="0" w:firstColumn="1" w:lastRow="0" w:firstRow="1" w:noVBand="1" w:val="04a0"/>
      </w:tblPr>
      <w:tblGrid>
        <w:gridCol w:w="1966"/>
        <w:gridCol w:w="4081"/>
        <w:gridCol w:w="3024"/>
      </w:tblGrid>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color w:val="000000"/>
                <w:kern w:val="0"/>
                <w:sz w:val="26"/>
                <w:szCs w:val="22"/>
                <w:lang w:val="en-US" w:eastAsia="en-US" w:bidi="ar-SA"/>
              </w:rPr>
              <w:t>STT</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color w:val="000000"/>
                <w:kern w:val="0"/>
                <w:sz w:val="26"/>
                <w:szCs w:val="22"/>
                <w:lang w:val="en-US" w:eastAsia="en-US" w:bidi="ar-SA"/>
              </w:rPr>
              <w:t>Họ và tên</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color w:val="000000"/>
                <w:kern w:val="0"/>
                <w:sz w:val="26"/>
                <w:szCs w:val="22"/>
                <w:lang w:val="en-US" w:eastAsia="en-US" w:bidi="ar-SA"/>
              </w:rPr>
              <w:t>Mã sinh viên</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Đoàn Anh Phương</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26A4062550</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Kiều Hoài Thu</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26A4060739</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3</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Trần Thị Thơ</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26A4060737</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4</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Lê Phương Thảo</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26A4062560</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5</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Vũ Anh Quân</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26A4062552</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6</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Lê Thị Hồng Nhung</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26A4062545</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7</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Phạm Dạ Thảo</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26A4060735</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8</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Nguyễn Huy Thái</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26A4062558</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9</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Phạm Văn Quang</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26A4062551</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10</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Trần Thị Thùy</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26A4062565</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11</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Vương Thu Thủy</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26A4062567</w:t>
            </w:r>
          </w:p>
        </w:tc>
      </w:tr>
      <w:tr>
        <w:trPr>
          <w:cantSplit/>
        </w:trPr>
        <w:tc>
          <w:tcPr>
            <w:tcW w:w="1966"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12</w:t>
            </w:r>
          </w:p>
        </w:tc>
        <w:tc>
          <w:tcPr>
            <w:tcW w:w="4081"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Vũ Phương Thảo</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26A4060736</w:t>
            </w:r>
          </w:p>
        </w:tc>
      </w:tr>
    </w:tbl>
    <w:p>
      <w:pPr>
        <w:pStyle w:val="Normal"/>
        <w:rPr/>
      </w:pPr>
      <w:r>
        <w:rPr/>
      </w:r>
      <w:r>
        <w:br w:type="page"/>
      </w:r>
    </w:p>
    <w:p>
      <w:pPr>
        <w:pStyle w:val="Heading1"/>
        <w:spacing w:before="0" w:after="240"/>
        <w:ind w:hanging="0"/>
        <w:jc w:val="center"/>
        <w:rPr/>
      </w:pPr>
      <w:r>
        <w:rPr>
          <w:rFonts w:eastAsia="Times New Roman" w:cs="Times New Roman" w:ascii="Times New Roman" w:hAnsi="Times New Roman"/>
          <w:b/>
          <w:color w:val="000000"/>
          <w:sz w:val="26"/>
        </w:rPr>
        <w:t>MỤC LỤC</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BỐI CẢNH VÀ ĐỊNH HƯỚNG CUNG CẤP DỊCH VỤ.</w:t>
        <w:tab/>
        <w:t>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 Thông tin doanh nghiệp.</w:t>
        <w:tab/>
        <w:t>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 Nguyên tắc triển khai.</w:t>
        <w:tab/>
        <w:t>4</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1. TƯ VẤN XÁC ĐỊNH MÔ HÌNH FINTECH (*).</w:t>
        <w:tab/>
        <w:t>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1.1. Giới thiệu dịch vụ.</w:t>
        <w:tab/>
        <w:t>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1.2. Nội dung dịch vụ.</w:t>
        <w:tab/>
        <w:t>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1.3. Phạm vi dịch vụ.</w:t>
        <w:tab/>
        <w:t>6</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1.4. Mục đích và lợi ích đối với nhà đầu tư.</w:t>
        <w:tab/>
        <w:t>6</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2. TƯ VẤN THÀNH LẬP DOANH NGHIỆP (*).</w:t>
        <w:tab/>
        <w:t>6</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2.1. Giới thiệu dịch vụ.</w:t>
        <w:tab/>
        <w:t>6</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2.2. Nội dung dịch vụ.</w:t>
        <w:tab/>
        <w:t>7</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2.3. Phạm vi dịch vụ.</w:t>
        <w:tab/>
        <w:t>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2.4. Mục đích dịch vụ.</w:t>
        <w:tab/>
        <w:t>8</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3. TƯ VẤN XÂY DỰNG CƠ SỞ PHÁP LÝ CHO HOẠT ĐỘNG NỘI BỘ.</w:t>
        <w:tab/>
        <w:t>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3.1. Giới thiệu dịch vụ.</w:t>
        <w:tab/>
        <w:t>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3.2. Nội dung dịch vụ.</w:t>
        <w:tab/>
        <w:t>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3.3. Phạm vi dịch vụ.</w:t>
        <w:tab/>
        <w:t>10</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3.4. Mục đích và lợi ích đối với nhà đầu tư.</w:t>
        <w:tab/>
        <w:t>10</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4. TƯ VẤN PHÁP LÝ PHỤC VỤ HOẠT ĐỘNG KINH DOANH.</w:t>
        <w:tab/>
        <w:t>10</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4.1. Giới thiệu dịch vụ.</w:t>
        <w:tab/>
        <w:t>10</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4.2. Nội dung dịch vụ.</w:t>
        <w:tab/>
        <w:t>11</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4.3. Phạm vi dịch vụ.</w:t>
        <w:tab/>
        <w:t>13</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4.4. Mục đích dịch vụ.</w:t>
        <w:tab/>
        <w:t>13</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5. TƯ VẤN TUÂN THỦ VÀ QUẢN TRỊ RỦI RO PHÁP LÝ.</w:t>
        <w:tab/>
        <w:t>13</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5.1. Giới thiệu dịch vụ.</w:t>
        <w:tab/>
        <w:t>13</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5.2. Nội dung dịch vụ.</w:t>
        <w:tab/>
        <w:t>14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5.3. Phạm vi dịch vụ.</w:t>
        <w:tab/>
        <w:t>14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5.4. Mục đích và lợi ích đối với nhà đầu tư.</w:t>
        <w:tab/>
        <w:t>15</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6. TƯ VẤN XỬ LÝ CÁC VẤN ĐỀ PHÁT SINH.</w:t>
        <w:tab/>
        <w:t>15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6.1. Giới thiệu dịch vụ.</w:t>
        <w:tab/>
        <w:t>15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6.2. Nội dung dịch vụ.</w:t>
        <w:tab/>
        <w:t>15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6.3. Phạm vi dịch vụ.</w:t>
        <w:tab/>
        <w:t>16</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6.4. Mục đích và lợi ích đối với nhà đầu tư.</w:t>
        <w:tab/>
        <w:t>16</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7. PHÂN NHÓM GÓI DỊCH VỤ VÀ SẢN PHẨM DEMO.</w:t>
        <w:tab/>
        <w:t>17</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7.1. Phân nhóm dịch vụ.</w:t>
        <w:tab/>
        <w:t>17</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7.2. Hai sản phẩm demo.</w:t>
        <w:tab/>
        <w:t>17</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KẾT LUẬN VÀ KIẾN NGHỊ.</w:t>
        <w:tab/>
        <w:t>18</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DANH MỤC CĂN CỨ PHÁP LÝ.</w:t>
        <w:tab/>
        <w:t>18</w:t>
      </w:r>
    </w:p>
    <w:p>
      <w:pPr>
        <w:pStyle w:val="Normal"/>
        <w:spacing w:before="0" w:after="0"/>
        <w:ind w:hanging="0"/>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BỐI CẢNH VÀ ĐỊNH HƯỚNG CUNG CẤP DỊCH VỤ.</w:t>
      </w:r>
    </w:p>
    <w:p>
      <w:pPr>
        <w:pStyle w:val="Heading2"/>
        <w:keepNext w:val="true"/>
        <w:spacing w:before="120" w:after="100"/>
        <w:rPr/>
      </w:pPr>
      <w:r>
        <w:rPr>
          <w:rFonts w:eastAsia="Times New Roman" w:cs="Times New Roman" w:ascii="Times New Roman" w:hAnsi="Times New Roman"/>
          <w:b/>
          <w:color w:val="000000"/>
          <w:sz w:val="26"/>
        </w:rPr>
        <w:t>1. Thông tin doanh nghiệp.</w:t>
      </w:r>
    </w:p>
    <w:p>
      <w:pPr>
        <w:pStyle w:val="Normal"/>
        <w:spacing w:lineRule="auto" w:line="312" w:before="0" w:after="120"/>
        <w:ind w:firstLine="567"/>
        <w:jc w:val="both"/>
        <w:rPr/>
      </w:pPr>
      <w:r>
        <w:rPr>
          <w:rFonts w:eastAsia="Times New Roman" w:cs="Times New Roman"/>
          <w:color w:val="000000"/>
          <w:sz w:val="26"/>
        </w:rPr>
        <w:t>Công ty Luật TNHH Thịnh Vượng là đơn vị cung cấp dịch vụ pháp lý cho nhóm năm nhà đầu tư trong nước đang dự kiến thành lập một công ty cổ phần tại Việt Nam để triển khai dịch vụ ví điện tử. Nhà đầu tư định hướng mức vốn điều lệ từ 50 tỷ đồng đến 200 tỷ đồng, tổ chức hoạt động trên phạm vi toàn quốc, sử dụng khoảng 15 đến 30 lao động trong năm đầu và có khả năng tiếp nhận nhà đầu tư mới, kể cả nhà đầu tư nước ngoài, trong các giai đoạn tiếp theo.</w:t>
      </w:r>
    </w:p>
    <w:p>
      <w:pPr>
        <w:pStyle w:val="Normal"/>
        <w:spacing w:lineRule="auto" w:line="312" w:before="0" w:after="120"/>
        <w:ind w:firstLine="567"/>
        <w:jc w:val="both"/>
        <w:rPr/>
      </w:pPr>
      <w:r>
        <w:rPr>
          <w:rFonts w:eastAsia="Times New Roman" w:cs="Times New Roman"/>
          <w:color w:val="000000"/>
          <w:sz w:val="26"/>
        </w:rPr>
        <w:t>Ví điện tử thuộc nhóm dịch vụ trung gian thanh toán, là ngành nghề kinh doanh có điều kiện và chịu sự quản lý chuyên ngành của Ngân hàng Nhà nước Việt Nam. Giấy chứng nhận đăng ký doanh nghiệp chỉ xác lập tư cách pháp lý của công ty, không đồng thời tạo ra quyền cung ứng dịch vụ ví điện tử. Do đó, nhà đầu tư cần triển khai đồng bộ ba lớp công việc: thành lập và quản trị doanh nghiệp; đáp ứng điều kiện, thực hiện thủ tục cấp phép chuyên ngành; xây dựng hệ thống hợp đồng, quy trình nội bộ và cơ chế tuân thủ phục vụ hoạt động thực tế.</w:t>
      </w:r>
    </w:p>
    <w:p>
      <w:pPr>
        <w:pStyle w:val="Normal"/>
        <w:spacing w:lineRule="auto" w:line="312" w:before="0" w:after="120"/>
        <w:ind w:firstLine="567"/>
        <w:jc w:val="both"/>
        <w:rPr/>
      </w:pPr>
      <w:r>
        <w:rPr>
          <w:rFonts w:eastAsia="Times New Roman" w:cs="Times New Roman"/>
          <w:color w:val="000000"/>
          <w:sz w:val="26"/>
        </w:rPr>
        <w:t>Trên cơ sở đó, chúng tôi đề xuất một chương trình tư vấn gồm sáu nhóm dịch vụ liên kết theo vòng đời của dự án. Các dịch vụ không được trình bày như những sản phẩm pháp lý rời rạc mà tạo thành một hệ thống: kết quả của giai đoạn xác định mô hình là đầu vào cho hồ sơ thành lập; điều lệ và cơ cấu quản trị là nền tảng của hoạt động nội bộ; hợp đồng kinh doanh phải phù hợp với giấy phép và quy trình kỹ thuật; cơ chế tuân thủ giúp phòng ngừa rủi ro; hồ sơ xử lý sự cố được kích hoạt khi rủi ro thực tế phát sinh.</w:t>
      </w:r>
    </w:p>
    <w:p>
      <w:pPr>
        <w:pStyle w:val="Heading2"/>
        <w:keepNext w:val="true"/>
        <w:spacing w:before="120" w:after="100"/>
        <w:rPr/>
      </w:pPr>
      <w:r>
        <w:rPr>
          <w:rFonts w:eastAsia="Times New Roman" w:cs="Times New Roman" w:ascii="Times New Roman" w:hAnsi="Times New Roman"/>
          <w:b/>
          <w:color w:val="000000"/>
          <w:sz w:val="26"/>
        </w:rPr>
        <w:t>2. Nguyên tắc triển khai.</w:t>
      </w:r>
    </w:p>
    <w:p>
      <w:pPr>
        <w:pStyle w:val="Normal"/>
        <w:spacing w:lineRule="auto" w:line="312" w:before="0" w:after="120"/>
        <w:ind w:firstLine="567"/>
        <w:jc w:val="both"/>
        <w:rPr/>
      </w:pPr>
      <w:r>
        <w:rPr>
          <w:rFonts w:eastAsia="Times New Roman" w:cs="Times New Roman"/>
          <w:color w:val="000000"/>
          <w:sz w:val="26"/>
        </w:rPr>
        <w:t>Chúng tôi thực hiện dịch vụ theo bốn nguyên tắc. Thứ nhất, mọi khuyến nghị phải bám sát đặc thù của ví điện tử, nhất là yêu cầu về giấy phép, tài khoản bảo đảm thanh toán, định danh khách hàng, an toàn hệ thống, bảo vệ dữ liệu và phòng, chống rửa tiền. Thứ hai, phạm vi dịch vụ phải minh bạch về đối tượng, thời hạn, giới hạn pháp luật và công việc không bao gồm. Thứ ba, sản phẩm bàn giao phải có khả năng sử dụng trong thực tiễn, bao gồm ý kiến tư vấn, hồ sơ, hợp đồng, quy chế, biểu mẫu và danh mục kiểm tra. Thứ tư, tư vấn pháp lý không thay thế việc thẩm định kỹ thuật, kiểm toán an toàn thông tin hoặc quyết định cấp phép của cơ quan nhà nước có thẩm quyền.</w:t>
      </w:r>
    </w:p>
    <w:p>
      <w:pPr>
        <w:pStyle w:val="Normal"/>
        <w:spacing w:lineRule="auto" w:line="312" w:before="0" w:after="120"/>
        <w:ind w:firstLine="567"/>
        <w:jc w:val="both"/>
        <w:rPr/>
      </w:pPr>
      <w:r>
        <w:rPr>
          <w:rFonts w:eastAsia="Times New Roman" w:cs="Times New Roman"/>
          <w:color w:val="000000"/>
          <w:sz w:val="26"/>
        </w:rPr>
        <w:t>Các nhận định trong báo cáo được xây dựng cho mục đích học tập môn Thực hành nghề luật và dựa trên thông tin giả định của dự án. Khi triển khai thực tế, chúng tôi phải tiếp nhận hồ sơ gốc, xác minh cơ cấu nhà đầu tư, nguồn vốn, giải pháp kỹ thuật, ngân hàng hợp tác và phạm vi chức năng của ví trước khi phát hành ý kiến pháp lý chính thức.</w:t>
      </w:r>
    </w:p>
    <w:p>
      <w:pPr>
        <w:pStyle w:val="Normal"/>
        <w:spacing w:lineRule="auto" w:line="312" w:before="0" w:after="120"/>
        <w:ind w:firstLine="567"/>
        <w:jc w:val="both"/>
        <w:rPr/>
      </w:pPr>
      <w:r>
        <w:rPr>
          <w:rFonts w:eastAsia="Times New Roman" w:cs="Times New Roman"/>
          <w:b/>
          <w:color w:val="000000"/>
          <w:sz w:val="26"/>
        </w:rPr>
        <w:t xml:space="preserve">Chú giải phân nhóm:: </w:t>
      </w:r>
      <w:r>
        <w:rPr>
          <w:rFonts w:eastAsia="Times New Roman" w:cs="Times New Roman"/>
          <w:color w:val="000000"/>
          <w:sz w:val="26"/>
        </w:rPr>
        <w:t xml:space="preserve">Đề mục có dấu (*) và bút ghi nhớ màu vàng là dịch vụ tối thiểu, cần thiết hoặc bắt buộc phải chuẩn bị để thành lập và vận hành ví điện tử. </w:t>
      </w:r>
    </w:p>
    <w:p>
      <w:pPr>
        <w:pStyle w:val="Heading1"/>
        <w:keepNext w:val="true"/>
        <w:spacing w:before="160" w:after="100"/>
        <w:jc w:val="center"/>
        <w:rPr/>
      </w:pPr>
      <w:r>
        <w:rPr>
          <w:rFonts w:eastAsia="Times New Roman" w:cs="Times New Roman" w:ascii="Times New Roman" w:hAnsi="Times New Roman"/>
          <w:b/>
          <w:color w:val="000000"/>
          <w:sz w:val="26"/>
        </w:rPr>
        <w:t>CHƯƠNG 1. TƯ VẤN XÁC ĐỊNH MÔ HÌNH FINTECH (*).</w:t>
      </w:r>
    </w:p>
    <w:p>
      <w:pPr>
        <w:pStyle w:val="Heading2"/>
        <w:keepNext w:val="true"/>
        <w:spacing w:before="120" w:after="100"/>
        <w:rPr/>
      </w:pPr>
      <w:r>
        <w:rPr>
          <w:rFonts w:eastAsia="Times New Roman" w:cs="Times New Roman" w:ascii="Times New Roman" w:hAnsi="Times New Roman"/>
          <w:b/>
          <w:color w:val="000000"/>
          <w:sz w:val="26"/>
        </w:rPr>
        <w:t>1.1. Giới thiệu dịch vụ.</w:t>
      </w:r>
    </w:p>
    <w:p>
      <w:pPr>
        <w:pStyle w:val="Normal"/>
        <w:spacing w:lineRule="auto" w:line="312" w:before="0" w:after="120"/>
        <w:ind w:firstLine="567"/>
        <w:jc w:val="both"/>
        <w:rPr/>
      </w:pPr>
      <w:r>
        <w:rPr>
          <w:rFonts w:eastAsia="Times New Roman" w:cs="Times New Roman"/>
          <w:color w:val="000000"/>
          <w:sz w:val="26"/>
        </w:rPr>
        <w:t>Dịch vụ tư vấn xác định mô hình Fintech giúp nhà đầu tư trả lời câu hỏi cốt lõi trước khi bỏ vốn: sản phẩm dự kiến có phải là ví điện tử hay một dịch vụ công nghệ hỗ trợ thanh toán; chủ thể nào chịu trách nhiệm với khách hàng; luồng tiền và dữ liệu đi qua những đơn vị nào; chức năng nào cần giấy phép; chức năng nào có thể triển khai thông qua hợp tác với ngân hàng hoặc tổ chức trung gian thanh toán đã được cấp phép. Việc phân loại đúng mô hình ngay từ đầu có ý nghĩa quyết định đối với cấu trúc doanh nghiệp, ngân sách tuân thủ, tiến độ phát triển sản phẩm và khả năng gọi vốn.</w:t>
      </w:r>
    </w:p>
    <w:p>
      <w:pPr>
        <w:pStyle w:val="Normal"/>
        <w:spacing w:lineRule="auto" w:line="312" w:before="0" w:after="120"/>
        <w:ind w:firstLine="567"/>
        <w:jc w:val="both"/>
        <w:rPr/>
      </w:pPr>
      <w:r>
        <w:rPr>
          <w:rFonts w:eastAsia="Times New Roman" w:cs="Times New Roman"/>
          <w:color w:val="000000"/>
          <w:sz w:val="26"/>
        </w:rPr>
        <w:t>Theo Nghị định số 52/2024/NĐ-CP, tổ chức cung ứng dịch vụ trung gian thanh toán là tổ chức không phải ngân hàng, chi nhánh ngân hàng nước ngoài và phải được Ngân hàng Nhà nước cấp giấy phép. Dịch vụ ví điện tử phải tuân thủ các quy định chuyên ngành về mở và sử dụng ví, liên kết tài khoản hoặc thẻ, tài khoản bảo đảm thanh toán, hạn mức giao dịch, quản lý rủi ro và bảo vệ khách hàng. Vì vậy, việc gọi một sản phẩm là “ứng dụng thanh toán” hay “nền tảng Fintech” không làm thay đổi bản chất pháp lý nếu sản phẩm thực tế tiếp nhận, lưu giữ hoặc điều chuyển giá trị thanh toán theo mô hình ví điện tử.</w:t>
      </w:r>
    </w:p>
    <w:p>
      <w:pPr>
        <w:pStyle w:val="Heading2"/>
        <w:keepNext w:val="true"/>
        <w:spacing w:before="120" w:after="100"/>
        <w:rPr/>
      </w:pPr>
      <w:r>
        <w:rPr>
          <w:rFonts w:eastAsia="Times New Roman" w:cs="Times New Roman" w:ascii="Times New Roman" w:hAnsi="Times New Roman"/>
          <w:b/>
          <w:color w:val="000000"/>
          <w:sz w:val="26"/>
        </w:rPr>
        <w:t>1.2. Nội dung dịch vụ.</w:t>
      </w:r>
    </w:p>
    <w:p>
      <w:pPr>
        <w:pStyle w:val="Normal"/>
        <w:spacing w:lineRule="auto" w:line="312" w:before="0" w:after="120"/>
        <w:ind w:firstLine="567"/>
        <w:jc w:val="both"/>
        <w:rPr/>
      </w:pPr>
      <w:r>
        <w:rPr>
          <w:rFonts w:eastAsia="Times New Roman" w:cs="Times New Roman"/>
          <w:color w:val="000000"/>
          <w:sz w:val="26"/>
        </w:rPr>
        <w:t>Công việc được triển khai theo bốn bước. Bước thứ nhất là tiếp nhận và chuẩn hóa thông tin về sản phẩm: nhóm khách hàng, chức năng nạp tiền, rút tiền, chuyển tiền, thanh toán, hoàn tiền, liên kết ngân hàng, quy trình định danh, phương thức xác thực và quan hệ với các đơn vị chấp nhận thanh toán. Bước thứ hai là lập sơ đồ pháp lý của luồng tiền, luồng dữ liệu và luồng trách nhiệm, qua đó nhận diện chủ thể chịu trách nhiệm tại từng điểm của giao dịch.</w:t>
      </w:r>
    </w:p>
    <w:p>
      <w:pPr>
        <w:pStyle w:val="Normal"/>
        <w:spacing w:lineRule="auto" w:line="312" w:before="0" w:after="120"/>
        <w:ind w:firstLine="567"/>
        <w:jc w:val="both"/>
        <w:rPr/>
      </w:pPr>
      <w:r>
        <w:rPr>
          <w:rFonts w:eastAsia="Times New Roman" w:cs="Times New Roman"/>
          <w:color w:val="000000"/>
          <w:sz w:val="26"/>
        </w:rPr>
        <w:t>Bước thứ ba là đối chiếu mô hình với pháp luật hiện hành, tập trung vào Nghị định số 52/2024/NĐ-CP và Văn bản hợp nhất số 29/VBHN-NHNN năm 2025 về hoạt động cung ứng dịch vụ trung gian thanh toán. Nội dung rà soát gồm điều kiện cấp giấy phép, phạm vi dịch vụ được phép cung ứng, yêu cầu về vốn, nhân sự, giải pháp kỹ thuật, an toàn bảo mật, tài khoản bảo đảm thanh toán, định danh khách hàng và chế độ báo cáo. Bước thứ tư là lập báo cáo thẩm định sản phẩm, trong đó phân loại các chức năng thành ba nhóm: được triển khai; chỉ được triển khai khi đáp ứng điều kiện hoặc có đối tác đủ tư cách; chưa được triển khai do vượt phạm vi pháp luật hoặc giấy phép dự kiến.</w:t>
      </w:r>
    </w:p>
    <w:p>
      <w:pPr>
        <w:pStyle w:val="Normal"/>
        <w:spacing w:lineRule="auto" w:line="312" w:before="0" w:after="120"/>
        <w:ind w:firstLine="567"/>
        <w:jc w:val="both"/>
        <w:rPr/>
      </w:pPr>
      <w:r>
        <w:rPr>
          <w:rFonts w:eastAsia="Times New Roman" w:cs="Times New Roman"/>
          <w:color w:val="000000"/>
          <w:sz w:val="26"/>
        </w:rPr>
        <w:t>Sản phẩm bàn giao gồm bản mô tả mô hình pháp lý; sơ đồ chủ thể và luồng giao dịch; danh mục giấy phép, thủ tục và tài liệu cần chuẩn bị; bảng rủi ro pháp lý theo từng chức năng; cùng khuyến nghị điều chỉnh bản mô tả sản phẩm trước khi đội ngũ kỹ thuật hoàn thiện thiết kế.</w:t>
      </w:r>
    </w:p>
    <w:p>
      <w:pPr>
        <w:pStyle w:val="Heading2"/>
        <w:keepNext w:val="true"/>
        <w:spacing w:before="120" w:after="100"/>
        <w:rPr/>
      </w:pPr>
      <w:r>
        <w:rPr>
          <w:rFonts w:eastAsia="Times New Roman" w:cs="Times New Roman" w:ascii="Times New Roman" w:hAnsi="Times New Roman"/>
          <w:b/>
          <w:color w:val="000000"/>
          <w:sz w:val="26"/>
        </w:rPr>
        <w:t>1.3. Phạm vi dịch vụ.</w:t>
      </w:r>
    </w:p>
    <w:p>
      <w:pPr>
        <w:pStyle w:val="Normal"/>
        <w:spacing w:lineRule="auto" w:line="312" w:before="0" w:after="120"/>
        <w:ind w:firstLine="567"/>
        <w:jc w:val="both"/>
        <w:rPr/>
      </w:pPr>
      <w:r>
        <w:rPr>
          <w:rFonts w:eastAsia="Times New Roman" w:cs="Times New Roman"/>
          <w:color w:val="000000"/>
          <w:sz w:val="26"/>
        </w:rPr>
        <w:t>Đối tượng áp dụng là nhóm nhà đầu tư, công ty cổ phần dự kiến thành lập và các bộ phận sản phẩm, công nghệ, vận hành, tài chính, tuân thủ có liên quan đến dự án ví điện tử. Dịch vụ được thực hiện từ giai đoạn hình thành ý tưởng đến khi nhà đầu tư chốt mô hình, chức năng cốt lõi và lộ trình xin cấp phép; có thể tiếp tục dưới hình thức thẩm định thay đổi sản phẩm trong quá trình vận hành.</w:t>
      </w:r>
    </w:p>
    <w:p>
      <w:pPr>
        <w:pStyle w:val="Normal"/>
        <w:spacing w:lineRule="auto" w:line="312" w:before="0" w:after="120"/>
        <w:ind w:firstLine="567"/>
        <w:jc w:val="both"/>
        <w:rPr/>
      </w:pPr>
      <w:r>
        <w:rPr>
          <w:rFonts w:eastAsia="Times New Roman" w:cs="Times New Roman"/>
          <w:color w:val="000000"/>
          <w:sz w:val="26"/>
        </w:rPr>
        <w:t>Phạm vi tư vấn bị giới hạn bởi các quy định cấm và điều kiện kinh doanh. Chúng tôi không tư vấn cho khách hàng triển khai dịch vụ khi chưa có giấy phép hoặc che giấu bản chất của hoạt động thanh toán dưới tên gọi dịch vụ công nghệ. Dịch vụ không bao gồm việc lập trình, kiểm thử xâm nhập, chứng nhận tiêu chuẩn kỹ thuật, kiểm toán hệ thống, thẩm định giá hoặc cam kết Ngân hàng Nhà nước sẽ cấp giấy phép. Các nội dung này cần sự tham gia của tổ chức chuyên môn phù hợp và quyết định cuối cùng thuộc cơ quan có thẩm quyền.</w:t>
      </w:r>
    </w:p>
    <w:p>
      <w:pPr>
        <w:pStyle w:val="Heading2"/>
        <w:keepNext w:val="true"/>
        <w:spacing w:before="120" w:after="100"/>
        <w:rPr/>
      </w:pPr>
      <w:r>
        <w:rPr>
          <w:rFonts w:eastAsia="Times New Roman" w:cs="Times New Roman" w:ascii="Times New Roman" w:hAnsi="Times New Roman"/>
          <w:b/>
          <w:color w:val="000000"/>
          <w:sz w:val="26"/>
        </w:rPr>
        <w:t>1.4. Mục đích và lợi ích đối với nhà đầu tư.</w:t>
      </w:r>
    </w:p>
    <w:p>
      <w:pPr>
        <w:pStyle w:val="Normal"/>
        <w:spacing w:lineRule="auto" w:line="312" w:before="0" w:after="120"/>
        <w:ind w:firstLine="567"/>
        <w:jc w:val="both"/>
        <w:rPr/>
      </w:pPr>
      <w:r>
        <w:rPr>
          <w:rFonts w:eastAsia="Times New Roman" w:cs="Times New Roman"/>
          <w:color w:val="000000"/>
          <w:sz w:val="26"/>
        </w:rPr>
        <w:t>Kết quả tư vấn giúp nhà đầu tư tránh đầu tư vào chức năng không thể được cấp phép hoặc phải sửa đổi kiến trúc sản phẩm khi đã phát sinh chi phí lớn. Báo cáo thẩm định cũng là cơ sở để phân bổ ngân sách, lựa chọn ngân hàng hợp tác, xác định nhu cầu nhân sự và xây dựng lộ trình gọi vốn. Đối với nhà đầu tư mới, hồ sơ pháp lý rõ ràng cho thấy dự án đã nhận diện đúng ngành nghề có điều kiện, hiểu trách nhiệm quản trị và không đánh đổi tuân thủ để lấy tốc độ tăng trưởng ngắn hạn.</w:t>
      </w:r>
    </w:p>
    <w:p>
      <w:pPr>
        <w:pStyle w:val="Normal"/>
        <w:spacing w:lineRule="auto" w:line="312" w:before="0" w:after="120"/>
        <w:ind w:firstLine="567"/>
        <w:jc w:val="both"/>
        <w:rPr/>
      </w:pPr>
      <w:r>
        <w:rPr>
          <w:rFonts w:eastAsia="Times New Roman" w:cs="Times New Roman"/>
          <w:color w:val="000000"/>
          <w:sz w:val="26"/>
        </w:rPr>
        <w:t>Trong sáu nhóm dịch vụ, đây là công việc cần triển khai đầu tiên. Nếu mô hình pháp lý chưa được xác định, điều lệ, hợp đồng và quy trình tuân thủ ở các phần sau có nguy cơ được xây dựng trên giả định sai, làm tăng chi phí sửa đổi và kéo dài tiến độ cấp phép.</w:t>
      </w:r>
    </w:p>
    <w:p>
      <w:pPr>
        <w:pStyle w:val="Heading1"/>
        <w:keepNext w:val="true"/>
        <w:spacing w:before="160" w:after="100"/>
        <w:jc w:val="center"/>
        <w:rPr/>
      </w:pPr>
      <w:r>
        <w:rPr>
          <w:rFonts w:eastAsia="Times New Roman" w:cs="Times New Roman" w:ascii="Times New Roman" w:hAnsi="Times New Roman"/>
          <w:b/>
          <w:color w:val="000000"/>
          <w:sz w:val="26"/>
        </w:rPr>
        <w:t>CHƯƠNG 2. TƯ VẤN THÀNH LẬP DOANH NGHIỆP (*).</w:t>
      </w:r>
    </w:p>
    <w:p>
      <w:pPr>
        <w:pStyle w:val="Heading2"/>
        <w:keepNext w:val="true"/>
        <w:spacing w:before="120" w:after="100"/>
        <w:rPr/>
      </w:pPr>
      <w:r>
        <w:rPr>
          <w:rFonts w:eastAsia="Times New Roman" w:cs="Times New Roman" w:ascii="Times New Roman" w:hAnsi="Times New Roman"/>
          <w:b/>
          <w:color w:val="000000"/>
          <w:sz w:val="26"/>
        </w:rPr>
        <w:t>2.1. Giới thiệu dịch vụ.</w:t>
      </w:r>
    </w:p>
    <w:p>
      <w:pPr>
        <w:pStyle w:val="Normal"/>
        <w:spacing w:lineRule="auto" w:line="312" w:before="0" w:after="120"/>
        <w:ind w:firstLine="567"/>
        <w:jc w:val="both"/>
        <w:rPr/>
      </w:pPr>
      <w:r>
        <w:rPr>
          <w:rFonts w:eastAsia="Times New Roman" w:cs="Times New Roman"/>
          <w:color w:val="000000"/>
          <w:sz w:val="26"/>
        </w:rPr>
        <w:t>Trên cơ sở có năm nhà đầu tư trong nước, nhu cầu huy động vốn và khả năng tiếp nhận nhà đầu tư mới, chúng tôi đề xuất lựa chọn mô hình công ty cổ phần theo Điều 111 Luật Doanh nghiệp năm 2020, đã được sửa đổi, bổ sung năm 2025. Công ty cổ phần phù hợp với dự án cần phân chia quyền sở hữu bằng cổ phần, thiết lập cơ chế biểu quyết, chuyển nhượng và huy động vốn linh hoạt. Tuy nhiên, việc lựa chọn mô hình này đồng thời đặt ra yêu cầu cao hơn về quản trị, công khai lợi ích liên quan, xác định chủ sở hữu hưởng lợi và kiểm soát thay đổi cơ cấu sở hữu.</w:t>
      </w:r>
    </w:p>
    <w:p>
      <w:pPr>
        <w:pStyle w:val="Normal"/>
        <w:spacing w:lineRule="auto" w:line="312" w:before="0" w:after="120"/>
        <w:ind w:firstLine="567"/>
        <w:jc w:val="both"/>
        <w:rPr/>
      </w:pPr>
      <w:r>
        <w:rPr>
          <w:rFonts w:eastAsia="Times New Roman" w:cs="Times New Roman"/>
          <w:color w:val="000000"/>
          <w:sz w:val="26"/>
        </w:rPr>
        <w:t>Dịch vụ thành lập doanh nghiệp chỉ là bước thiết lập chủ thể pháp lý. Công ty sau khi được cấp Giấy chứng nhận đăng ký doanh nghiệp chưa được cung ứng ví điện tử nếu chưa đáp ứng điều kiện và chưa được Ngân hàng Nhà nước cấp giấy phép hoạt động cung ứng dịch vụ trung gian thanh toán.</w:t>
      </w:r>
    </w:p>
    <w:p>
      <w:pPr>
        <w:pStyle w:val="Heading2"/>
        <w:keepNext w:val="true"/>
        <w:spacing w:before="120" w:after="100"/>
        <w:rPr/>
      </w:pPr>
      <w:r>
        <w:rPr>
          <w:rFonts w:eastAsia="Times New Roman" w:cs="Times New Roman" w:ascii="Times New Roman" w:hAnsi="Times New Roman"/>
          <w:b/>
          <w:color w:val="000000"/>
          <w:sz w:val="26"/>
        </w:rPr>
        <w:t>2.2. Nội dung dịch vụ.</w:t>
      </w:r>
    </w:p>
    <w:p>
      <w:pPr>
        <w:pStyle w:val="Normal"/>
        <w:spacing w:lineRule="auto" w:line="312" w:before="0" w:after="120"/>
        <w:ind w:firstLine="567"/>
        <w:jc w:val="both"/>
        <w:rPr/>
      </w:pPr>
      <w:r>
        <w:rPr>
          <w:rFonts w:eastAsia="Times New Roman" w:cs="Times New Roman"/>
          <w:color w:val="000000"/>
          <w:sz w:val="26"/>
        </w:rPr>
        <w:t>Chúng tôi tư vấn loại hình doanh nghiệp; cơ cấu năm cổ đông sáng lập; số lượng, loại cổ phần và tỷ lệ sở hữu; khả năng góp vốn thực tế; thời hạn góp vốn; quyền biểu quyết; cơ chế tiếp nhận nhà đầu tư mới; cùng biện pháp phòng ngừa xung đột lợi ích. Mức vốn điều lệ trong khoảng 50 đến 200 tỷ đồng được đánh giá dựa trên nhu cầu đầu tư hệ thống, nhân sự, chi phí tuân thủ, khả năng góp vốn và điều kiện chuyên ngành, không chỉ dựa trên mong muốn thể hiện quy mô doanh nghiệp.</w:t>
      </w:r>
    </w:p>
    <w:p>
      <w:pPr>
        <w:pStyle w:val="Normal"/>
        <w:spacing w:lineRule="auto" w:line="312" w:before="0" w:after="120"/>
        <w:ind w:firstLine="567"/>
        <w:jc w:val="both"/>
        <w:rPr/>
      </w:pPr>
      <w:r>
        <w:rPr>
          <w:rFonts w:eastAsia="Times New Roman" w:cs="Times New Roman"/>
          <w:color w:val="000000"/>
          <w:sz w:val="26"/>
        </w:rPr>
        <w:t>Chúng tôi rà soát tên, trụ sở, người đại diện theo pháp luật, ngành nghề kinh doanh và thông tin về chủ sở hữu hưởng lợi; chuẩn bị giấy đề nghị đăng ký doanh nghiệp, danh sách cổ đông sáng lập, bản sao giấy tờ pháp lý và các tài liệu kèm theo; hướng dẫn ký; nộp hồ sơ; theo dõi yêu cầu sửa đổi; nhận kết quả và hướng dẫn các thủ tục cơ bản sau thành lập. Ngành nghề đăng ký phải phản ánh hoạt động công nghệ và định hướng trung gian thanh toán nhưng không được mô tả theo cách làm người sử dụng hiểu rằng doanh nghiệp đã có quyền cung ứng ví điện tử.</w:t>
      </w:r>
    </w:p>
    <w:p>
      <w:pPr>
        <w:pStyle w:val="Normal"/>
        <w:spacing w:lineRule="auto" w:line="312" w:before="0" w:after="120"/>
        <w:ind w:firstLine="567"/>
        <w:jc w:val="both"/>
        <w:rPr/>
      </w:pPr>
      <w:r>
        <w:rPr>
          <w:rFonts w:eastAsia="Times New Roman" w:cs="Times New Roman"/>
          <w:color w:val="000000"/>
          <w:sz w:val="26"/>
        </w:rPr>
        <w:t>Một sản phẩm trọng tâm là Điều lệ công ty cổ phần. Điều lệ được thiết kế phù hợp với cơ cấu năm cổ đông và đặc thù của dự án ví điện tử, gồm quy định về vốn, cổ phần, quyền và nghĩa vụ của cổ đông; Đại hội đồng cổ đông; Hội đồng quản trị; Giám đốc hoặc Tổng giám đốc; kiểm soát nội bộ; tài chính; thẩm quyền phê duyệt giao dịch lớn; quản lý dữ liệu, tài sản công nghệ và rủi ro hoạt động; nguyên tắc tuân thủ giấy phép chuyên ngành; giải quyết bế tắc, chuyển nhượng, chấm dứt và sửa đổi Điều lệ.</w:t>
      </w:r>
    </w:p>
    <w:p>
      <w:pPr>
        <w:pStyle w:val="Normal"/>
        <w:spacing w:lineRule="auto" w:line="312" w:before="0" w:after="120"/>
        <w:ind w:firstLine="567"/>
        <w:jc w:val="both"/>
        <w:rPr/>
      </w:pPr>
      <w:r>
        <w:rPr>
          <w:rFonts w:eastAsia="Times New Roman" w:cs="Times New Roman"/>
          <w:color w:val="000000"/>
          <w:sz w:val="26"/>
        </w:rPr>
        <w:t>Điều lệ là sản phẩm pháp lý tối thiểu của giai đoạn thành lập công ty cổ phần. Ngoài các nội dung bắt buộc của Luật Doanh nghiệp, Điều lệ cần phản ánh đặc thù ví điện tử, phân định thẩm quyền phê duyệt sản phẩm, hợp tác ngân hàng, quản lý tài khoản bảo đảm thanh toán, dữ liệu khách hàng, an toàn hệ thống và cơ chế kiểm soát giao dịch với người có liên quan.</w:t>
      </w:r>
    </w:p>
    <w:p>
      <w:pPr>
        <w:pStyle w:val="Heading2"/>
        <w:keepNext w:val="true"/>
        <w:spacing w:before="120" w:after="100"/>
        <w:rPr/>
      </w:pPr>
      <w:r>
        <w:rPr>
          <w:rFonts w:eastAsia="Times New Roman" w:cs="Times New Roman" w:ascii="Times New Roman" w:hAnsi="Times New Roman"/>
          <w:b/>
          <w:color w:val="000000"/>
          <w:sz w:val="26"/>
        </w:rPr>
        <w:t>2.3. Phạm vi dịch vụ.</w:t>
      </w:r>
    </w:p>
    <w:p>
      <w:pPr>
        <w:pStyle w:val="Normal"/>
        <w:spacing w:lineRule="auto" w:line="312" w:before="0" w:after="120"/>
        <w:ind w:firstLine="567"/>
        <w:jc w:val="both"/>
        <w:rPr/>
      </w:pPr>
      <w:r>
        <w:rPr>
          <w:rFonts w:eastAsia="Times New Roman" w:cs="Times New Roman"/>
          <w:color w:val="000000"/>
          <w:sz w:val="26"/>
        </w:rPr>
        <w:t>Dịch vụ áp dụng cho quá trình thành lập công ty cổ phần của nhóm năm nhà đầu tư, bắt đầu khi chúng tôi nhận đủ thông tin và kết thúc khi hoàn thành các công việc được ghi nhận trong hợp đồng dịch vụ pháp lý. Thời hạn xử lý của cơ quan đăng ký kinh doanh được tính theo pháp luật và không thuộc quyền quyết định của chúng tôi; thời gian khách hàng chậm cung cấp, ký hoặc sửa tài liệu không tính vào thời hạn cam kết của chúng tôi.</w:t>
      </w:r>
    </w:p>
    <w:p>
      <w:pPr>
        <w:pStyle w:val="Normal"/>
        <w:spacing w:lineRule="auto" w:line="312" w:before="0" w:after="120"/>
        <w:ind w:firstLine="567"/>
        <w:jc w:val="both"/>
        <w:rPr/>
      </w:pPr>
      <w:r>
        <w:rPr>
          <w:rFonts w:eastAsia="Times New Roman" w:cs="Times New Roman"/>
          <w:color w:val="000000"/>
          <w:sz w:val="26"/>
        </w:rPr>
        <w:t>Phạm vi không bao gồm việc cam kết tên doanh nghiệp chắc chắn được chấp thuận; xác minh độc lập nguồn tiền của từng cổ đông nếu không có thỏa thuận; xin giấy phép trung gian thanh toán; xây dựng hệ thống kỹ thuật; đăng ký sở hữu trí tuệ; tư vấn thuế chuyên sâu; xin giấy phép lao động; hoặc giải quyết tranh chấp giữa các cổ đông. Các công việc sau thành lập chỉ được thực hiện khi có thỏa thuận bổ sung hoặc thuộc gói dịch vụ tương ứng.</w:t>
      </w:r>
    </w:p>
    <w:p>
      <w:pPr>
        <w:pStyle w:val="Heading2"/>
        <w:keepNext w:val="true"/>
        <w:spacing w:before="120" w:after="100"/>
        <w:rPr/>
      </w:pPr>
      <w:r>
        <w:rPr>
          <w:rFonts w:eastAsia="Times New Roman" w:cs="Times New Roman" w:ascii="Times New Roman" w:hAnsi="Times New Roman"/>
          <w:b/>
          <w:color w:val="000000"/>
          <w:sz w:val="26"/>
        </w:rPr>
        <w:t>2.4. Mục đích dịch vụ.</w:t>
      </w:r>
    </w:p>
    <w:p>
      <w:pPr>
        <w:pStyle w:val="Normal"/>
        <w:spacing w:lineRule="auto" w:line="312" w:before="0" w:after="120"/>
        <w:ind w:firstLine="567"/>
        <w:jc w:val="both"/>
        <w:rPr/>
      </w:pPr>
      <w:r>
        <w:rPr>
          <w:rFonts w:eastAsia="Times New Roman" w:cs="Times New Roman"/>
          <w:color w:val="000000"/>
          <w:sz w:val="26"/>
        </w:rPr>
        <w:t>Dịch vụ giúp xác lập tư cách pháp lý minh bạch, hạn chế hồ sơ bị trả lại và bảo đảm cơ cấu sở hữu phù hợp với kế hoạch gọi vốn. Điều lệ được xây dựng ngay từ đầu giúp phân định quyền quyết định, kiểm soát giao dịch với người có liên quan và giảm nguy cơ một cá nhân được trao quyền quá rộng đối với tài sản, dữ liệu hoặc hệ thống thanh toán. Với nhà đầu tư, một cấu trúc doanh nghiệp rõ ràng tạo điều kiện cho thẩm định pháp lý, chuyển nhượng cổ phần và đàm phán vòng vốn sau này.</w:t>
      </w:r>
    </w:p>
    <w:p>
      <w:pPr>
        <w:pStyle w:val="Heading1"/>
        <w:keepNext w:val="true"/>
        <w:spacing w:before="160" w:after="100"/>
        <w:jc w:val="center"/>
        <w:rPr/>
      </w:pPr>
      <w:r>
        <w:rPr>
          <w:rFonts w:eastAsia="Times New Roman" w:cs="Times New Roman" w:ascii="Times New Roman" w:hAnsi="Times New Roman"/>
          <w:b/>
          <w:color w:val="000000"/>
          <w:sz w:val="26"/>
        </w:rPr>
        <w:t>CHƯƠNG 3. TƯ VẤN XÂY DỰNG CƠ SỞ PHÁP LÝ CHO HOẠT ĐỘNG NỘI BỘ.</w:t>
      </w:r>
    </w:p>
    <w:p>
      <w:pPr>
        <w:pStyle w:val="Heading2"/>
        <w:keepNext w:val="true"/>
        <w:spacing w:before="120" w:after="100"/>
        <w:rPr/>
      </w:pPr>
      <w:r>
        <w:rPr>
          <w:rFonts w:eastAsia="Times New Roman" w:cs="Times New Roman" w:ascii="Times New Roman" w:hAnsi="Times New Roman"/>
          <w:b/>
          <w:color w:val="000000"/>
          <w:sz w:val="26"/>
        </w:rPr>
        <w:t>3.1. Giới thiệu dịch vụ.</w:t>
      </w:r>
    </w:p>
    <w:p>
      <w:pPr>
        <w:pStyle w:val="Normal"/>
        <w:spacing w:lineRule="auto" w:line="312" w:before="0" w:after="120"/>
        <w:ind w:firstLine="567"/>
        <w:jc w:val="both"/>
        <w:rPr/>
      </w:pPr>
      <w:r>
        <w:rPr>
          <w:rFonts w:eastAsia="Times New Roman" w:cs="Times New Roman"/>
          <w:color w:val="000000"/>
          <w:sz w:val="26"/>
        </w:rPr>
        <w:t>Doanh nghiệp ví điện tử vận hành trên sự phối hợp của quản trị công ty, nhân sự, công nghệ, tài chính, tuân thủ và chăm sóc khách hàng. Rủi ro không chỉ xuất hiện trong giao dịch với bên ngoài mà còn phát sinh từ phân quyền nội bộ không rõ, nhân sự tiếp cận dữ liệu vượt nhu cầu, mã nguồn không được xác lập quyền sở hữu, người quản lý hành động vượt thẩm quyền hoặc cổ đông không có cơ chế xử lý bất đồng. Dịch vụ này xây dựng “hạ tầng pháp lý nội bộ” để các quyết định và hoạt động của công ty có căn cứ, có người chịu trách nhiệm và có hồ sơ chứng minh.</w:t>
      </w:r>
    </w:p>
    <w:p>
      <w:pPr>
        <w:pStyle w:val="Heading2"/>
        <w:keepNext w:val="true"/>
        <w:spacing w:before="120" w:after="100"/>
        <w:rPr/>
      </w:pPr>
      <w:r>
        <w:rPr>
          <w:rFonts w:eastAsia="Times New Roman" w:cs="Times New Roman" w:ascii="Times New Roman" w:hAnsi="Times New Roman"/>
          <w:b/>
          <w:color w:val="000000"/>
          <w:sz w:val="26"/>
        </w:rPr>
        <w:t>3.2. Nội dung dịch vụ.</w:t>
      </w:r>
    </w:p>
    <w:p>
      <w:pPr>
        <w:pStyle w:val="Heading3"/>
        <w:keepNext w:val="true"/>
        <w:spacing w:before="120" w:after="100"/>
        <w:rPr/>
      </w:pPr>
      <w:r>
        <w:rPr>
          <w:rFonts w:eastAsia="Times New Roman" w:cs="Times New Roman" w:ascii="Times New Roman" w:hAnsi="Times New Roman"/>
          <w:b/>
          <w:color w:val="000000"/>
          <w:sz w:val="26"/>
        </w:rPr>
        <w:t>3.2.1. Tư vấn tổ chức Đại hội đồng cổ đông.</w:t>
      </w:r>
    </w:p>
    <w:p>
      <w:pPr>
        <w:pStyle w:val="Normal"/>
        <w:spacing w:lineRule="auto" w:line="312" w:before="0" w:after="120"/>
        <w:ind w:firstLine="567"/>
        <w:jc w:val="both"/>
        <w:rPr/>
      </w:pPr>
      <w:r>
        <w:rPr>
          <w:rFonts w:eastAsia="Times New Roman" w:cs="Times New Roman"/>
          <w:color w:val="000000"/>
          <w:sz w:val="26"/>
        </w:rPr>
        <w:t>Nhóm công việc thứ nhất là tư vấn tổ chức Đại hội đồng cổ đông. Chúng tôi xác định chủ thể có quyền triệu tập; điều kiện lập danh sách cổ đông; nội dung và thời hạn thông báo mời họp; điều kiện tiến hành; phương thức biểu quyết; tỷ lệ thông qua; thủ tục lập biên bản, nghị quyết và lưu hồ sơ. Các quyết định về vốn, điều lệ, nhân sự quản lý, đầu tư hệ thống hoặc thay đổi định hướng ví điện tử phải được đặt đúng thẩm quyền theo Luật Doanh nghiệp và Điều lệ.</w:t>
      </w:r>
    </w:p>
    <w:p>
      <w:pPr>
        <w:pStyle w:val="Heading3"/>
        <w:keepNext w:val="true"/>
        <w:spacing w:before="120" w:after="100"/>
        <w:rPr/>
      </w:pPr>
      <w:r>
        <w:rPr>
          <w:rFonts w:eastAsia="Times New Roman" w:cs="Times New Roman" w:ascii="Times New Roman" w:hAnsi="Times New Roman"/>
          <w:b/>
          <w:color w:val="000000"/>
          <w:sz w:val="26"/>
        </w:rPr>
        <w:t>3.2.2. Hợp đồng lao động (*).</w:t>
      </w:r>
    </w:p>
    <w:p>
      <w:pPr>
        <w:pStyle w:val="Normal"/>
        <w:spacing w:lineRule="auto" w:line="312" w:before="0" w:after="120"/>
        <w:ind w:firstLine="567"/>
        <w:jc w:val="both"/>
        <w:rPr/>
      </w:pPr>
      <w:r>
        <w:rPr>
          <w:rFonts w:eastAsia="Times New Roman" w:cs="Times New Roman"/>
          <w:color w:val="000000"/>
          <w:sz w:val="26"/>
        </w:rPr>
        <w:t>Nhóm thứ hai là xây dựng hợp đồng lao động cho các vị trí kỹ thuật, an toàn thông tin, vận hành, pháp chế và chăm sóc khách hàng. Hợp đồng phải có các nội dung chủ yếu theo Điều 21 Bộ luật Lao động năm 2019; xác định đúng người có thẩm quyền ký theo Điều 18; lựa chọn loại và thời hạn hợp đồng phù hợp; đồng thời quy định trách nhiệm bảo mật, quản lý thiết bị, bàn giao quyền truy cập, xử lý dữ liệu khách hàng và hoàn trả tài sản khi chấm dứt quan hệ lao động. Điều khoản bảo mật hoặc sở hữu trí tuệ không được dùng để tước bỏ quyền hợp pháp của người lao động.</w:t>
      </w:r>
    </w:p>
    <w:p>
      <w:pPr>
        <w:pStyle w:val="Heading3"/>
        <w:keepNext w:val="true"/>
        <w:spacing w:before="120" w:after="100"/>
        <w:jc w:val="start"/>
        <w:rPr/>
      </w:pPr>
      <w:r>
        <w:rPr>
          <w:rFonts w:eastAsia="Times New Roman" w:cs="Times New Roman" w:ascii="Times New Roman" w:hAnsi="Times New Roman"/>
          <w:b/>
          <w:color w:val="000000"/>
          <w:sz w:val="26"/>
        </w:rPr>
        <w:t>3.2.3. Hồ sơ và thỏa thuận bảo mật thông tin (*).</w:t>
      </w:r>
    </w:p>
    <w:p>
      <w:pPr>
        <w:pStyle w:val="Normal"/>
        <w:spacing w:lineRule="auto" w:line="312" w:before="0" w:after="120"/>
        <w:ind w:firstLine="567"/>
        <w:jc w:val="both"/>
        <w:rPr/>
      </w:pPr>
      <w:r>
        <w:rPr>
          <w:rFonts w:eastAsia="Times New Roman" w:cs="Times New Roman"/>
          <w:color w:val="000000"/>
          <w:sz w:val="26"/>
        </w:rPr>
        <w:t>Nhóm thứ ba là hồ sơ bảo mật thông tin, gồm thỏa thuận bảo mật, phân loại thông tin, danh sách người có quyền truy cập, quy trình cấp và thu hồi quyền, nghĩa vụ thông báo sự cố, biện pháp xử lý vi phạm và thời hạn bảo mật sau khi chấm dứt quan hệ. Phạm vi thông tin cần bảo vệ bao gồm dữ liệu khách hàng, lịch sử giao dịch, hồ sơ định danh, mã nguồn, API, thuật toán, khóa truy cập, tài liệu kỹ thuật, phương án kinh doanh và thông tin đối tác.</w:t>
      </w:r>
    </w:p>
    <w:p>
      <w:pPr>
        <w:pStyle w:val="Heading3"/>
        <w:keepNext w:val="true"/>
        <w:spacing w:before="120" w:after="100"/>
        <w:jc w:val="start"/>
        <w:rPr/>
      </w:pPr>
      <w:r>
        <w:rPr>
          <w:rFonts w:eastAsia="Times New Roman" w:cs="Times New Roman" w:ascii="Times New Roman" w:hAnsi="Times New Roman"/>
          <w:b/>
          <w:color w:val="000000"/>
          <w:sz w:val="26"/>
        </w:rPr>
        <w:t>3.2.4. Thỏa thuận sở hữu trí tuệ.</w:t>
      </w:r>
    </w:p>
    <w:p>
      <w:pPr>
        <w:pStyle w:val="Normal"/>
        <w:spacing w:lineRule="auto" w:line="312" w:before="0" w:after="120"/>
        <w:ind w:firstLine="567"/>
        <w:jc w:val="both"/>
        <w:rPr/>
      </w:pPr>
      <w:r>
        <w:rPr>
          <w:rFonts w:eastAsia="Times New Roman" w:cs="Times New Roman"/>
          <w:color w:val="000000"/>
          <w:sz w:val="26"/>
        </w:rPr>
        <w:t>Nhóm thứ tư là thỏa thuận sở hữu trí tuệ. Dịch vụ xác định tài sản có trước và tài sản hình thành trong quá trình làm việc; quyền đối với phần mềm, mã nguồn, giao diện, cơ sở dữ liệu, nhãn hiệu, tài liệu thiết kế; cơ chế chuyển giao hoặc cấp quyền; trách nhiệm kiểm tra thư viện mã nguồn mở và tài sản của bên thứ ba. Việc xác lập quyền phải tuân thủ Luật Sở hữu trí tuệ, không thỏa thuận chuyển giao những quyền nhân thân mà pháp luật không cho phép chuyển giao.</w:t>
      </w:r>
    </w:p>
    <w:p>
      <w:pPr>
        <w:pStyle w:val="Heading3"/>
        <w:keepNext w:val="true"/>
        <w:spacing w:before="120" w:after="100"/>
        <w:jc w:val="start"/>
        <w:rPr/>
      </w:pPr>
      <w:r>
        <w:rPr>
          <w:rFonts w:eastAsia="Times New Roman" w:cs="Times New Roman" w:ascii="Times New Roman" w:hAnsi="Times New Roman"/>
          <w:b/>
          <w:color w:val="000000"/>
          <w:sz w:val="26"/>
        </w:rPr>
        <w:t>3.2.5. Hợp đồng với Giám đốc hoặc Tổng giám đốc.</w:t>
      </w:r>
    </w:p>
    <w:p>
      <w:pPr>
        <w:pStyle w:val="Normal"/>
        <w:spacing w:lineRule="auto" w:line="312" w:before="0" w:after="120"/>
        <w:ind w:firstLine="567"/>
        <w:jc w:val="both"/>
        <w:rPr/>
      </w:pPr>
      <w:r>
        <w:rPr>
          <w:rFonts w:eastAsia="Times New Roman" w:cs="Times New Roman"/>
          <w:color w:val="000000"/>
          <w:sz w:val="26"/>
        </w:rPr>
        <w:t>Nhóm thứ năm là hợp đồng với Giám đốc hoặc Tổng giám đốc. Văn bản phải thống nhất với quyết định bổ nhiệm và Điều lệ; quy định phạm vi điều hành, hạn mức tài chính, quyền ký hợp đồng, cơ chế ủy quyền, nghĩa vụ báo cáo, bảo mật, xung đột lợi ích, bàn giao và trách nhiệm khi vượt thẩm quyền. Cần phân biệt chức danh quản lý doanh nghiệp với quan hệ lao động để lựa chọn hình thức hợp đồng và chế độ phù hợp.</w:t>
      </w:r>
    </w:p>
    <w:p>
      <w:pPr>
        <w:pStyle w:val="Heading3"/>
        <w:keepNext w:val="true"/>
        <w:spacing w:before="120" w:after="100"/>
        <w:jc w:val="start"/>
        <w:rPr/>
      </w:pPr>
      <w:r>
        <w:rPr>
          <w:rFonts w:eastAsia="Times New Roman" w:cs="Times New Roman" w:ascii="Times New Roman" w:hAnsi="Times New Roman"/>
          <w:b/>
          <w:color w:val="000000"/>
          <w:sz w:val="26"/>
        </w:rPr>
        <w:t>3.2.6. Thỏa thuận giữa các cổ đông.</w:t>
      </w:r>
    </w:p>
    <w:p>
      <w:pPr>
        <w:pStyle w:val="Normal"/>
        <w:spacing w:lineRule="auto" w:line="312" w:before="0" w:after="120"/>
        <w:ind w:firstLine="567"/>
        <w:jc w:val="both"/>
        <w:rPr/>
      </w:pPr>
      <w:r>
        <w:rPr>
          <w:rFonts w:eastAsia="Times New Roman" w:cs="Times New Roman"/>
          <w:color w:val="000000"/>
          <w:sz w:val="26"/>
        </w:rPr>
        <w:t>Nhóm thứ sáu là thỏa thuận cổ đông. Ngoài những nội dung đã được ghi trong Điều lệ, thỏa thuận có thể thiết lập cơ chế quyền ưu tiên mua, quyền cùng bán, yêu cầu bán cùng, danh mục vấn đề phải có tỷ lệ chấp thuận cao hơn, xử lý bế tắc, không lôi kéo nhân sự, bảo mật và kế hoạch thoái vốn. Thỏa thuận chỉ ràng buộc các bên ký kết và không được trái với quy định bắt buộc của Luật Doanh nghiệp, Điều lệ hợp lệ hoặc quyền của bên thứ ba.</w:t>
      </w:r>
    </w:p>
    <w:p>
      <w:pPr>
        <w:pStyle w:val="Heading2"/>
        <w:keepNext w:val="true"/>
        <w:spacing w:before="120" w:after="100"/>
        <w:rPr/>
      </w:pPr>
      <w:r>
        <w:rPr>
          <w:rFonts w:eastAsia="Times New Roman" w:cs="Times New Roman" w:ascii="Times New Roman" w:hAnsi="Times New Roman"/>
          <w:b/>
          <w:color w:val="000000"/>
          <w:sz w:val="26"/>
        </w:rPr>
        <w:t>3.3. Phạm vi dịch vụ.</w:t>
      </w:r>
    </w:p>
    <w:p>
      <w:pPr>
        <w:pStyle w:val="Normal"/>
        <w:spacing w:lineRule="auto" w:line="312" w:before="0" w:after="120"/>
        <w:ind w:firstLine="567"/>
        <w:jc w:val="both"/>
        <w:rPr/>
      </w:pPr>
      <w:r>
        <w:rPr>
          <w:rFonts w:eastAsia="Times New Roman" w:cs="Times New Roman"/>
          <w:color w:val="000000"/>
          <w:sz w:val="26"/>
        </w:rPr>
        <w:t>Dịch vụ áp dụng đối với công ty, cổ đông, người quản lý, người lao động, cộng tác viên và đối tác được tiếp cận tài sản hoặc thông tin nội bộ. Thời điểm thực hiện trải dài từ trước khi tuyển dụng, bổ nhiệm hoặc tổ chức cuộc họp đến khi hoàn tất bàn giao hồ sơ; nghĩa vụ bảo mật và sở hữu trí tuệ có thể tiếp tục sau khi quan hệ chính chấm dứt nếu có căn cứ hợp pháp.</w:t>
      </w:r>
    </w:p>
    <w:p>
      <w:pPr>
        <w:pStyle w:val="Normal"/>
        <w:spacing w:lineRule="auto" w:line="312" w:before="0" w:after="120"/>
        <w:ind w:firstLine="567"/>
        <w:jc w:val="both"/>
        <w:rPr/>
      </w:pPr>
      <w:r>
        <w:rPr>
          <w:rFonts w:eastAsia="Times New Roman" w:cs="Times New Roman"/>
          <w:color w:val="000000"/>
          <w:sz w:val="26"/>
        </w:rPr>
        <w:t>Dịch vụ không bao gồm đại diện giải quyết tranh chấp lao động, tranh chấp cổ đông hoặc tranh chấp sở hữu trí tuệ; đăng ký quyền sở hữu công nghiệp; điều tra số; kiểm thử an ninh mạng; định giá tài sản trí tuệ; hoặc quyết định thay cho cơ quan quản trị của công ty. Chúng tôi chỉ dự thảo và khuyến nghị, còn Đại hội đồng cổ đông, Hội đồng quản trị, người đại diện theo pháp luật và người sử dụng lao động phải thực hiện đúng thẩm quyền của mình.</w:t>
      </w:r>
    </w:p>
    <w:p>
      <w:pPr>
        <w:pStyle w:val="Heading2"/>
        <w:keepNext w:val="true"/>
        <w:spacing w:before="120" w:after="100"/>
        <w:rPr/>
      </w:pPr>
      <w:r>
        <w:rPr>
          <w:rFonts w:eastAsia="Times New Roman" w:cs="Times New Roman" w:ascii="Times New Roman" w:hAnsi="Times New Roman"/>
          <w:b/>
          <w:color w:val="000000"/>
          <w:sz w:val="26"/>
        </w:rPr>
        <w:t>3.4. Mục đích và lợi ích đối với nhà đầu tư.</w:t>
      </w:r>
    </w:p>
    <w:p>
      <w:pPr>
        <w:pStyle w:val="Normal"/>
        <w:spacing w:lineRule="auto" w:line="312" w:before="0" w:after="120"/>
        <w:ind w:firstLine="567"/>
        <w:jc w:val="both"/>
        <w:rPr/>
      </w:pPr>
      <w:r>
        <w:rPr>
          <w:rFonts w:eastAsia="Times New Roman" w:cs="Times New Roman"/>
          <w:color w:val="000000"/>
          <w:sz w:val="26"/>
        </w:rPr>
        <w:t>Hệ thống văn bản nội bộ giúp biến cơ cấu quản trị trên giấy thành quy trình có thể vận hành và kiểm tra. Nhà đầu tư có cơ sở giám sát người quản lý, bảo vệ mã nguồn và dữ liệu, duy trì tính liên tục khi nhân sự nghỉ việc, đồng thời giảm rủi ro nghị quyết hoặc hợp đồng bị tranh chấp do sai thẩm quyền. Đây cũng là nhóm tài liệu thường được yêu cầu trong quá trình thẩm định pháp lý trước đầu tư, hợp tác ngân hàng hoặc đánh giá tuân thủ.</w:t>
      </w:r>
    </w:p>
    <w:p>
      <w:pPr>
        <w:pStyle w:val="Heading1"/>
        <w:keepNext w:val="true"/>
        <w:spacing w:before="160" w:after="100"/>
        <w:jc w:val="center"/>
        <w:rPr/>
      </w:pPr>
      <w:r>
        <w:rPr>
          <w:rFonts w:eastAsia="Times New Roman" w:cs="Times New Roman" w:ascii="Times New Roman" w:hAnsi="Times New Roman"/>
          <w:b/>
          <w:color w:val="000000"/>
          <w:sz w:val="26"/>
        </w:rPr>
        <w:t>CHƯƠNG 4. TƯ VẤN PHÁP LÝ PHỤC VỤ HOẠT ĐỘNG KINH DOANH.</w:t>
      </w:r>
    </w:p>
    <w:p>
      <w:pPr>
        <w:pStyle w:val="Heading2"/>
        <w:keepNext w:val="true"/>
        <w:spacing w:before="120" w:after="100"/>
        <w:rPr/>
      </w:pPr>
      <w:r>
        <w:rPr>
          <w:rFonts w:eastAsia="Times New Roman" w:cs="Times New Roman" w:ascii="Times New Roman" w:hAnsi="Times New Roman"/>
          <w:b/>
          <w:color w:val="000000"/>
          <w:sz w:val="26"/>
        </w:rPr>
        <w:t>4.1. Giới thiệu dịch vụ.</w:t>
      </w:r>
    </w:p>
    <w:p>
      <w:pPr>
        <w:pStyle w:val="Normal"/>
        <w:spacing w:lineRule="auto" w:line="312" w:before="0" w:after="120"/>
        <w:ind w:firstLine="567"/>
        <w:jc w:val="both"/>
        <w:rPr/>
      </w:pPr>
      <w:r>
        <w:rPr>
          <w:rFonts w:eastAsia="Times New Roman" w:cs="Times New Roman"/>
          <w:color w:val="000000"/>
          <w:sz w:val="26"/>
        </w:rPr>
        <w:t>Hoạt động của ví điện tử hình thành một mạng lưới hợp đồng giữa doanh nghiệp với khách hàng, ngân hàng hợp tác, đơn vị chấp nhận thanh toán, nhà cung cấp công nghệ, đối tác khuyến mại và nền tảng tích hợp API. Nếu mỗi hợp đồng được soạn riêng mà không dựa trên cùng một mô hình nghiệp vụ, quyền và nghĩa vụ dễ mâu thuẫn, nhất là về dòng tiền, hoàn trả, đối soát, sự cố kỹ thuật, dữ liệu, bảo mật và giới hạn trách nhiệm. Dịch vụ của chúng tôi xây dựng một bộ hợp đồng thống nhất với giấy phép và quy trình vận hành dự kiến.</w:t>
      </w:r>
    </w:p>
    <w:p>
      <w:pPr>
        <w:pStyle w:val="Heading2"/>
        <w:keepNext w:val="true"/>
        <w:spacing w:before="120" w:after="100"/>
        <w:rPr/>
      </w:pPr>
      <w:r>
        <w:rPr>
          <w:rFonts w:eastAsia="Times New Roman" w:cs="Times New Roman" w:ascii="Times New Roman" w:hAnsi="Times New Roman"/>
          <w:b/>
          <w:color w:val="000000"/>
          <w:sz w:val="26"/>
        </w:rPr>
        <w:t>4.2. Nội dung dịch vụ.</w:t>
      </w:r>
    </w:p>
    <w:p>
      <w:pPr>
        <w:pStyle w:val="Heading3"/>
        <w:keepNext w:val="true"/>
        <w:spacing w:before="120" w:after="100"/>
        <w:jc w:val="start"/>
        <w:rPr/>
      </w:pPr>
      <w:r>
        <w:rPr>
          <w:rFonts w:eastAsia="Times New Roman" w:cs="Times New Roman" w:ascii="Times New Roman" w:hAnsi="Times New Roman"/>
          <w:b/>
          <w:color w:val="000000"/>
          <w:sz w:val="26"/>
        </w:rPr>
        <w:t>4.2.1. Hợp đồng mở và sử dụng ví điện tử (*).</w:t>
      </w:r>
    </w:p>
    <w:p>
      <w:pPr>
        <w:pStyle w:val="Normal"/>
        <w:spacing w:lineRule="auto" w:line="312" w:before="0" w:after="120"/>
        <w:ind w:firstLine="567"/>
        <w:jc w:val="both"/>
        <w:rPr/>
      </w:pPr>
      <w:r>
        <w:rPr>
          <w:rFonts w:eastAsia="Times New Roman" w:cs="Times New Roman"/>
          <w:color w:val="000000"/>
          <w:sz w:val="26"/>
        </w:rPr>
        <w:t>Thứ nhất, Hợp đồng mở và sử dụng ví điện tử điều chỉnh quan hệ với khách hàng. Văn bản phải quy định điều kiện mở ví, định danh, liên kết tài khoản hoặc thẻ, nạp và rút tiền, thanh toán, chuyển tiền, hạn mức, phí, xác thực, quyền tạm khóa, tra soát, hoàn trả, bảo vệ dữ liệu, xử lý số dư, chấm dứt và giải quyết tranh chấp. Điều khoản mẫu phải được công khai, dễ tiếp cận và không loại trừ trái pháp luật trách nhiệm của bên cung cấp dịch vụ đối với người tiêu dùng.</w:t>
      </w:r>
    </w:p>
    <w:p>
      <w:pPr>
        <w:pStyle w:val="Heading3"/>
        <w:keepNext w:val="true"/>
        <w:spacing w:before="120" w:after="100"/>
        <w:jc w:val="start"/>
        <w:rPr/>
      </w:pPr>
      <w:r>
        <w:rPr>
          <w:rFonts w:eastAsia="Times New Roman" w:cs="Times New Roman" w:ascii="Times New Roman" w:hAnsi="Times New Roman"/>
          <w:b/>
          <w:color w:val="000000"/>
          <w:sz w:val="26"/>
        </w:rPr>
        <w:t>4.2.2. Hợp đồng thuê ngoài dịch vụ công nghệ thông tin.</w:t>
      </w:r>
    </w:p>
    <w:p>
      <w:pPr>
        <w:pStyle w:val="Normal"/>
        <w:spacing w:lineRule="auto" w:line="312" w:before="0" w:after="120"/>
        <w:ind w:firstLine="567"/>
        <w:jc w:val="both"/>
        <w:rPr/>
      </w:pPr>
      <w:r>
        <w:rPr>
          <w:rFonts w:eastAsia="Times New Roman" w:cs="Times New Roman"/>
          <w:color w:val="000000"/>
          <w:sz w:val="26"/>
        </w:rPr>
        <w:t>Thứ hai, Hợp đồng thuê ngoài dịch vụ công nghệ thông tin điều chỉnh việc cung cấp hạ tầng, điện toán đám mây, eKYC, giám sát, bảo trì hoặc phát triển phần mềm. Hợp đồng cần có yêu cầu mức dịch vụ, an toàn hệ thống, vị trí lưu trữ dữ liệu, quản lý nhà thầu phụ, kiểm tra và giám sát, sao lưu, khôi phục, thông báo sự cố, bàn giao dữ liệu và phương án thoát khỏi nhà cung cấp. Việc thuê ngoài không chuyển toàn bộ trách nhiệm tuân thủ của doanh nghiệp ví điện tử sang nhà thầu.</w:t>
      </w:r>
    </w:p>
    <w:p>
      <w:pPr>
        <w:pStyle w:val="Heading3"/>
        <w:keepNext w:val="true"/>
        <w:spacing w:before="120" w:after="100"/>
        <w:jc w:val="start"/>
        <w:rPr/>
      </w:pPr>
      <w:r>
        <w:rPr>
          <w:rFonts w:eastAsia="Times New Roman" w:cs="Times New Roman" w:ascii="Times New Roman" w:hAnsi="Times New Roman"/>
          <w:b/>
          <w:color w:val="000000"/>
          <w:sz w:val="26"/>
        </w:rPr>
        <w:t>4.2.3. Hợp đồng hợp tác khuyến mại.</w:t>
      </w:r>
    </w:p>
    <w:p>
      <w:pPr>
        <w:pStyle w:val="Normal"/>
        <w:spacing w:lineRule="auto" w:line="312" w:before="0" w:after="120"/>
        <w:ind w:firstLine="567"/>
        <w:jc w:val="both"/>
        <w:rPr/>
      </w:pPr>
      <w:r>
        <w:rPr>
          <w:rFonts w:eastAsia="Times New Roman" w:cs="Times New Roman"/>
          <w:color w:val="000000"/>
          <w:sz w:val="26"/>
        </w:rPr>
        <w:t>Thứ ba, Hợp đồng hợp tác khuyến mại xác định chương trình, ngân sách, chủ thể thực hiện thủ tục thông báo hoặc đăng ký, điều kiện nhận ưu đãi, cơ chế chống lợi dụng, đối soát chi phí và xử lý khi chương trình dừng. Nội dung truyền thông không được gây hiểu nhầm về lợi ích, phí hoặc khả năng bảo đảm sinh lời từ số dư ví.</w:t>
      </w:r>
    </w:p>
    <w:p>
      <w:pPr>
        <w:pStyle w:val="Heading3"/>
        <w:keepNext w:val="true"/>
        <w:spacing w:before="120" w:after="100"/>
        <w:jc w:val="start"/>
        <w:rPr/>
      </w:pPr>
      <w:r>
        <w:rPr>
          <w:rFonts w:eastAsia="Times New Roman" w:cs="Times New Roman" w:ascii="Times New Roman" w:hAnsi="Times New Roman"/>
          <w:b/>
          <w:color w:val="000000"/>
          <w:sz w:val="26"/>
        </w:rPr>
        <w:t>4.2.4. Hợp đồng hợp tác kinh doanh.</w:t>
      </w:r>
    </w:p>
    <w:p>
      <w:pPr>
        <w:pStyle w:val="Normal"/>
        <w:spacing w:lineRule="auto" w:line="312" w:before="0" w:after="120"/>
        <w:ind w:firstLine="567"/>
        <w:jc w:val="both"/>
        <w:rPr/>
      </w:pPr>
      <w:r>
        <w:rPr>
          <w:rFonts w:eastAsia="Times New Roman" w:cs="Times New Roman"/>
          <w:color w:val="000000"/>
          <w:sz w:val="26"/>
        </w:rPr>
        <w:t>Thứ tư, Hợp đồng hợp tác kinh doanh xác định rõ mục tiêu, phạm vi đóng góp, quyền quản lý, nguyên tắc phân chia doanh thu hoặc chi phí, quyền sở hữu dữ liệu và tài sản, trách nhiệm thuế, giới hạn đại diện, kiểm soát xung đột lợi ích và cơ chế chấm dứt. Hợp đồng không được trao cho đối tác quyền thực hiện nghiệp vụ thuộc phạm vi giấy phép của tổ chức trung gian thanh toán nếu pháp luật không cho phép.</w:t>
      </w:r>
    </w:p>
    <w:p>
      <w:pPr>
        <w:pStyle w:val="Heading3"/>
        <w:keepNext w:val="true"/>
        <w:spacing w:before="120" w:after="100"/>
        <w:jc w:val="start"/>
        <w:rPr/>
      </w:pPr>
      <w:r>
        <w:rPr>
          <w:rFonts w:eastAsia="Times New Roman" w:cs="Times New Roman" w:ascii="Times New Roman" w:hAnsi="Times New Roman"/>
          <w:b/>
          <w:color w:val="000000"/>
          <w:sz w:val="26"/>
        </w:rPr>
        <w:t>4.2.5. Hợp đồng kết nối và mở tài khoản bảo đảm thanh toán (*).</w:t>
      </w:r>
    </w:p>
    <w:p>
      <w:pPr>
        <w:pStyle w:val="Normal"/>
        <w:spacing w:lineRule="auto" w:line="312" w:before="0" w:after="120"/>
        <w:ind w:firstLine="567"/>
        <w:jc w:val="both"/>
        <w:rPr/>
      </w:pPr>
      <w:r>
        <w:rPr>
          <w:rFonts w:eastAsia="Times New Roman" w:cs="Times New Roman"/>
          <w:color w:val="000000"/>
          <w:sz w:val="26"/>
        </w:rPr>
        <w:t>Thứ năm, Hợp đồng hợp tác kết nối và mở tài khoản bảo đảm thanh toán với ngân hàng là nền tảng để duy trì tổng số dư trên các tài khoản bảo đảm thanh toán không thấp hơn tổng số dư của các ví đã phát hành cho khách hàng. Hợp đồng cần điều chỉnh phương thức kết nối, lệnh chuyển tiền, đối soát, xử lý chênh lệch, bảo mật, thời gian gián đoạn, cung cấp thông tin và trách nhiệm của mỗi bên.</w:t>
      </w:r>
    </w:p>
    <w:p>
      <w:pPr>
        <w:pStyle w:val="Heading3"/>
        <w:keepNext w:val="true"/>
        <w:spacing w:before="120" w:after="100"/>
        <w:jc w:val="start"/>
        <w:rPr/>
      </w:pPr>
      <w:r>
        <w:rPr>
          <w:rFonts w:eastAsia="Times New Roman" w:cs="Times New Roman" w:ascii="Times New Roman" w:hAnsi="Times New Roman"/>
          <w:b/>
          <w:color w:val="000000"/>
          <w:sz w:val="26"/>
        </w:rPr>
        <w:t>4.2.6. Hợp đồng cung cấp dịch vụ thanh toán bằng ví điện tử.</w:t>
      </w:r>
    </w:p>
    <w:p>
      <w:pPr>
        <w:pStyle w:val="Normal"/>
        <w:spacing w:lineRule="auto" w:line="312" w:before="0" w:after="120"/>
        <w:ind w:firstLine="567"/>
        <w:jc w:val="both"/>
        <w:rPr/>
      </w:pPr>
      <w:r>
        <w:rPr>
          <w:rFonts w:eastAsia="Times New Roman" w:cs="Times New Roman"/>
          <w:color w:val="000000"/>
          <w:sz w:val="26"/>
        </w:rPr>
        <w:t>Thứ sáu, Hợp đồng cung cấp dịch vụ thanh toán bằng ví điện tử của Vương Thu Thủy điều chỉnh quan hệ giữa chúng tôi và khách hàng hoặc đối tác sử dụng chức năng thanh toán. Hợp đồng quy định phạm vi giao dịch; điều kiện khởi tạo, xác thực và ghi nhận; phí dịch vụ; đối soát, hoàn tiền, tra soát; xử lý giao dịch lỗi hoặc gian lận; bảo mật và bảo vệ dữ liệu; tạm dừng, chấm dứt và trách nhiệm bồi thường. Nội dung phải tuân thủ Nghị định số 52/2024/NĐ-CP và quy định của Ngân hàng Nhà nước, không cho phép bên sử dụng thực hiện nghiệp vụ vượt quá pháp luật hoặc phạm vi Giấy phép của doanh nghiệp.</w:t>
      </w:r>
    </w:p>
    <w:p>
      <w:pPr>
        <w:pStyle w:val="Heading3"/>
        <w:keepNext w:val="true"/>
        <w:spacing w:before="120" w:after="100"/>
        <w:jc w:val="start"/>
        <w:rPr/>
      </w:pPr>
      <w:r>
        <w:rPr>
          <w:rFonts w:eastAsia="Times New Roman" w:cs="Times New Roman" w:ascii="Times New Roman" w:hAnsi="Times New Roman"/>
          <w:b/>
          <w:color w:val="000000"/>
          <w:sz w:val="26"/>
        </w:rPr>
        <w:t>4.2.7. Hợp đồng với đơn vị chấp nhận thanh toán (*).</w:t>
      </w:r>
    </w:p>
    <w:p>
      <w:pPr>
        <w:pStyle w:val="Normal"/>
        <w:spacing w:lineRule="auto" w:line="312" w:before="0" w:after="120"/>
        <w:ind w:firstLine="567"/>
        <w:jc w:val="both"/>
        <w:rPr/>
      </w:pPr>
      <w:r>
        <w:rPr>
          <w:rFonts w:eastAsia="Times New Roman" w:cs="Times New Roman"/>
          <w:color w:val="000000"/>
          <w:sz w:val="26"/>
        </w:rPr>
        <w:t>Thứ bảy, Hợp đồng với đơn vị chấp nhận thanh toán xác định phương thức tiếp nhận lệnh, thời điểm ghi nhận giao dịch, phí, chu kỳ quyết toán, hoàn tiền, giao dịch giả mạo, lưu giữ chứng từ, khiếu nại, quyền tạm giữ hoặc khấu trừ trong trường hợp có căn cứ. Phạm vi trách nhiệm phải phản ánh đúng vai trò của từng bên và không làm phát sinh một chủ thể cung ứng dịch vụ thanh toán trái phép.</w:t>
      </w:r>
    </w:p>
    <w:p>
      <w:pPr>
        <w:pStyle w:val="Heading3"/>
        <w:keepNext w:val="true"/>
        <w:spacing w:before="120" w:after="100"/>
        <w:jc w:val="start"/>
        <w:rPr/>
      </w:pPr>
      <w:r>
        <w:rPr>
          <w:rFonts w:eastAsia="Times New Roman" w:cs="Times New Roman" w:ascii="Times New Roman" w:hAnsi="Times New Roman"/>
          <w:b/>
          <w:color w:val="000000"/>
          <w:sz w:val="26"/>
        </w:rPr>
        <w:t>4.2.8. Hợp đồng sử dụng ví điện tử liên kết ngân hàng (*).</w:t>
      </w:r>
    </w:p>
    <w:p>
      <w:pPr>
        <w:pStyle w:val="Normal"/>
        <w:spacing w:lineRule="auto" w:line="312" w:before="0" w:after="120"/>
        <w:ind w:firstLine="567"/>
        <w:jc w:val="both"/>
        <w:rPr/>
      </w:pPr>
      <w:r>
        <w:rPr>
          <w:rFonts w:eastAsia="Times New Roman" w:cs="Times New Roman"/>
          <w:color w:val="000000"/>
          <w:sz w:val="26"/>
        </w:rPr>
        <w:t>Thứ tám, Hợp đồng sử dụng dịch vụ ví điện tử liên kết ngân hàng điều chỉnh việc liên kết, xác thực chủ tài khoản, chia sẻ dữ liệu, nạp và rút tiền, đối soát, ngừng liên kết, xử lý giao dịch bất thường và hỗ trợ khách hàng. Hợp đồng phải thống nhất với thỏa thuận giữa doanh nghiệp ví điện tử và ngân hàng, đồng thời bảo đảm khách hàng biết rõ chủ thể xử lý yêu cầu tại từng giai đoạn.</w:t>
      </w:r>
    </w:p>
    <w:p>
      <w:pPr>
        <w:pStyle w:val="Heading3"/>
        <w:keepNext w:val="true"/>
        <w:spacing w:before="120" w:after="100"/>
        <w:jc w:val="start"/>
        <w:rPr/>
      </w:pPr>
      <w:r>
        <w:rPr>
          <w:rFonts w:eastAsia="Times New Roman" w:cs="Times New Roman" w:ascii="Times New Roman" w:hAnsi="Times New Roman"/>
          <w:b/>
          <w:color w:val="000000"/>
          <w:sz w:val="26"/>
        </w:rPr>
        <w:t>4.2.9. Hợp đồng cung cấp dịch vụ tích hợp API ví điện tử.</w:t>
      </w:r>
    </w:p>
    <w:p>
      <w:pPr>
        <w:pStyle w:val="Normal"/>
        <w:spacing w:lineRule="auto" w:line="312" w:before="0" w:after="120"/>
        <w:ind w:firstLine="567"/>
        <w:jc w:val="both"/>
        <w:rPr/>
      </w:pPr>
      <w:r>
        <w:rPr>
          <w:rFonts w:eastAsia="Times New Roman" w:cs="Times New Roman"/>
          <w:color w:val="000000"/>
          <w:sz w:val="26"/>
        </w:rPr>
        <w:t>Thứ chín, Hợp đồng cung cấp dịch vụ tích hợp API ví điện tử quy định quan hệ giữa doanh nghiệp ví điện tử đã được cấp phép và thương nhân hoặc nền tảng muốn tích hợp phương thức thanh toán. Nội dung gồm cấp tài liệu kỹ thuật, môi trường thử nghiệm và vận hành chính thức; quản lý khóa và thông tin xác thực; chức năng thanh toán, hoàn tiền, tra cứu, webhook, đối soát; tiêu chuẩn nghiệm thu; mức dịch vụ; phí; bảo vệ dữ liệu; quyền sở hữu trí tuệ; quản lý thay đổi phiên bản; ứng phó sự cố; giới hạn trách nhiệm và chấm dứt kết nối.</w:t>
      </w:r>
    </w:p>
    <w:p>
      <w:pPr>
        <w:pStyle w:val="Normal"/>
        <w:spacing w:lineRule="auto" w:line="312" w:before="0" w:after="120"/>
        <w:ind w:firstLine="567"/>
        <w:jc w:val="both"/>
        <w:rPr/>
      </w:pPr>
      <w:r>
        <w:rPr>
          <w:rFonts w:eastAsia="Times New Roman" w:cs="Times New Roman"/>
          <w:color w:val="000000"/>
          <w:sz w:val="26"/>
        </w:rPr>
        <w:t>Đối với API, phạm vi pháp lý phải gắn với phạm vi kỹ thuật trong phụ lục. Hợp đồng không mặc nhiên cho phép bên tích hợp thu thập thông tin đăng nhập ví, giữ tiền của khách hàng hoặc sử dụng dữ liệu ngoài mục đích thực hiện giao dịch. Ngân hàng liên kết, khách hàng sử dụng ví và nhà cung cấp hạ tầng không trở thành bên của hợp đồng API nếu không có thỏa thuận riêng. Khi chức năng, tiêu chuẩn kỹ thuật hoặc pháp luật thay đổi, các bên phải áp dụng cơ chế quản lý phiên bản và thông báo trước, không được tự ý mở rộng chức năng vượt giấy phép.</w:t>
      </w:r>
    </w:p>
    <w:p>
      <w:pPr>
        <w:pStyle w:val="Heading2"/>
        <w:keepNext w:val="true"/>
        <w:spacing w:before="120" w:after="100"/>
        <w:rPr/>
      </w:pPr>
      <w:r>
        <w:rPr>
          <w:rFonts w:eastAsia="Times New Roman" w:cs="Times New Roman" w:ascii="Times New Roman" w:hAnsi="Times New Roman"/>
          <w:b/>
          <w:color w:val="000000"/>
          <w:sz w:val="26"/>
        </w:rPr>
        <w:t>4.3. Phạm vi dịch vụ.</w:t>
      </w:r>
    </w:p>
    <w:p>
      <w:pPr>
        <w:pStyle w:val="Normal"/>
        <w:spacing w:lineRule="auto" w:line="312" w:before="0" w:after="120"/>
        <w:ind w:firstLine="567"/>
        <w:jc w:val="both"/>
        <w:rPr/>
      </w:pPr>
      <w:r>
        <w:rPr>
          <w:rFonts w:eastAsia="Times New Roman" w:cs="Times New Roman"/>
          <w:color w:val="000000"/>
          <w:sz w:val="26"/>
        </w:rPr>
        <w:t>Dịch vụ áp dụng cho việc tư vấn, dự thảo, rà soát và hỗ trợ đàm phán các hợp đồng phục vụ hoạt động ví điện tử. Thời hạn của từng nhiệm vụ được xác định theo độ phức tạp, số vòng phản hồi và mức độ đầy đủ của hồ sơ nghiệp vụ, kỹ thuật, tài chính. Ý kiến tư vấn chỉ có giá trị đối với phiên bản tài liệu và thông tin đã được cung cấp; thay đổi mô hình hoặc chức năng phải được rà soát lại.</w:t>
      </w:r>
    </w:p>
    <w:p>
      <w:pPr>
        <w:pStyle w:val="Normal"/>
        <w:spacing w:lineRule="auto" w:line="312" w:before="0" w:after="120"/>
        <w:ind w:firstLine="567"/>
        <w:jc w:val="both"/>
        <w:rPr/>
      </w:pPr>
      <w:r>
        <w:rPr>
          <w:rFonts w:eastAsia="Times New Roman" w:cs="Times New Roman"/>
          <w:color w:val="000000"/>
          <w:sz w:val="26"/>
        </w:rPr>
        <w:t>Phạm vi không bao gồm quyết định thương mại thay khách hàng; kiểm thử hệ thống; bảo đảm hiệu quả kinh doanh; đại diện tố tụng; tư vấn pháp luật nước ngoài; xác nhận tuân thủ tiêu chuẩn kỹ thuật; hoặc cam kết đối tác sẽ ký hợp đồng. Chúng tôi không soạn điều khoản nhằm chuyển toàn bộ rủi ro bắt buộc của doanh nghiệp ví điện tử sang khách hàng, ngân hàng hoặc nhà thầu nếu pháp luật không cho phép.</w:t>
      </w:r>
    </w:p>
    <w:p>
      <w:pPr>
        <w:pStyle w:val="Heading2"/>
        <w:keepNext w:val="true"/>
        <w:spacing w:before="120" w:after="100"/>
        <w:rPr/>
      </w:pPr>
      <w:r>
        <w:rPr>
          <w:rFonts w:eastAsia="Times New Roman" w:cs="Times New Roman" w:ascii="Times New Roman" w:hAnsi="Times New Roman"/>
          <w:b/>
          <w:color w:val="000000"/>
          <w:sz w:val="26"/>
        </w:rPr>
        <w:t>4.4. Mục đích dịch vụ.</w:t>
      </w:r>
    </w:p>
    <w:p>
      <w:pPr>
        <w:pStyle w:val="Normal"/>
        <w:spacing w:lineRule="auto" w:line="312" w:before="0" w:after="120"/>
        <w:ind w:firstLine="567"/>
        <w:jc w:val="both"/>
        <w:rPr/>
      </w:pPr>
      <w:r>
        <w:rPr>
          <w:rFonts w:eastAsia="Times New Roman" w:cs="Times New Roman"/>
          <w:color w:val="000000"/>
          <w:sz w:val="26"/>
        </w:rPr>
        <w:t>Bộ hợp đồng thống nhất giúp doanh nghiệp mở rộng mạng lưới mà không phải đàm phán lại toàn bộ cấu trúc pháp lý cho từng đối tác. Phụ lục mô-đun cho phép điều chỉnh phí, chức năng, tiêu chuẩn kỹ thuật và mức dịch vụ nhưng vẫn giữ các nguyên tắc cốt lõi về tuân thủ, dữ liệu và trách nhiệm. Đối với nhà đầu tư, đây là bằng chứng cho thấy doanh nghiệp có mô hình doanh thu, cơ chế phân bổ rủi ro và quy trình hợp tác có thể mở rộng.</w:t>
      </w:r>
    </w:p>
    <w:p>
      <w:pPr>
        <w:pStyle w:val="Normal"/>
        <w:spacing w:lineRule="auto" w:line="312" w:before="0" w:after="120"/>
        <w:ind w:firstLine="567"/>
        <w:jc w:val="both"/>
        <w:rPr/>
      </w:pPr>
      <w:r>
        <w:rPr>
          <w:rFonts w:eastAsia="Times New Roman" w:cs="Times New Roman"/>
          <w:color w:val="000000"/>
          <w:sz w:val="26"/>
        </w:rPr>
        <w:t>Hợp đồng API là sản phẩm có giá trị tăng thêm vì trực tiếp chuyển năng lực công nghệ thành khả năng kết nối thương mại. Tuy nhiên, giá trị đó chỉ bền vững khi hợp đồng giới hạn đúng quyền của bên tích hợp, bảo vệ dữ liệu khách hàng và có cơ chế xử lý sự cố, đối soát, thay đổi phiên bản rõ ràng.</w:t>
      </w:r>
    </w:p>
    <w:p>
      <w:pPr>
        <w:pStyle w:val="Heading1"/>
        <w:keepNext w:val="true"/>
        <w:spacing w:before="160" w:after="100"/>
        <w:jc w:val="center"/>
        <w:rPr/>
      </w:pPr>
      <w:r>
        <w:rPr>
          <w:rFonts w:eastAsia="Times New Roman" w:cs="Times New Roman" w:ascii="Times New Roman" w:hAnsi="Times New Roman"/>
          <w:b/>
          <w:color w:val="000000"/>
          <w:sz w:val="26"/>
        </w:rPr>
        <w:t>CHƯƠNG 5. TƯ VẤN TUÂN THỦ VÀ QUẢN TRỊ RỦI RO PHÁP LÝ.</w:t>
      </w:r>
    </w:p>
    <w:p>
      <w:pPr>
        <w:pStyle w:val="Heading2"/>
        <w:keepNext w:val="true"/>
        <w:spacing w:before="120" w:after="100"/>
        <w:rPr/>
      </w:pPr>
      <w:r>
        <w:rPr>
          <w:rFonts w:eastAsia="Times New Roman" w:cs="Times New Roman" w:ascii="Times New Roman" w:hAnsi="Times New Roman"/>
          <w:b/>
          <w:color w:val="000000"/>
          <w:sz w:val="26"/>
        </w:rPr>
        <w:t>5.1. Giới thiệu dịch vụ.</w:t>
      </w:r>
    </w:p>
    <w:p>
      <w:pPr>
        <w:pStyle w:val="Normal"/>
        <w:spacing w:lineRule="auto" w:line="312" w:before="0" w:after="120"/>
        <w:ind w:firstLine="567"/>
        <w:jc w:val="both"/>
        <w:rPr/>
      </w:pPr>
      <w:r>
        <w:rPr>
          <w:rFonts w:eastAsia="Times New Roman" w:cs="Times New Roman"/>
          <w:color w:val="000000"/>
          <w:sz w:val="26"/>
        </w:rPr>
        <w:t>Giấy phép không phải là điểm kết thúc của tuân thủ. Doanh nghiệp ví điện tử phải duy trì điều kiện hoạt động, cập nhật quy định, bảo vệ dữ liệu, thực hiện phòng chống rửa tiền, tiếp nhận khiếu nại, báo cáo và kiểm soát nhà thầu trong suốt thời gian cung ứng dịch vụ. Nhóm dịch vụ này giúp chuyển nghĩa vụ pháp luật thành chính sách, quy trình, biểu mẫu và đầu mối chịu trách nhiệm có thể kiểm tra được.</w:t>
      </w:r>
    </w:p>
    <w:p>
      <w:pPr>
        <w:pStyle w:val="Heading2"/>
        <w:keepNext w:val="true"/>
        <w:spacing w:before="120" w:after="100"/>
        <w:rPr/>
      </w:pPr>
      <w:r>
        <w:rPr>
          <w:rFonts w:eastAsia="Times New Roman" w:cs="Times New Roman" w:ascii="Times New Roman" w:hAnsi="Times New Roman"/>
          <w:b/>
          <w:color w:val="000000"/>
          <w:sz w:val="26"/>
        </w:rPr>
        <w:t>5.2. Nội dung dịch vụ.</w:t>
      </w:r>
    </w:p>
    <w:p>
      <w:pPr>
        <w:pStyle w:val="Heading3"/>
        <w:keepNext w:val="true"/>
        <w:spacing w:before="120" w:after="100"/>
        <w:jc w:val="start"/>
        <w:rPr/>
      </w:pPr>
      <w:r>
        <w:rPr>
          <w:rFonts w:eastAsia="Times New Roman" w:cs="Times New Roman" w:ascii="Times New Roman" w:hAnsi="Times New Roman"/>
          <w:b/>
          <w:color w:val="000000"/>
          <w:sz w:val="26"/>
        </w:rPr>
        <w:t>5.2.1. Chính sách bảo vệ dữ liệu cá nhân (*).</w:t>
      </w:r>
    </w:p>
    <w:p>
      <w:pPr>
        <w:pStyle w:val="Normal"/>
        <w:spacing w:lineRule="auto" w:line="312" w:before="0" w:after="120"/>
        <w:ind w:firstLine="567"/>
        <w:jc w:val="both"/>
        <w:rPr/>
      </w:pPr>
      <w:r>
        <w:rPr>
          <w:rFonts w:eastAsia="Times New Roman" w:cs="Times New Roman"/>
          <w:color w:val="000000"/>
          <w:sz w:val="26"/>
        </w:rPr>
        <w:t>Nội dung thứ nhất là xây dựng hệ thống bảo vệ dữ liệu cá nhân theo Luật Bảo vệ dữ liệu cá nhân số 91/2025/QH15 và Nghị định số 356/2025/NĐ-CP. Công việc gồm lập bản đồ dữ liệu; xác định vai trò của doanh nghiệp và đối tác; phân loại dữ liệu thông thường, dữ liệu nhạy cảm; xác định mục đích và căn cứ xử lý; soạn chính sách công khai; thiết kế cơ chế thực hiện quyền của chủ thể dữ liệu; quản lý đồng ý khi pháp luật yêu cầu; phân quyền truy cập; quy định lưu giữ, xóa, chuyển giao và thông báo sự cố; rà soát hợp đồng với nhà cung cấp eKYC, máy chủ, phân tích dữ liệu và đối tác thanh toán.</w:t>
      </w:r>
    </w:p>
    <w:p>
      <w:pPr>
        <w:pStyle w:val="Normal"/>
        <w:spacing w:lineRule="auto" w:line="312" w:before="0" w:after="120"/>
        <w:ind w:firstLine="567"/>
        <w:jc w:val="both"/>
        <w:rPr/>
      </w:pPr>
      <w:r>
        <w:rPr>
          <w:rFonts w:eastAsia="Times New Roman" w:cs="Times New Roman"/>
          <w:color w:val="000000"/>
          <w:sz w:val="26"/>
        </w:rPr>
        <w:t>Đối với ví điện tử, thông tin định danh, tài chính, lịch sử giao dịch và dữ liệu xác thực có mức độ rủi ro cao. Doanh nghiệp phải đánh giá tác động xử lý dữ liệu và chuyển dữ liệu xuyên biên giới trong trường hợp pháp luật yêu cầu; chỉ định nhân sự hoặc bộ phận đáp ứng điều kiện; lưu hồ sơ để chứng minh tuân thủ. Các viện dẫn đến Nghị định số 13/2023/NĐ-CP trong bản thô được thay bằng khung pháp luật có hiệu lực từ ngày 01 tháng 01 năm 2026.</w:t>
      </w:r>
    </w:p>
    <w:p>
      <w:pPr>
        <w:pStyle w:val="Heading3"/>
        <w:keepNext w:val="true"/>
        <w:spacing w:before="120" w:after="100"/>
        <w:jc w:val="start"/>
        <w:rPr/>
      </w:pPr>
      <w:r>
        <w:rPr>
          <w:rFonts w:eastAsia="Times New Roman" w:cs="Times New Roman" w:ascii="Times New Roman" w:hAnsi="Times New Roman"/>
          <w:b/>
          <w:color w:val="000000"/>
          <w:sz w:val="26"/>
        </w:rPr>
        <w:t>5.2.2. Quy trình xử lý khiếu nại và tra soát (*).</w:t>
      </w:r>
    </w:p>
    <w:p>
      <w:pPr>
        <w:pStyle w:val="Normal"/>
        <w:spacing w:lineRule="auto" w:line="312" w:before="0" w:after="120"/>
        <w:ind w:firstLine="567"/>
        <w:jc w:val="both"/>
        <w:rPr/>
      </w:pPr>
      <w:r>
        <w:rPr>
          <w:rFonts w:eastAsia="Times New Roman" w:cs="Times New Roman"/>
          <w:color w:val="000000"/>
          <w:sz w:val="26"/>
        </w:rPr>
        <w:t>Nội dung thứ hai là xây dựng quy trình tiếp nhận và xử lý khiếu nại, tra soát và sự cố vận hành. Tầng tiếp nhận ghi nhận yêu cầu, xác minh danh tính, phân loại và thông báo thời hạn xử lý. Tầng chuyên sâu phối hợp giữa chăm sóc khách hàng, vận hành, kỹ thuật, pháp chế và kiểm soát rủi ro để bảo toàn chứng cứ, đánh giá giao dịch và áp dụng biện pháp tạm thời khi có căn cứ. Tầng tranh chấp hoặc sự cố nghiêm trọng xác định nghĩa vụ báo cáo, phương án làm việc với cơ quan có thẩm quyền, thông tin cho khách hàng và quản lý truyền thông. Quy trình không cho phép tự ý phong tỏa hoặc khấu trừ tiền nếu không có căn cứ hợp đồng và pháp luật.</w:t>
      </w:r>
    </w:p>
    <w:p>
      <w:pPr>
        <w:pStyle w:val="Heading3"/>
        <w:keepNext w:val="true"/>
        <w:spacing w:before="120" w:after="100"/>
        <w:jc w:val="start"/>
        <w:rPr/>
      </w:pPr>
      <w:r>
        <w:rPr>
          <w:rFonts w:eastAsia="Times New Roman" w:cs="Times New Roman" w:ascii="Times New Roman" w:hAnsi="Times New Roman"/>
          <w:b/>
          <w:color w:val="000000"/>
          <w:sz w:val="26"/>
        </w:rPr>
        <w:t>5.2.3. Dịch vụ cập nhật pháp lý định kỳ.</w:t>
      </w:r>
    </w:p>
    <w:p>
      <w:pPr>
        <w:pStyle w:val="Normal"/>
        <w:spacing w:lineRule="auto" w:line="312" w:before="0" w:after="120"/>
        <w:ind w:firstLine="567"/>
        <w:jc w:val="both"/>
        <w:rPr/>
      </w:pPr>
      <w:r>
        <w:rPr>
          <w:rFonts w:eastAsia="Times New Roman" w:cs="Times New Roman"/>
          <w:color w:val="000000"/>
          <w:sz w:val="26"/>
        </w:rPr>
        <w:t>Nội dung thứ ba là dịch vụ cập nhật pháp lý định kỳ. Chúng tôi theo dõi văn bản của Quốc hội, Chính phủ, Ngân hàng Nhà nước, Bộ Công an và cơ quan liên quan; phân tích tác động đối với mô hình, hợp đồng và quy trình; phát hành bản tin hoặc báo cáo theo tháng hoặc quý; tổ chức phiên trao đổi với bộ phận quản lý, kỹ thuật và tuân thủ; đề xuất danh mục hành động, người phụ trách và thời hạn thực hiện.</w:t>
      </w:r>
    </w:p>
    <w:p>
      <w:pPr>
        <w:pStyle w:val="Heading2"/>
        <w:keepNext w:val="true"/>
        <w:spacing w:before="120" w:after="100"/>
        <w:rPr/>
      </w:pPr>
      <w:r>
        <w:rPr>
          <w:rFonts w:eastAsia="Times New Roman" w:cs="Times New Roman" w:ascii="Times New Roman" w:hAnsi="Times New Roman"/>
          <w:b/>
          <w:color w:val="000000"/>
          <w:sz w:val="26"/>
        </w:rPr>
        <w:t>5.3. Phạm vi dịch vụ.</w:t>
      </w:r>
    </w:p>
    <w:p>
      <w:pPr>
        <w:pStyle w:val="Normal"/>
        <w:spacing w:lineRule="auto" w:line="312" w:before="0" w:after="120"/>
        <w:ind w:firstLine="567"/>
        <w:jc w:val="both"/>
        <w:rPr/>
      </w:pPr>
      <w:r>
        <w:rPr>
          <w:rFonts w:eastAsia="Times New Roman" w:cs="Times New Roman"/>
          <w:color w:val="000000"/>
          <w:sz w:val="26"/>
        </w:rPr>
        <w:t>Dịch vụ áp dụng đối với hoạt động xử lý dữ liệu, phục vụ khách hàng, quản trị rủi ro và theo dõi pháp luật của doanh nghiệp ví điện tử. Dịch vụ có thể bắt đầu trước khi ra mắt sản phẩm và được duy trì trong suốt thời hạn hợp đồng tư vấn thường xuyên. Tần suất báo cáo, thời gian phản hồi và đầu mối phối hợp được quy định trong phạm vi công việc.</w:t>
      </w:r>
    </w:p>
    <w:p>
      <w:pPr>
        <w:pStyle w:val="Normal"/>
        <w:spacing w:lineRule="auto" w:line="312" w:before="0" w:after="120"/>
        <w:ind w:firstLine="567"/>
        <w:jc w:val="both"/>
        <w:rPr/>
      </w:pPr>
      <w:r>
        <w:rPr>
          <w:rFonts w:eastAsia="Times New Roman" w:cs="Times New Roman"/>
          <w:color w:val="000000"/>
          <w:sz w:val="26"/>
        </w:rPr>
        <w:t>Phạm vi không bao gồm triển khai giải pháp an ninh mạng, điều tra số, chứng nhận hệ thống, thực hiện vai trò của cán bộ bảo vệ dữ liệu khi chưa có thỏa thuận và chưa đáp ứng điều kiện, hoặc đại diện làm việc với cơ quan nhà nước, tòa án, trọng tài nếu chưa được giao. Chúng tôi không bảo đảm rủi ro bị loại bỏ hoàn toàn; trách nhiệm vận hành và quyết định cuối cùng vẫn thuộc doanh nghiệp ví điện tử.</w:t>
      </w:r>
    </w:p>
    <w:p>
      <w:pPr>
        <w:pStyle w:val="Heading2"/>
        <w:keepNext w:val="true"/>
        <w:spacing w:before="120" w:after="100"/>
        <w:rPr/>
      </w:pPr>
      <w:r>
        <w:rPr>
          <w:rFonts w:eastAsia="Times New Roman" w:cs="Times New Roman" w:ascii="Times New Roman" w:hAnsi="Times New Roman"/>
          <w:b/>
          <w:color w:val="000000"/>
          <w:sz w:val="26"/>
        </w:rPr>
        <w:t>5.4. Mục đích và lợi ích đối với nhà đầu tư.</w:t>
      </w:r>
    </w:p>
    <w:p>
      <w:pPr>
        <w:pStyle w:val="Normal"/>
        <w:spacing w:lineRule="auto" w:line="312" w:before="0" w:after="120"/>
        <w:ind w:firstLine="567"/>
        <w:jc w:val="both"/>
        <w:rPr/>
      </w:pPr>
      <w:r>
        <w:rPr>
          <w:rFonts w:eastAsia="Times New Roman" w:cs="Times New Roman"/>
          <w:color w:val="000000"/>
          <w:sz w:val="26"/>
        </w:rPr>
        <w:t>Hệ thống tuân thủ giúp doanh nghiệp nhận diện vi phạm trước khi trở thành sự cố, rút ngắn thời gian xử lý khiếu nại và tạo hồ sơ chứng minh với cơ quan quản lý. Đối với nhà đầu tư, cơ chế cập nhật pháp lý và bảo vệ dữ liệu rõ ràng giảm rủi ro bị gián đoạn hoạt động, xử phạt, mất uy tín hoặc phải thay đổi sản phẩm khẩn cấp. Đây cũng là điều kiện thực tế để hợp tác với ngân hàng, thương nhân lớn và nhà cung cấp quốc tế.</w:t>
      </w:r>
    </w:p>
    <w:p>
      <w:pPr>
        <w:pStyle w:val="Heading1"/>
        <w:keepNext w:val="true"/>
        <w:spacing w:before="160" w:after="100"/>
        <w:jc w:val="center"/>
        <w:rPr/>
      </w:pPr>
      <w:r>
        <w:rPr>
          <w:rFonts w:eastAsia="Times New Roman" w:cs="Times New Roman" w:ascii="Times New Roman" w:hAnsi="Times New Roman"/>
          <w:b/>
          <w:color w:val="000000"/>
          <w:sz w:val="26"/>
        </w:rPr>
        <w:t>CHƯƠNG 6. TƯ VẤN XỬ LÝ CÁC VẤN ĐỀ PHÁT SINH.</w:t>
      </w:r>
    </w:p>
    <w:p>
      <w:pPr>
        <w:pStyle w:val="Heading2"/>
        <w:keepNext w:val="true"/>
        <w:spacing w:before="120" w:after="100"/>
        <w:rPr/>
      </w:pPr>
      <w:r>
        <w:rPr>
          <w:rFonts w:eastAsia="Times New Roman" w:cs="Times New Roman" w:ascii="Times New Roman" w:hAnsi="Times New Roman"/>
          <w:b/>
          <w:color w:val="000000"/>
          <w:sz w:val="26"/>
        </w:rPr>
        <w:t>6.1. Giới thiệu dịch vụ.</w:t>
      </w:r>
    </w:p>
    <w:p>
      <w:pPr>
        <w:pStyle w:val="Normal"/>
        <w:spacing w:lineRule="auto" w:line="312" w:before="0" w:after="120"/>
        <w:ind w:firstLine="567"/>
        <w:jc w:val="both"/>
        <w:rPr/>
      </w:pPr>
      <w:r>
        <w:rPr>
          <w:rFonts w:eastAsia="Times New Roman" w:cs="Times New Roman"/>
          <w:color w:val="000000"/>
          <w:sz w:val="26"/>
        </w:rPr>
        <w:t>Dù có cơ chế phòng ngừa, doanh nghiệp ví điện tử vẫn có thể đối mặt với lừa đảo, giao dịch giả mạo, rửa tiền, gián đoạn hệ thống, chênh lệch đối soát, rò rỉ dữ liệu, tranh chấp với đối tác hoặc yêu cầu từ cơ quan nhà nước. Giá trị của dịch vụ pháp lý trong tình huống này nằm ở khả năng xác định nhanh căn cứ, bảo toàn chứng cứ, phối hợp đúng đầu mối và lựa chọn biện pháp tỷ lệ với rủi ro.</w:t>
      </w:r>
    </w:p>
    <w:p>
      <w:pPr>
        <w:pStyle w:val="Heading2"/>
        <w:keepNext w:val="true"/>
        <w:spacing w:before="120" w:after="100"/>
        <w:rPr/>
      </w:pPr>
      <w:r>
        <w:rPr>
          <w:rFonts w:eastAsia="Times New Roman" w:cs="Times New Roman" w:ascii="Times New Roman" w:hAnsi="Times New Roman"/>
          <w:b/>
          <w:color w:val="000000"/>
          <w:sz w:val="26"/>
        </w:rPr>
        <w:t>6.2. Nội dung dịch vụ.</w:t>
      </w:r>
    </w:p>
    <w:p>
      <w:pPr>
        <w:pStyle w:val="Normal"/>
        <w:spacing w:lineRule="auto" w:line="312" w:before="0" w:after="120"/>
        <w:ind w:firstLine="567"/>
        <w:jc w:val="both"/>
        <w:rPr/>
      </w:pPr>
      <w:r>
        <w:rPr>
          <w:rFonts w:eastAsia="Times New Roman" w:cs="Times New Roman"/>
          <w:color w:val="000000"/>
          <w:sz w:val="26"/>
        </w:rPr>
        <w:t>Đối với lừa đảo và tội phạm tài chính, chúng tôi hỗ trợ lập hồ sơ sự việc; rà soát thông tin khách hàng và giao dịch; xác định căn cứ áp dụng biện pháp tạm thời; chuẩn bị báo cáo giao dịch đáng ngờ khi thuộc trường hợp luật định; soạn văn bản trao đổi với ngân hàng, đối tác và cơ quan có thẩm quyền; hướng dẫn bảo toàn nhật ký hệ thống, dữ liệu giao dịch và lịch sử liên lạc. Mọi biện pháp hạn chế tài khoản phải có căn cứ, thời hạn và cơ chế rà soát, tránh xâm phạm quyền của khách hàng vô căn cứ.</w:t>
      </w:r>
    </w:p>
    <w:p>
      <w:pPr>
        <w:pStyle w:val="Normal"/>
        <w:spacing w:lineRule="auto" w:line="312" w:before="0" w:after="120"/>
        <w:ind w:firstLine="567"/>
        <w:jc w:val="both"/>
        <w:rPr/>
      </w:pPr>
      <w:r>
        <w:rPr>
          <w:rFonts w:eastAsia="Times New Roman" w:cs="Times New Roman"/>
          <w:color w:val="000000"/>
          <w:sz w:val="26"/>
        </w:rPr>
        <w:t>Đối với sự cố kỹ thuật và tranh chấp tài chính, dịch vụ gồm xác định nghĩa vụ thông báo theo hợp đồng, phân tích phân bổ trách nhiệm, đối chiếu dữ liệu, lập biên bản sự cố, bảo lưu quyền, thương lượng hoàn trả hoặc bồi thường và cập nhật kịch bản phản hồi khách hàng. Chúng tôi phối hợp với chuyên gia kỹ thuật nhưng không tự đưa ra kết luận kỹ thuật nếu chưa có chứng cứ chuyên môn.</w:t>
      </w:r>
    </w:p>
    <w:p>
      <w:pPr>
        <w:pStyle w:val="Normal"/>
        <w:spacing w:lineRule="auto" w:line="312" w:before="0" w:after="120"/>
        <w:ind w:firstLine="567"/>
        <w:jc w:val="both"/>
        <w:rPr/>
      </w:pPr>
      <w:r>
        <w:rPr>
          <w:rFonts w:eastAsia="Times New Roman" w:cs="Times New Roman"/>
          <w:color w:val="000000"/>
          <w:sz w:val="26"/>
        </w:rPr>
        <w:t>Đối với vi phạm dữ liệu cá nhân và an ninh mạng, công việc gồm kích hoạt quy trình ứng phó, khoanh vùng chủ thể và dữ liệu bị ảnh hưởng, xác định nghĩa vụ thông báo hoặc báo cáo, rà soát nội dung truyền thông, làm việc với bên xử lý dữ liệu và chuẩn bị hồ sơ chứng minh các biện pháp đã áp dụng. Thời hạn và cơ quan tiếp nhận phải được xác định theo quy định có hiệu lực tại thời điểm xảy ra sự cố, không sử dụng máy móc các mốc thời gian trong tài liệu cũ.</w:t>
      </w:r>
    </w:p>
    <w:p>
      <w:pPr>
        <w:pStyle w:val="Normal"/>
        <w:spacing w:lineRule="auto" w:line="312" w:before="0" w:after="120"/>
        <w:ind w:firstLine="567"/>
        <w:jc w:val="both"/>
        <w:rPr/>
      </w:pPr>
      <w:r>
        <w:rPr>
          <w:rFonts w:eastAsia="Times New Roman" w:cs="Times New Roman"/>
          <w:color w:val="000000"/>
          <w:sz w:val="26"/>
        </w:rPr>
        <w:t>Sản phẩm bàn giao có thể gồm ý kiến pháp lý khẩn cấp, danh mục hành động, biên bản bảo toàn chứng cứ, thư yêu cầu hoặc phản hồi, báo cáo sự cố, hồ sơ khiếu nại, biên bản thương lượng và bản tổng kết nguyên nhân cùng biện pháp khắc phục.</w:t>
      </w:r>
    </w:p>
    <w:p>
      <w:pPr>
        <w:pStyle w:val="Heading2"/>
        <w:keepNext w:val="true"/>
        <w:spacing w:before="120" w:after="100"/>
        <w:rPr/>
      </w:pPr>
      <w:r>
        <w:rPr>
          <w:rFonts w:eastAsia="Times New Roman" w:cs="Times New Roman" w:ascii="Times New Roman" w:hAnsi="Times New Roman"/>
          <w:b/>
          <w:color w:val="000000"/>
          <w:sz w:val="26"/>
        </w:rPr>
        <w:t>6.3. Phạm vi dịch vụ.</w:t>
      </w:r>
    </w:p>
    <w:p>
      <w:pPr>
        <w:pStyle w:val="Normal"/>
        <w:spacing w:lineRule="auto" w:line="312" w:before="0" w:after="120"/>
        <w:ind w:firstLine="567"/>
        <w:jc w:val="both"/>
        <w:rPr/>
      </w:pPr>
      <w:r>
        <w:rPr>
          <w:rFonts w:eastAsia="Times New Roman" w:cs="Times New Roman"/>
          <w:color w:val="000000"/>
          <w:sz w:val="26"/>
        </w:rPr>
        <w:t>Dịch vụ được kích hoạt khi doanh nghiệp thông báo sự cố và cung cấp đầu mối có thẩm quyền. Phạm vi áp dụng đối với sự cố phát sinh từ hoạt động ví điện tử, hệ thống kết nối, đối tác, nhân sự và khách hàng tại Việt Nam. Thời gian phản hồi phụ thuộc cấp độ sự cố và được quy định trong hợp đồng hoặc quy trình ứng phó; trường hợp khẩn cấp ưu tiên biện pháp bảo toàn chứng cứ, hạn chế thiệt hại và tuân thủ thời hạn bắt buộc.</w:t>
      </w:r>
    </w:p>
    <w:p>
      <w:pPr>
        <w:pStyle w:val="Normal"/>
        <w:spacing w:lineRule="auto" w:line="312" w:before="0" w:after="120"/>
        <w:ind w:firstLine="567"/>
        <w:jc w:val="both"/>
        <w:rPr/>
      </w:pPr>
      <w:r>
        <w:rPr>
          <w:rFonts w:eastAsia="Times New Roman" w:cs="Times New Roman"/>
          <w:color w:val="000000"/>
          <w:sz w:val="26"/>
        </w:rPr>
        <w:t>Dịch vụ không bao gồm điều tra hình sự, giám định kỹ thuật, khôi phục hệ thống, đại diện tố tụng hoặc làm việc chính thức với cơ quan nhà nước khi chưa có ủy quyền hợp lệ. Chúng tôi không được yêu cầu khách hàng tiêu hủy, sửa hoặc che giấu chứng cứ; không cam kết kết quả xử lý, bồi thường hay quyết định của cơ quan có thẩm quyền.</w:t>
      </w:r>
    </w:p>
    <w:p>
      <w:pPr>
        <w:pStyle w:val="Heading2"/>
        <w:keepNext w:val="true"/>
        <w:spacing w:before="120" w:after="100"/>
        <w:rPr/>
      </w:pPr>
      <w:r>
        <w:rPr>
          <w:rFonts w:eastAsia="Times New Roman" w:cs="Times New Roman" w:ascii="Times New Roman" w:hAnsi="Times New Roman"/>
          <w:b/>
          <w:color w:val="000000"/>
          <w:sz w:val="26"/>
        </w:rPr>
        <w:t>6.4. Mục đích và lợi ích đối với nhà đầu tư.</w:t>
      </w:r>
    </w:p>
    <w:p>
      <w:pPr>
        <w:pStyle w:val="Normal"/>
        <w:spacing w:lineRule="auto" w:line="312" w:before="0" w:after="120"/>
        <w:ind w:hanging="0"/>
        <w:rPr/>
      </w:pPr>
      <w:r>
        <w:rPr>
          <w:rFonts w:eastAsia="Times New Roman" w:cs="Times New Roman"/>
          <w:color w:val="000000"/>
          <w:sz w:val="26"/>
        </w:rPr>
        <w:t>Dịch vụ giúp doanh nghiệp phản ứng có trật tự thay vì đưa ra quyết định rời rạc trong tình trạng khẩn cấp. Việc bảo toàn chứng cứ, phân quyền phát ngôn và ghi nhận căn cứ của từng biện pháp làm giảm nguy cơ sự cố ban đầu phát triển thành tranh chấp, vi phạm dữ liệu hoặc khủng hoảng truyền thông. Báo cáo sau sự cố còn cung cấp dữ liệu để sửa hợp đồng, quy trình và hệ thống kiểm soát.</w:t>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7. PHÂN NHÓM GÓI DỊCH VỤ VÀ SẢN PHẨM DEMO.</w:t>
      </w:r>
    </w:p>
    <w:p>
      <w:pPr>
        <w:pStyle w:val="Heading2"/>
        <w:keepNext w:val="true"/>
        <w:spacing w:before="120" w:after="100"/>
        <w:rPr/>
      </w:pPr>
      <w:r>
        <w:rPr>
          <w:rFonts w:eastAsia="Times New Roman" w:cs="Times New Roman" w:ascii="Times New Roman" w:hAnsi="Times New Roman"/>
          <w:b/>
          <w:color w:val="000000"/>
          <w:sz w:val="26"/>
        </w:rPr>
        <w:t>7.1. Phân nhóm dịch vụ.</w:t>
      </w:r>
    </w:p>
    <w:tbl>
      <w:tblPr>
        <w:tblW w:w="9175" w:type="dxa"/>
        <w:jc w:val="center"/>
        <w:tblInd w:w="0" w:type="dxa"/>
        <w:tblLayout w:type="fixed"/>
        <w:tblCellMar>
          <w:top w:w="55" w:type="dxa"/>
          <w:start w:w="85" w:type="dxa"/>
          <w:bottom w:w="55" w:type="dxa"/>
          <w:end w:w="85" w:type="dxa"/>
        </w:tblCellMar>
        <w:tblLook w:noHBand="0" w:lastColumn="0" w:firstColumn="1" w:lastRow="0" w:firstRow="1" w:noVBand="1" w:val="04a0"/>
      </w:tblPr>
      <w:tblGrid>
        <w:gridCol w:w="3022"/>
        <w:gridCol w:w="3024"/>
        <w:gridCol w:w="3129"/>
      </w:tblGrid>
      <w:tr>
        <w:trPr>
          <w:tblHeader w:val="true"/>
          <w:cantSplit/>
        </w:trPr>
        <w:tc>
          <w:tcPr>
            <w:tcW w:w="3022" w:type="dxa"/>
            <w:tcBorders>
              <w:top w:val="single" w:sz="6" w:space="0" w:color="000000"/>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Gói dịch vụ</w:t>
            </w:r>
          </w:p>
        </w:tc>
        <w:tc>
          <w:tcPr>
            <w:tcW w:w="3024" w:type="dxa"/>
            <w:tcBorders>
              <w:top w:val="single" w:sz="6" w:space="0" w:color="000000"/>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Nội dung</w:t>
            </w:r>
          </w:p>
        </w:tc>
        <w:tc>
          <w:tcPr>
            <w:tcW w:w="3129"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Sản phẩm bàn giao</w:t>
            </w:r>
          </w:p>
        </w:tc>
      </w:tr>
      <w:tr>
        <w:trPr>
          <w:cantSplit/>
        </w:trPr>
        <w:tc>
          <w:tcPr>
            <w:tcW w:w="3022"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Tối thiểu</w:t>
            </w:r>
          </w:p>
        </w:tc>
        <w:tc>
          <w:tcPr>
            <w:tcW w:w="3024"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Toàn bộ gói cơ bản; thành lập công ty cổ phần; Điều lệ; lộ trình giấy phép; hợp đồng khách hàng; tài khoản bảo đảm thanh toán; chính sách dữ liệu và quy trình khiếu nại cốt lõi.</w:t>
            </w:r>
          </w:p>
        </w:tc>
        <w:tc>
          <w:tcPr>
            <w:tcW w:w="3129" w:type="dxa"/>
            <w:tcBorders>
              <w:start w:val="single" w:sz="6" w:space="0" w:color="000000"/>
              <w:bottom w:val="single" w:sz="6" w:space="0" w:color="000000"/>
              <w:end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Bộ hồ sơ thành lập, hệ thống văn bản bắt buộc và bộ kiểm tra điều kiện trước vận hành.</w:t>
            </w:r>
          </w:p>
        </w:tc>
      </w:tr>
      <w:tr>
        <w:trPr>
          <w:cantSplit/>
        </w:trPr>
        <w:tc>
          <w:tcPr>
            <w:tcW w:w="3022"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Tối đa</w:t>
            </w:r>
          </w:p>
        </w:tc>
        <w:tc>
          <w:tcPr>
            <w:tcW w:w="3024"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Toàn bộ gói tối thiểu; hợp đồng API, thuê ngoài, khuyến mại và đơn vị chấp nhận thanh toán; quản trị sở hữu trí tuệ; cập nhật pháp lý định kỳ; diễn tập và hỗ trợ xử lý sự cố.</w:t>
            </w:r>
          </w:p>
        </w:tc>
        <w:tc>
          <w:tcPr>
            <w:tcW w:w="3129" w:type="dxa"/>
            <w:tcBorders>
              <w:start w:val="single" w:sz="6" w:space="0" w:color="000000"/>
              <w:bottom w:val="single" w:sz="6" w:space="0" w:color="000000"/>
              <w:end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Hệ thống pháp lý trọn vòng đời, báo cáo định kỳ, bộ biểu mẫu ứng phó và hỗ trợ đàm phán.</w:t>
            </w:r>
          </w:p>
        </w:tc>
      </w:tr>
    </w:tbl>
    <w:p>
      <w:pPr>
        <w:pStyle w:val="Normal"/>
        <w:spacing w:lineRule="auto" w:line="312" w:before="0" w:after="120"/>
        <w:ind w:firstLine="567"/>
        <w:jc w:val="both"/>
        <w:rPr/>
      </w:pPr>
      <w:r>
        <w:rPr/>
      </w:r>
    </w:p>
    <w:p>
      <w:pPr>
        <w:pStyle w:val="Normal"/>
        <w:spacing w:lineRule="auto" w:line="312" w:before="0" w:after="120"/>
        <w:ind w:firstLine="567"/>
        <w:jc w:val="both"/>
        <w:rPr/>
      </w:pPr>
      <w:r>
        <w:rPr>
          <w:rFonts w:eastAsia="Times New Roman" w:cs="Times New Roman"/>
          <w:color w:val="000000"/>
          <w:sz w:val="26"/>
        </w:rPr>
        <w:t>Gói cơ bản phù hợp với giai đoạn nhà đầu tư đang kiểm chứng ý tưởng và cần xác định cấu trúc pháp lý trước khi cam kết ngân sách lớn. Gói tối thiểu là tập hợp công việc bắt buộc để dự án có thể thành lập chủ thể, chuẩn bị cấp phép và giao kết các quan hệ cốt lõi. Gói tối đa hoặc nâng cao bao phủ toàn bộ vòng đời, bổ sung quản trị dữ liệu, hệ thống hợp đồng mở rộng, cập nhật pháp lý và hỗ trợ xử lý sự cố.</w:t>
      </w:r>
    </w:p>
    <w:p>
      <w:pPr>
        <w:pStyle w:val="Normal"/>
        <w:spacing w:lineRule="auto" w:line="312" w:before="0" w:after="120"/>
        <w:ind w:firstLine="567"/>
        <w:jc w:val="both"/>
        <w:rPr/>
      </w:pPr>
      <w:r>
        <w:rPr>
          <w:rFonts w:eastAsia="Times New Roman" w:cs="Times New Roman"/>
          <w:color w:val="000000"/>
          <w:sz w:val="26"/>
        </w:rPr>
        <w:t>Nội dung quan trọng nhất trong giai đoạn hiện tại là thẩm định đúng mô hình và lập lộ trình giấy phép. Tuy nhiên, trước khi vận hành chính thức, hợp đồng mở và sử dụng ví điện tử, cơ chế tài khoản bảo đảm thanh toán, quy trình định danh, bảo vệ dữ liệu và phòng chống rửa tiền trở thành nhóm công việc không thể thiếu.</w:t>
      </w:r>
    </w:p>
    <w:p>
      <w:pPr>
        <w:pStyle w:val="Heading2"/>
        <w:keepNext w:val="true"/>
        <w:spacing w:before="120" w:after="100"/>
        <w:rPr/>
      </w:pPr>
      <w:r>
        <w:rPr>
          <w:rFonts w:eastAsia="Times New Roman" w:cs="Times New Roman" w:ascii="Times New Roman" w:hAnsi="Times New Roman"/>
          <w:b/>
          <w:color w:val="000000"/>
          <w:sz w:val="26"/>
        </w:rPr>
        <w:t>7.2. Hai sản phẩm demo.</w:t>
      </w:r>
    </w:p>
    <w:tbl>
      <w:tblPr>
        <w:tblW w:w="9072" w:type="dxa"/>
        <w:jc w:val="center"/>
        <w:tblInd w:w="0" w:type="dxa"/>
        <w:tblLayout w:type="fixed"/>
        <w:tblCellMar>
          <w:top w:w="55" w:type="dxa"/>
          <w:start w:w="85" w:type="dxa"/>
          <w:bottom w:w="55" w:type="dxa"/>
          <w:end w:w="85" w:type="dxa"/>
        </w:tblCellMar>
        <w:tblLook w:noHBand="0" w:lastColumn="0" w:firstColumn="1" w:lastRow="0" w:firstRow="1" w:noVBand="1" w:val="04a0"/>
      </w:tblPr>
      <w:tblGrid>
        <w:gridCol w:w="3024"/>
        <w:gridCol w:w="3024"/>
        <w:gridCol w:w="3024"/>
      </w:tblGrid>
      <w:tr>
        <w:trPr>
          <w:tblHeader w:val="true"/>
          <w:cantSplit/>
        </w:trPr>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center"/>
              <w:rPr/>
            </w:pPr>
            <w:r>
              <w:rPr>
                <w:rFonts w:eastAsia="Times New Roman" w:cs="Times New Roman"/>
                <w:b/>
                <w:color w:val="000000"/>
                <w:sz w:val="26"/>
              </w:rPr>
              <w:t>Sản phẩm</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center"/>
              <w:rPr/>
            </w:pPr>
            <w:r>
              <w:rPr>
                <w:rFonts w:eastAsia="Times New Roman" w:cs="Times New Roman"/>
                <w:b/>
                <w:color w:val="000000"/>
                <w:sz w:val="26"/>
              </w:rPr>
              <w:t>Nội dung trọng tâm</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center"/>
              <w:rPr/>
            </w:pPr>
            <w:r>
              <w:rPr>
                <w:rFonts w:eastAsia="Times New Roman" w:cs="Times New Roman"/>
                <w:b/>
                <w:color w:val="000000"/>
                <w:sz w:val="26"/>
              </w:rPr>
              <w:t>Giá trị đối với nhà đầu tư</w:t>
            </w:r>
          </w:p>
        </w:tc>
      </w:tr>
      <w:tr>
        <w:trPr>
          <w:cantSplit/>
        </w:trPr>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b/>
                <w:color w:val="000000"/>
                <w:sz w:val="26"/>
              </w:rPr>
              <w:t>Điều lệ công ty cổ phần</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Cơ cấu năm cổ đông, vốn và cổ phần, thẩm quyền quản trị, kiểm soát người quản lý, bảo vệ dữ liệu và tài sản công nghệ.</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Tạo nền tảng quản trị minh bạch, hỗ trợ gọi vốn và hạn chế tranh chấp nội bộ.</w:t>
            </w:r>
          </w:p>
        </w:tc>
      </w:tr>
      <w:tr>
        <w:trPr>
          <w:cantSplit/>
        </w:trPr>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b/>
                <w:color w:val="000000"/>
                <w:sz w:val="26"/>
              </w:rPr>
              <w:t>Hợp đồng mở và sử dụng ví điện tử</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Mở ví, định danh, liên kết ngân hàng, nạp rút và thanh toán, phí, hạn mức, tra soát, bảo mật, dữ liệu, tạm khóa và chấm dứt.</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Chuẩn hóa quan hệ với khách hàng, bảo vệ người tiêu dùng và chứng minh khả năng vận hành tuân thủ.</w:t>
            </w:r>
          </w:p>
        </w:tc>
      </w:tr>
    </w:tbl>
    <w:p>
      <w:pPr>
        <w:pStyle w:val="Normal"/>
        <w:spacing w:lineRule="auto" w:line="312" w:before="0" w:after="120"/>
        <w:ind w:firstLine="567"/>
        <w:jc w:val="both"/>
        <w:rPr/>
      </w:pPr>
      <w:r>
        <w:rPr/>
      </w:r>
    </w:p>
    <w:p>
      <w:pPr>
        <w:pStyle w:val="Normal"/>
        <w:spacing w:lineRule="auto" w:line="312" w:before="0" w:after="120"/>
        <w:ind w:firstLine="567"/>
        <w:jc w:val="both"/>
        <w:rPr/>
      </w:pPr>
      <w:r>
        <w:rPr>
          <w:rFonts w:eastAsia="Times New Roman" w:cs="Times New Roman"/>
          <w:color w:val="000000"/>
          <w:sz w:val="26"/>
        </w:rPr>
        <w:t>Hai sản phẩm demo được lựa chọn vì đại diện cho hai trục pháp lý của dự án. Điều lệ điều chỉnh cách doanh nghiệp hình thành và ra quyết định; Hợp đồng mở và sử dụng ví điện tử điều chỉnh cách doanh nghiệp cung cấp dịch vụ cho khách hàng. Khi hai văn bản này thống nhất với mô hình được cấp phép, nhà đầu tư có thể nhìn thấy mối liên hệ từ quản trị nội bộ đến hoạt động kinh doanh thực tế.</w:t>
      </w:r>
    </w:p>
    <w:p>
      <w:pPr>
        <w:pStyle w:val="Heading1"/>
        <w:keepNext w:val="true"/>
        <w:spacing w:before="160" w:after="100"/>
        <w:jc w:val="center"/>
        <w:rPr/>
      </w:pPr>
      <w:r>
        <w:rPr>
          <w:rFonts w:eastAsia="Times New Roman" w:cs="Times New Roman" w:ascii="Times New Roman" w:hAnsi="Times New Roman"/>
          <w:b/>
          <w:color w:val="000000"/>
          <w:sz w:val="26"/>
        </w:rPr>
        <w:t>KẾT LUẬN VÀ KIẾN NGHỊ.</w:t>
      </w:r>
    </w:p>
    <w:p>
      <w:pPr>
        <w:pStyle w:val="Normal"/>
        <w:spacing w:lineRule="auto" w:line="312" w:before="0" w:after="120"/>
        <w:ind w:firstLine="567"/>
        <w:jc w:val="both"/>
        <w:rPr/>
      </w:pPr>
      <w:r>
        <w:rPr>
          <w:rFonts w:eastAsia="Times New Roman" w:cs="Times New Roman"/>
          <w:color w:val="000000"/>
          <w:sz w:val="26"/>
        </w:rPr>
        <w:t>Chương trình sáu nhóm dịch vụ của chúng tôi cung cấp cho nhà đầu tư một lộ trình pháp lý xuyên suốt từ ý tưởng đến vận hành và xử lý sự cố. Lợi ích không chỉ nằm ở việc có đủ văn bản, mà ở sự thống nhất giữa mô hình kinh doanh, cơ cấu quản trị, giấy phép, hợp đồng, quy trình dữ liệu và cơ chế kiểm soát rủi ro.</w:t>
      </w:r>
    </w:p>
    <w:p>
      <w:pPr>
        <w:pStyle w:val="Normal"/>
        <w:spacing w:lineRule="auto" w:line="312" w:before="0" w:after="120"/>
        <w:ind w:firstLine="567"/>
        <w:jc w:val="both"/>
        <w:rPr/>
      </w:pPr>
      <w:r>
        <w:rPr>
          <w:rFonts w:eastAsia="Times New Roman" w:cs="Times New Roman"/>
          <w:color w:val="000000"/>
          <w:sz w:val="26"/>
        </w:rPr>
        <w:t>Nhà đầu tư nên triển khai trước gói cơ bản để thẩm định mô hình, sau đó thực hiện gói tối thiểu đồng thời với quá trình thành lập và chuẩn bị cấp phép. Gói nâng cao được triển khai trước khi ra mắt chính thức và duy trì trong quá trình mở rộng đối tác. Mỗi giai đoạn cần có biên bản chốt phạm vi, danh mục hồ sơ đầu vào, sản phẩm bàn giao và người có thẩm quyền phê duyệt để tránh hiểu sai trách nhiệm giữa chúng tôi và khách hàng.</w:t>
      </w:r>
    </w:p>
    <w:p>
      <w:pPr>
        <w:pStyle w:val="Heading1"/>
        <w:keepNext w:val="true"/>
        <w:spacing w:before="160" w:after="100"/>
        <w:jc w:val="center"/>
        <w:rPr/>
      </w:pPr>
      <w:r>
        <w:rPr>
          <w:rFonts w:eastAsia="Times New Roman" w:cs="Times New Roman" w:ascii="Times New Roman" w:hAnsi="Times New Roman"/>
          <w:b/>
          <w:color w:val="000000"/>
          <w:sz w:val="26"/>
        </w:rPr>
        <w:t>DANH MỤC CĂN CỨ PHÁP LÝ.</w:t>
      </w:r>
    </w:p>
    <w:p>
      <w:pPr>
        <w:pStyle w:val="Normal"/>
        <w:spacing w:lineRule="auto" w:line="312" w:before="0" w:after="120"/>
        <w:ind w:hanging="0" w:start="0"/>
        <w:jc w:val="start"/>
        <w:rPr/>
      </w:pPr>
      <w:r>
        <w:rPr>
          <w:rFonts w:eastAsia="Times New Roman" w:cs="Times New Roman"/>
          <w:color w:val="000000"/>
          <w:sz w:val="26"/>
        </w:rPr>
        <w:t>1. Bộ luật Dân sự số 91/2015/QH13.</w:t>
      </w:r>
    </w:p>
    <w:p>
      <w:pPr>
        <w:pStyle w:val="Normal"/>
        <w:spacing w:lineRule="auto" w:line="312" w:before="0" w:after="120"/>
        <w:ind w:hanging="0" w:start="0"/>
        <w:jc w:val="start"/>
        <w:rPr/>
      </w:pPr>
      <w:r>
        <w:rPr>
          <w:rFonts w:eastAsia="Times New Roman" w:cs="Times New Roman"/>
          <w:color w:val="000000"/>
          <w:sz w:val="26"/>
        </w:rPr>
        <w:t>2. Bộ luật Lao động số 45/2019/QH14.</w:t>
      </w:r>
    </w:p>
    <w:p>
      <w:pPr>
        <w:pStyle w:val="Normal"/>
        <w:spacing w:lineRule="auto" w:line="312" w:before="0" w:after="120"/>
        <w:ind w:hanging="0" w:start="0"/>
        <w:jc w:val="start"/>
        <w:rPr/>
      </w:pPr>
      <w:r>
        <w:rPr>
          <w:rFonts w:eastAsia="Times New Roman" w:cs="Times New Roman"/>
          <w:color w:val="000000"/>
          <w:sz w:val="26"/>
        </w:rPr>
        <w:t>3. Luật Doanh nghiệp số 59/2020/QH14, được sửa đổi, bổ sung bởi Luật số 76/2025/QH15.</w:t>
      </w:r>
    </w:p>
    <w:p>
      <w:pPr>
        <w:pStyle w:val="Normal"/>
        <w:spacing w:lineRule="auto" w:line="312" w:before="0" w:after="120"/>
        <w:ind w:hanging="0" w:start="0"/>
        <w:jc w:val="start"/>
        <w:rPr/>
      </w:pPr>
      <w:r>
        <w:rPr>
          <w:rFonts w:eastAsia="Times New Roman" w:cs="Times New Roman"/>
          <w:color w:val="000000"/>
          <w:sz w:val="26"/>
        </w:rPr>
        <w:t>4. Luật Phòng, chống rửa tiền số 14/2022/QH15.</w:t>
      </w:r>
    </w:p>
    <w:p>
      <w:pPr>
        <w:pStyle w:val="Normal"/>
        <w:spacing w:lineRule="auto" w:line="312" w:before="0" w:after="120"/>
        <w:ind w:hanging="0" w:start="0"/>
        <w:jc w:val="start"/>
        <w:rPr/>
      </w:pPr>
      <w:r>
        <w:rPr>
          <w:rFonts w:eastAsia="Times New Roman" w:cs="Times New Roman"/>
          <w:color w:val="000000"/>
          <w:sz w:val="26"/>
        </w:rPr>
        <w:t>5. Luật Giao dịch điện tử số 20/2023/QH15.</w:t>
      </w:r>
    </w:p>
    <w:p>
      <w:pPr>
        <w:pStyle w:val="Normal"/>
        <w:spacing w:lineRule="auto" w:line="312" w:before="0" w:after="120"/>
        <w:ind w:hanging="0" w:start="0"/>
        <w:jc w:val="start"/>
        <w:rPr/>
      </w:pPr>
      <w:r>
        <w:rPr>
          <w:rFonts w:eastAsia="Times New Roman" w:cs="Times New Roman"/>
          <w:color w:val="000000"/>
          <w:sz w:val="26"/>
        </w:rPr>
        <w:t>6. Luật Bảo vệ quyền lợi người tiêu dùng số 19/2023/QH15.</w:t>
      </w:r>
    </w:p>
    <w:p>
      <w:pPr>
        <w:pStyle w:val="Normal"/>
        <w:spacing w:lineRule="auto" w:line="312" w:before="0" w:after="120"/>
        <w:ind w:hanging="0" w:start="0"/>
        <w:jc w:val="start"/>
        <w:rPr/>
      </w:pPr>
      <w:r>
        <w:rPr>
          <w:rFonts w:eastAsia="Times New Roman" w:cs="Times New Roman"/>
          <w:color w:val="000000"/>
          <w:sz w:val="26"/>
        </w:rPr>
        <w:t>7. Luật Dữ liệu số 60/2024/QH15.</w:t>
      </w:r>
    </w:p>
    <w:p>
      <w:pPr>
        <w:pStyle w:val="Normal"/>
        <w:spacing w:lineRule="auto" w:line="312" w:before="0" w:after="120"/>
        <w:ind w:hanging="0" w:start="0"/>
        <w:jc w:val="start"/>
        <w:rPr/>
      </w:pPr>
      <w:r>
        <w:rPr>
          <w:rFonts w:eastAsia="Times New Roman" w:cs="Times New Roman"/>
          <w:color w:val="000000"/>
          <w:sz w:val="26"/>
        </w:rPr>
        <w:t>8. Luật Bảo vệ dữ liệu cá nhân số 91/2025/QH15.</w:t>
      </w:r>
    </w:p>
    <w:p>
      <w:pPr>
        <w:pStyle w:val="Normal"/>
        <w:spacing w:lineRule="auto" w:line="312" w:before="0" w:after="120"/>
        <w:ind w:hanging="0" w:start="0"/>
        <w:jc w:val="start"/>
        <w:rPr/>
      </w:pPr>
      <w:r>
        <w:rPr>
          <w:rFonts w:eastAsia="Times New Roman" w:cs="Times New Roman"/>
          <w:color w:val="000000"/>
          <w:sz w:val="26"/>
        </w:rPr>
        <w:t>9. Luật Sở hữu trí tuệ năm 2005 và các luật sửa đổi, bổ sung có liên quan.</w:t>
      </w:r>
    </w:p>
    <w:p>
      <w:pPr>
        <w:pStyle w:val="Normal"/>
        <w:spacing w:lineRule="auto" w:line="312" w:before="0" w:after="120"/>
        <w:ind w:hanging="0" w:start="0"/>
        <w:jc w:val="both"/>
        <w:rPr/>
      </w:pPr>
      <w:r>
        <w:rPr>
          <w:rFonts w:eastAsia="Times New Roman" w:cs="Times New Roman"/>
          <w:color w:val="000000"/>
          <w:sz w:val="26"/>
        </w:rPr>
        <w:t>10. Nghị định số 52/2024/NĐ-CP của Chính phủ quy định về thanh toán không dùng tiền mặt.</w:t>
      </w:r>
    </w:p>
    <w:p>
      <w:pPr>
        <w:pStyle w:val="Normal"/>
        <w:spacing w:lineRule="auto" w:line="312" w:before="0" w:after="120"/>
        <w:ind w:hanging="0" w:start="0"/>
        <w:jc w:val="both"/>
        <w:rPr/>
      </w:pPr>
      <w:r>
        <w:rPr>
          <w:rFonts w:eastAsia="Times New Roman" w:cs="Times New Roman"/>
          <w:color w:val="000000"/>
          <w:sz w:val="26"/>
        </w:rPr>
        <w:t>11. Nghị định số 55/2024/NĐ-CP của Chính phủ quy định chi tiết một số điều của Luật Bảo vệ quyền lợi người tiêu dùng.</w:t>
      </w:r>
    </w:p>
    <w:p>
      <w:pPr>
        <w:pStyle w:val="Normal"/>
        <w:spacing w:lineRule="auto" w:line="312" w:before="0" w:after="120"/>
        <w:ind w:hanging="0" w:start="0"/>
        <w:jc w:val="both"/>
        <w:rPr/>
      </w:pPr>
      <w:r>
        <w:rPr>
          <w:rFonts w:eastAsia="Times New Roman" w:cs="Times New Roman"/>
          <w:color w:val="000000"/>
          <w:sz w:val="26"/>
        </w:rPr>
        <w:t>12. Nghị định số 356/2025/NĐ-CP của Chính phủ quy định chi tiết một số điều và biện pháp thi hành Luật Bảo vệ dữ liệu cá nhân.</w:t>
      </w:r>
    </w:p>
    <w:p>
      <w:pPr>
        <w:pStyle w:val="Normal"/>
        <w:spacing w:lineRule="auto" w:line="312" w:before="0" w:after="120"/>
        <w:ind w:hanging="0" w:start="0"/>
        <w:jc w:val="both"/>
        <w:rPr/>
      </w:pPr>
      <w:r>
        <w:rPr>
          <w:rFonts w:eastAsia="Times New Roman" w:cs="Times New Roman"/>
          <w:color w:val="000000"/>
          <w:sz w:val="26"/>
        </w:rPr>
        <w:t>13. Văn bản hợp nhất số 29/VBHN-NHNN ngày 08 tháng 12 năm 2025 của Ngân hàng Nhà nước Việt Nam quy định về hoạt động cung ứng dịch vụ trung gian thanh toán, hợp nhất Thông tư số 40/2024/TT-NHNN và Thông tư số 41/2025/TT-NHNN.</w:t>
      </w:r>
    </w:p>
    <w:p>
      <w:pPr>
        <w:pStyle w:val="Normal"/>
        <w:spacing w:lineRule="auto" w:line="312" w:before="0" w:after="120"/>
        <w:ind w:hanging="0" w:start="0"/>
        <w:jc w:val="both"/>
        <w:rPr/>
      </w:pPr>
      <w:r>
        <w:rPr>
          <w:rFonts w:eastAsia="Times New Roman" w:cs="Times New Roman"/>
          <w:color w:val="000000"/>
          <w:sz w:val="26"/>
        </w:rPr>
        <w:t>14. Nghị định số 145/2020/NĐ-CP quy định chi tiết và hướng dẫn thi hành một số điều của Bộ luật Lao động về điều kiện lao động và quan hệ lao động.</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0</w:t>
    </w:r>
    <w:r>
      <w:rPr>
        <w:rFonts w:eastAsia="Times New Roman" w:cs="Times New Roman"/>
        <w:color w:val="000000"/>
        <w:sz w:val="2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19</w:t>
    </w:r>
    <w:r>
      <w:rPr>
        <w:rFonts w:eastAsia="Times New Roman" w:cs="Times New Roman"/>
        <w:color w:val="000000"/>
        <w:sz w:val="2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19</w:t>
    </w:r>
    <w:r>
      <w:rPr>
        <w:rFonts w:eastAsia="Times New Roman" w:cs="Times New Roman"/>
        <w:color w:val="000000"/>
        <w:sz w:val="2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12" w:before="0" w:after="120"/>
      <w:ind w:firstLine="567"/>
      <w:jc w:val="both"/>
    </w:pPr>
    <w:rPr>
      <w:rFonts w:ascii="Times New Roman" w:hAnsi="Times New Roman" w:eastAsia="Times New Roman" w:cs="Times New Roman"/>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ind w:hanging="0"/>
      <w:jc w:val="start"/>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ind w:hanging="0"/>
      <w:jc w:val="start"/>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ind w:hanging="0"/>
      <w:jc w:val="start"/>
      <w:outlineLvl w:val="2"/>
    </w:pPr>
    <w:rPr>
      <w:rFonts w:ascii="Calibri" w:hAnsi="Calibri" w:eastAsia=""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sz w:val="26"/>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sz w:val="26"/>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sz w:val="26"/>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6"/>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6"/>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customStyle="1">
    <w:name w:val="Heading"/>
    <w:basedOn w:val="Normal"/>
    <w:next w:val="BodyText"/>
    <w:qFormat/>
    <w:pPr>
      <w:keepNext w:val="true"/>
      <w:spacing w:before="240" w:after="120"/>
    </w:pPr>
    <w:rPr>
      <w:rFonts w:ascii="Times New Roman" w:hAnsi="Times New Roman" w:eastAsia="Times New Roman" w:cs="Times New Roman"/>
      <w:color w:val="000000"/>
      <w:sz w:val="26"/>
      <w:szCs w:val="28"/>
    </w:rPr>
  </w:style>
  <w:style w:type="paragraph" w:styleId="BodyText">
    <w:name w:val="Body Text"/>
    <w:basedOn w:val="Normal"/>
    <w:link w:val="BodyTextChar"/>
    <w:uiPriority w:val="99"/>
    <w:unhideWhenUsed/>
    <w:rsid w:val="00aa1d8d"/>
    <w:pPr/>
    <w:rPr>
      <w:rFonts w:ascii="Times New Roman" w:hAnsi="Times New Roman" w:eastAsia="Times New Roman" w:cs="Times New Roman"/>
      <w:color w:val="000000"/>
      <w:sz w:val="26"/>
    </w:rPr>
  </w:style>
  <w:style w:type="paragraph" w:styleId="List">
    <w:name w:val="List"/>
    <w:basedOn w:val="Normal"/>
    <w:uiPriority w:val="99"/>
    <w:unhideWhenUsed/>
    <w:rsid w:val="00aa1d8d"/>
    <w:pPr>
      <w:spacing w:before="0" w:after="120"/>
      <w:ind w:hanging="360" w:start="360"/>
      <w:contextualSpacing/>
    </w:pPr>
    <w:rPr>
      <w:rFonts w:ascii="Times New Roman" w:hAnsi="Times New Roman" w:eastAsia="Times New Roman" w:cs="Times New Roman"/>
      <w:color w:val="000000"/>
      <w:sz w:val="26"/>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bCs/>
      <w:color w:val="000000"/>
      <w:sz w:val="26"/>
      <w:szCs w:val="18"/>
    </w:rPr>
  </w:style>
  <w:style w:type="paragraph" w:styleId="Index" w:customStyle="1">
    <w:name w:val="Index"/>
    <w:basedOn w:val="Normal"/>
    <w:qFormat/>
    <w:pPr>
      <w:suppressLineNumbers/>
    </w:pPr>
    <w:rPr>
      <w:rFonts w:ascii="Times New Roman" w:hAnsi="Times New Roman" w:eastAsia="Times New Roman" w:cs="Times New Roman"/>
      <w:color w:val="000000"/>
      <w:sz w:val="26"/>
    </w:rPr>
  </w:style>
  <w:style w:type="paragraph" w:styleId="HeaderandFooter" w:customStyle="1">
    <w:name w:val="Header and Footer"/>
    <w:basedOn w:val="Normal"/>
    <w:qFormat/>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000000"/>
      <w:kern w:val="0"/>
      <w:sz w:val="26"/>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00"/>
      <w:ind w:hanging="0"/>
      <w:contextualSpacing/>
      <w:jc w:val="start"/>
    </w:pPr>
    <w:rPr>
      <w:rFonts w:ascii="Calibri" w:hAnsi="Calibri" w:eastAsia="" w:cs="" w:asciiTheme="majorHAnsi" w:cstheme="majorBidi" w:eastAsiaTheme="majorEastAsia" w:hAnsiTheme="majorHAnsi"/>
      <w:b/>
      <w:color w:val="000000"/>
      <w:spacing w:val="5"/>
      <w:kern w:val="2"/>
      <w:sz w:val="2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6"/>
      <w:szCs w:val="24"/>
    </w:rPr>
  </w:style>
  <w:style w:type="paragraph" w:styleId="ListParagraph">
    <w:name w:val="List Paragraph"/>
    <w:basedOn w:val="Normal"/>
    <w:uiPriority w:val="34"/>
    <w:qFormat/>
    <w:rsid w:val="00fc693f"/>
    <w:pPr>
      <w:spacing w:before="0" w:after="120"/>
      <w:ind w:start="720"/>
      <w:contextualSpacing/>
    </w:pPr>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qFormat/>
    <w:rsid w:val="00aa1d8d"/>
    <w:pPr>
      <w:spacing w:lineRule="auto" w:line="480"/>
    </w:pPr>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qFormat/>
    <w:rsid w:val="00aa1d8d"/>
    <w:pPr/>
    <w:rPr>
      <w:rFonts w:ascii="Times New Roman" w:hAnsi="Times New Roman" w:eastAsia="Times New Roman" w:cs="Times New Roman"/>
      <w:color w:val="000000"/>
      <w:sz w:val="26"/>
      <w:szCs w:val="16"/>
    </w:rPr>
  </w:style>
  <w:style w:type="paragraph" w:styleId="List2">
    <w:name w:val="List 2"/>
    <w:basedOn w:val="Normal"/>
    <w:uiPriority w:val="99"/>
    <w:unhideWhenUsed/>
    <w:qFormat/>
    <w:rsid w:val="00326f90"/>
    <w:pPr>
      <w:spacing w:before="0" w:after="120"/>
      <w:ind w:hanging="360" w:start="720"/>
      <w:contextualSpacing/>
    </w:pPr>
    <w:rPr>
      <w:rFonts w:ascii="Times New Roman" w:hAnsi="Times New Roman" w:eastAsia="Times New Roman" w:cs="Times New Roman"/>
      <w:color w:val="000000"/>
      <w:sz w:val="26"/>
    </w:rPr>
  </w:style>
  <w:style w:type="paragraph" w:styleId="List3">
    <w:name w:val="List 3"/>
    <w:basedOn w:val="Normal"/>
    <w:uiPriority w:val="99"/>
    <w:unhideWhenUsed/>
    <w:qFormat/>
    <w:rsid w:val="00326f90"/>
    <w:pPr>
      <w:spacing w:before="0" w:after="120"/>
      <w:ind w:hanging="360" w:start="108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ilvl w:val="0"/>
        <w:numId w:val="1"/>
      </w:numPr>
      <w:spacing w:before="0" w:after="12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ilvl w:val="0"/>
        <w:numId w:val="2"/>
      </w:numPr>
      <w:spacing w:before="0" w:after="120"/>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ilvl w:val="0"/>
        <w:numId w:val="3"/>
      </w:numPr>
      <w:spacing w:before="0" w:after="120"/>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ilvl w:val="0"/>
        <w:numId w:val="4"/>
      </w:numPr>
      <w:spacing w:before="0" w:after="12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ilvl w:val="0"/>
        <w:numId w:val="5"/>
      </w:numPr>
      <w:spacing w:before="0" w:after="120"/>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ilvl w:val="0"/>
        <w:numId w:val="6"/>
      </w:numPr>
      <w:spacing w:before="0" w:after="120"/>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before="0" w:after="120"/>
      <w:ind w:star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before="0" w:after="120"/>
      <w:ind w:star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before="0" w:after="120"/>
      <w:ind w:star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Times New Roman" w:hAnsi="Times New Roman" w:eastAsia="" w:cs="" w:cstheme="minorBidi" w:eastAsiaTheme="minorEastAsia"/>
      <w:color w:val="000000"/>
      <w:kern w:val="0"/>
      <w:sz w:val="26"/>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Times New Roman" w:hAnsi="Times New Roman" w:eastAsia="Times New Roman" w:cs="Times New Roman"/>
      <w:b/>
      <w:bCs/>
      <w:i/>
      <w:iCs/>
      <w:color w:val="000000"/>
      <w:sz w:val="26"/>
    </w:rPr>
  </w:style>
  <w:style w:type="paragraph" w:styleId="IndexHeading">
    <w:name w:val="index heading"/>
    <w:basedOn w:val="Heading"/>
    <w:pPr/>
    <w:rPr>
      <w:rFonts w:ascii="Times New Roman" w:hAnsi="Times New Roman" w:eastAsia="Times New Roman" w:cs="Times New Roman"/>
      <w:color w:val="000000"/>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paragraph" w:styleId="TOC1" w:customStyle="1">
    <w:name w:val="toc 1"/>
    <w:pPr>
      <w:widowControl/>
      <w:suppressAutoHyphens w:val="true"/>
      <w:bidi w:val="0"/>
      <w:spacing w:lineRule="auto" w:line="240" w:before="0" w:after="20"/>
      <w:ind w:hanging="0" w:start="0"/>
      <w:jc w:val="start"/>
    </w:pPr>
    <w:rPr>
      <w:rFonts w:ascii="Times New Roman" w:hAnsi="Times New Roman" w:eastAsia="Times New Roman" w:cs="Times New Roman"/>
      <w:b/>
      <w:color w:val="000000"/>
      <w:kern w:val="0"/>
      <w:sz w:val="26"/>
      <w:szCs w:val="22"/>
      <w:lang w:val="en-US" w:eastAsia="en-US" w:bidi="ar-SA"/>
    </w:rPr>
  </w:style>
  <w:style w:type="paragraph" w:styleId="TOC2" w:customStyle="1">
    <w:name w:val="toc 2"/>
    <w:pPr>
      <w:widowControl/>
      <w:suppressAutoHyphens w:val="true"/>
      <w:bidi w:val="0"/>
      <w:spacing w:lineRule="auto" w:line="240" w:before="0" w:after="20"/>
      <w:ind w:hanging="0" w:start="397"/>
      <w:jc w:val="start"/>
    </w:pPr>
    <w:rPr>
      <w:rFonts w:ascii="Times New Roman" w:hAnsi="Times New Roman" w:eastAsia="Times New Roman" w:cs="Times New Roman"/>
      <w:b w:val="false"/>
      <w:color w:val="000000"/>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Application>LibreOffice/26.2.4.2$MacOSX_AARCH64 LibreOffice_project/0229ac93fcf0d7cbc6376066c6f35021cef002dc</Application>
  <AppVersion>15.0000</AppVersion>
  <Pages>19</Pages>
  <Words>8156</Words>
  <Characters>28850</Characters>
  <CharactersWithSpaces>36761</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13</dc:creator>
  <dc:description>generated by python-docx</dc:description>
  <dc:language>en-US</dc:language>
  <cp:lastModifiedBy/>
  <dcterms:modified xsi:type="dcterms:W3CDTF">2026-09-07T02:15:16Z</dcterms:modified>
  <cp:revision>7</cp:revision>
  <dc:subject>Môn Thực hành nghề luật</dc:subject>
  <dc:title>Báo cáo sơ bộ dịch vụ pháp lý ví điện tử</dc:title>
</cp:coreProperties>
</file>

<file path=docProps/custom.xml><?xml version="1.0" encoding="utf-8"?>
<Properties xmlns="http://schemas.openxmlformats.org/officeDocument/2006/custom-properties" xmlns:vt="http://schemas.openxmlformats.org/officeDocument/2006/docPropsVTypes"/>
</file>