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56"/>
        </w:rPr>
        <w:t>中集环科</w:t>
        <w:br/>
        <w:t>2026年精益方针</w:t>
      </w:r>
    </w:p>
    <w:p/>
    <w:p>
      <w:pPr>
        <w:jc w:val="center"/>
      </w:pPr>
      <w:r>
        <w:rPr>
          <w:rFonts w:ascii="微软雅黑" w:hAnsi="微软雅黑" w:eastAsia="微软雅黑"/>
          <w:color w:val="C0392B"/>
          <w:sz w:val="32"/>
        </w:rPr>
        <w:t>建基线 - 打瓶颈 - 建机制 - 抓窗口</w:t>
      </w:r>
    </w:p>
    <w:p/>
    <w:p>
      <w:pPr>
        <w:jc w:val="center"/>
      </w:pPr>
      <w:r>
        <w:rPr>
          <w:rFonts w:ascii="微软雅黑" w:hAnsi="微软雅黑" w:eastAsia="微软雅黑"/>
          <w:sz w:val="18"/>
        </w:rPr>
        <w:t>方针#17（精益创新）年度实施纲领 | 企管部 王瑞俊 | V1.0 | 2026-05-27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一、2026年精益方针总纲</w:t>
      </w:r>
    </w:p>
    <w:p>
      <w:r>
        <w:rPr>
          <w:rFonts w:ascii="微软雅黑" w:hAnsi="微软雅黑" w:eastAsia="微软雅黑"/>
          <w:b w:val="0"/>
          <w:sz w:val="20"/>
        </w:rPr>
        <w:t>基于PSP问题分析得出的核心判断——运营能力跟不上业务复杂性、市场竞争变化性——2026年精益工作聚焦四个关键突破：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方针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核心回答的问题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2026年成功标志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对应偏差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方针一：建基线</w:t>
              <w:br/>
              <w:t>无基线，不改善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我们现在的水平到底是多少？</w:t>
              <w:br/>
              <w:t>OEE？标准工时？OTD周期？人效基线？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(1) 核心设备OEE实时监控覆盖&gt;=80%</w:t>
              <w:br/>
              <w:t>(2) 瓶颈工序标准作业覆盖率&gt;=50%</w:t>
              <w:br/>
              <w:t>(3) OTD端到端周期首次可度量</w:t>
              <w:br/>
              <w:t>(4) 文干人效基线首次建立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M3/N2/N6</w:t>
              <w:br/>
              <w:t>从0到1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方针二：打瓶颈</w:t>
              <w:br/>
              <w:t>聚焦关键少数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卡住产能的东西到底是什么？</w:t>
              <w:br/>
              <w:t>标罐为什么亏损？OTD断在哪？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(1) 标罐VSM当前状态图+未来状态设计</w:t>
              <w:br/>
              <w:t>(2) TOP3瓶颈工序经Kaizen验证改善</w:t>
              <w:br/>
              <w:t>(3) 特罐流动改善（防波板/CVC）</w:t>
              <w:br/>
              <w:t>(4) 报价流程周期-30%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M1/M2/N2/N4</w:t>
              <w:br/>
              <w:t>瓶颈突破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方针三：建机制</w:t>
              <w:br/>
              <w:t>让改善成为日常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谁来推？怎么考核？怎么激励？</w:t>
              <w:br/>
              <w:t>怎么让一线主动改善？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(1) DBSO 7月挂牌运作</w:t>
              <w:br/>
              <w:t>(2) MOR月度运营回顾正式运行</w:t>
              <w:br/>
              <w:t>(3) 精益带级激励机制发布</w:t>
              <w:br/>
              <w:t>(4) 第一次Kaizen发表会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M6/N3/N5/N7</w:t>
              <w:br/>
              <w:t>系统建设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方针四：抓窗口</w:t>
              <w:br/>
              <w:t>不错过ROI最高的行动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特罐搬迁施工图定稿前精益设计做了吗？</w:t>
              <w:br/>
              <w:t>阀件并购交割后精益整合做了吗？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(1) 特罐搬迁VSM未来图+3P分析完成</w:t>
              <w:br/>
              <w:t>(2) 阀件厂DBS成熟度评估完成</w:t>
              <w:br/>
              <w:t>(3) 并购后TOP3改善课题启动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M4/MFG-06</w:t>
              <w:br/>
              <w:t>战略窗口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方针设计原则：聚焦关键少数——四项方针覆盖8个高优先级偏差，不面面俱到。每项方针有明确的2026年成功标志，年末可打分。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二、与公司19方针的映射关系</w:t>
      </w:r>
    </w:p>
    <w:p>
      <w:r>
        <w:rPr>
          <w:rFonts w:ascii="微软雅黑" w:hAnsi="微软雅黑" w:eastAsia="微软雅黑"/>
          <w:b w:val="0"/>
          <w:sz w:val="20"/>
        </w:rPr>
        <w:t>本精益方针是方针#17（精益创新）的年度实施纲领，同时为多项方针注入精益方法论。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3"/>
        <w:gridCol w:w="4413"/>
        <w:gridCol w:w="4413"/>
      </w:tblGrid>
      <w:tr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公司方针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精益贡献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对齐的课题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 罐箱核心客户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缩短交期-&gt;提升客户份额</w:t>
              <w:br/>
              <w:t>OTD可靠性-&gt;差异化竞争力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MFG-01 VSM全流分析</w:t>
              <w:br/>
              <w:t>STD-01 标罐效率</w:t>
              <w:br/>
              <w:t>TPI-01 OTD可视化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#9 降本增效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OEE提升+标准作业+辅材原单位</w:t>
              <w:br/>
              <w:t>人效可度量化-&gt;人效+10%有路径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MFG-02 OEE基线</w:t>
              <w:br/>
              <w:t>MFG-03 标准作业</w:t>
              <w:br/>
              <w:t>GAS-01 气体消耗</w:t>
              <w:br/>
              <w:t>TPI-06 间接人效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#11 产能建设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特罐搬迁精益设计</w:t>
              <w:br/>
              <w:t>避免锁定低效布局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MFG-05 搬迁精益设计（3P+VSM）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#12 工艺能力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工艺-生产协同机制</w:t>
              <w:br/>
              <w:t>ECN传导标准化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TPI-03 工艺-生产协同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#13 质量管理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防错+工序内品质保证</w:t>
              <w:br/>
              <w:t>良品条件-&gt;减少返工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MFG-04 防错专项</w:t>
              <w:br/>
              <w:t>STD-02 外观质量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#15 安全风险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5S基础-&gt;安全可视化</w:t>
              <w:br/>
              <w:t>双重预防机制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ONE 5S推进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#16 环保减碳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能耗原单位管理</w:t>
              <w:br/>
              <w:t>VOCs过程监控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M8 辅材/能耗原单位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#17 精益创新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本方针即为#17的年度实施纲领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全部课题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#18 智改数转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数字-精益对齐机制</w:t>
              <w:br/>
              <w:t>先改善再固化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TPI-07 数字-精益对齐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#8 创新业务并购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阀件并购精益整合</w:t>
              <w:br/>
              <w:t>DBS评估+改善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MFG-06 阀件整合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三、改善举措全景</w:t>
      </w:r>
    </w:p>
    <w:p>
      <w:pPr>
        <w:pStyle w:val="Heading2"/>
      </w:pPr>
      <w:r>
        <w:rPr>
          <w:rFonts w:ascii="微软雅黑" w:hAnsi="微软雅黑" w:eastAsia="微软雅黑"/>
        </w:rPr>
        <w:t>3.1 制造领域 —— 跨车间共性课题（DBSO统一组织）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06"/>
        <w:gridCol w:w="2206"/>
        <w:gridCol w:w="2206"/>
        <w:gridCol w:w="2206"/>
        <w:gridCol w:w="2206"/>
        <w:gridCol w:w="2206"/>
      </w:tblGrid>
      <w:tr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课题</w:t>
            </w:r>
          </w:p>
        </w:tc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方法论</w:t>
            </w:r>
          </w:p>
        </w:tc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2206"/>
          </w:tcPr>
          <w:p>
            <w:pPr>
              <w:jc w:val="center"/>
            </w:pPr>
            <w:r>
              <w:rPr>
                <w:b/>
                <w:sz w:val="18"/>
              </w:rPr>
              <w:t>关联方针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MFG-01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标罐VSM全流分析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当前状态图-&gt;TOP3瓶颈-&gt;未来设计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VSM+PSP+Kaizen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6月启动 7月交付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#1 #9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MFG-02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全公司OEE基线建立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核心设备OEE监控&gt;=80% 损失分类标准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TPM+IoT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6-9月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#9 #18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MFG-03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标准作业体系化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瓶颈工序SW&gt;=50% TWI-JI试点1个车间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SW+TWI+视频化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7-12月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#12 #17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MFG-04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防错（Poka-Yoke）专项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关键工序防错&gt;=30% 错漏装-20%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防错+PSP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7-9月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#13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MFG-05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特罐搬迁精益设计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VSM未来图验证布局 流动原则设计产线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3P+VSM+流动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即刻启动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#11</w:t>
            </w:r>
          </w:p>
        </w:tc>
      </w:tr>
      <w:tr>
        <w:tc>
          <w:tcPr>
            <w:tcW w:type="dxa" w:w="2206"/>
          </w:tcPr>
          <w:p>
            <w:r>
              <w:rPr>
                <w:sz w:val="18"/>
              </w:rPr>
              <w:t>MFG-06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阀件并购精益整合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交割60天内VSM+DBS评估 TOP3课题启动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VSM+DBS+Kaizen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交割后启动</w:t>
            </w:r>
          </w:p>
        </w:tc>
        <w:tc>
          <w:tcPr>
            <w:tcW w:type="dxa" w:w="2206"/>
          </w:tcPr>
          <w:p>
            <w:r>
              <w:rPr>
                <w:sz w:val="18"/>
              </w:rPr>
              <w:t>#8 #9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3.2 制造领域 —— 各车间专属课题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车间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课题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关键目标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STD-01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自动焊/机器人产线效率突破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OEE&gt;=65%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STD-02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外观质量改善Kaizen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外观&gt;=90分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标罐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STD-03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SMED换型改善（涂装换色）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换型时间基线-&gt;-30%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SPC-01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防波板/CVC产线流动改善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主流品工时-10%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SPC-02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混气喷涂枪工艺标准化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油漆耗用-5%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碳罐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CRB-01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多能工培育体系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多能工&gt;=40%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碳罐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CRB-02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粉末涂装降本Kaizen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粉末-10%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碳罐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CRB-03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单元化生产试点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换线时间-30%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气体罐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GAS-01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焊接气体原单位管理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气体-10%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小件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PAR-01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小件制造整合+工装改善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10种以上部件整合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小件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PAR-02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小件流动制造试点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在制品-30%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3.3 非制造领域 —— TPI事务性流程改善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648"/>
        <w:gridCol w:w="2648"/>
        <w:gridCol w:w="2648"/>
        <w:gridCol w:w="2648"/>
        <w:gridCol w:w="2648"/>
      </w:tblGrid>
      <w:tr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课题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目标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方法论</w:t>
            </w:r>
          </w:p>
        </w:tc>
        <w:tc>
          <w:tcPr>
            <w:tcW w:type="dxa" w:w="2648"/>
          </w:tcPr>
          <w:p>
            <w:pPr>
              <w:jc w:val="center"/>
            </w:pPr>
            <w:r>
              <w:rPr>
                <w:b/>
                <w:sz w:val="18"/>
              </w:rPr>
              <w:t>牵头部门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TPI-01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OTD全流程可视化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端到端周期可度量 识别TOP3断点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跨职能VSM+TPI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营销+生产+采购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TPI-02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报价流程改善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周期-30% 准确率&gt;95%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TPI+标准作业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营销+技术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TPI-03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工艺-生产协同机制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ECN传导标准化 变更落地周期-50%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跨职能VSM+TPI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技术+生产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TPI-04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采购订单处理改善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申请-&gt;到货周期-20%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TPI+供应商Kaizen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采购部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TPI-05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财务月结加速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月结&lt;=D+5工作日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TPI+标准作业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财务部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TPI-06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间接人效度量体系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事务标准作业基线建立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TPI+工作抽样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企管+人事</w:t>
            </w:r>
          </w:p>
        </w:tc>
      </w:tr>
      <w:tr>
        <w:tc>
          <w:tcPr>
            <w:tcW w:type="dxa" w:w="2648"/>
          </w:tcPr>
          <w:p>
            <w:r>
              <w:rPr>
                <w:sz w:val="18"/>
              </w:rPr>
              <w:t>TPI-07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数字-精益对齐机制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所有数字化项目立项前完成精益论证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精益数字化原则</w:t>
            </w:r>
          </w:p>
        </w:tc>
        <w:tc>
          <w:tcPr>
            <w:tcW w:type="dxa" w:w="2648"/>
          </w:tcPr>
          <w:p>
            <w:r>
              <w:rPr>
                <w:sz w:val="18"/>
              </w:rPr>
              <w:t>企管部（王瑞俊）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四、推进机制设计</w:t>
      </w:r>
    </w:p>
    <w:p>
      <w:pPr>
        <w:pStyle w:val="Heading2"/>
      </w:pPr>
      <w:r>
        <w:rPr>
          <w:rFonts w:ascii="微软雅黑" w:hAnsi="微软雅黑" w:eastAsia="微软雅黑"/>
        </w:rPr>
        <w:t>4.1 精益推进办公室（DBSO）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619"/>
        <w:gridCol w:w="6619"/>
      </w:tblGrid>
      <w:tr>
        <w:tc>
          <w:tcPr>
            <w:tcW w:type="dxa" w:w="6619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6619"/>
          </w:tcPr>
          <w:p>
            <w:pPr>
              <w:jc w:val="center"/>
            </w:pPr>
            <w:r>
              <w:rPr>
                <w:b/>
                <w:sz w:val="18"/>
              </w:rPr>
              <w:t>设计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名称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精益推进办公室 / DBSO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汇报线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向总经理直接汇报（不挂靠任何单一部门）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核心编制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3-5人：负责人1人 + 制造精益教练2-3人 + TPI教练1人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职责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(1) 年度精益方针编制 (2) Kaizen活动组织与教练 (3) DBS/ONE培训体系运营</w:t>
              <w:br/>
              <w:t>(4) 精益成熟度评估 (5) 跨部门改善课题管理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与企管部关系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企管部（王瑞俊）：精益方针与激励设计、MOR组织、非制造TPI统筹、数字-精益对齐</w:t>
            </w:r>
          </w:p>
        </w:tc>
      </w:tr>
      <w:tr>
        <w:tc>
          <w:tcPr>
            <w:tcW w:type="dxa" w:w="6619"/>
          </w:tcPr>
          <w:p>
            <w:r>
              <w:rPr>
                <w:sz w:val="18"/>
              </w:rPr>
              <w:t>启动节奏</w:t>
            </w:r>
          </w:p>
        </w:tc>
        <w:tc>
          <w:tcPr>
            <w:tcW w:type="dxa" w:w="6619"/>
          </w:tcPr>
          <w:p>
            <w:r>
              <w:rPr>
                <w:sz w:val="18"/>
              </w:rPr>
              <w:t>6月方案设计+总经理审批 -&gt; 7月挂牌运作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4.2 月度运营回顾（MOR）—— 第一块多米诺骨牌</w:t>
      </w:r>
    </w:p>
    <w:p>
      <w:r>
        <w:rPr>
          <w:rFonts w:ascii="微软雅黑" w:hAnsi="微软雅黑" w:eastAsia="微软雅黑"/>
          <w:b/>
          <w:sz w:val="20"/>
        </w:rPr>
        <w:t>对标DBS标准议程。这是整个精益体系能否立住的关键。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413"/>
        <w:gridCol w:w="4413"/>
        <w:gridCol w:w="4413"/>
      </w:tblGrid>
      <w:tr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现有月度经营会</w:t>
            </w:r>
          </w:p>
        </w:tc>
        <w:tc>
          <w:tcPr>
            <w:tcW w:type="dxa" w:w="4413"/>
          </w:tcPr>
          <w:p>
            <w:pPr>
              <w:jc w:val="center"/>
            </w:pPr>
            <w:r>
              <w:rPr>
                <w:b/>
                <w:sz w:val="18"/>
              </w:rPr>
              <w:t>-&gt; MOR升级后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议程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财务-&gt;各业务线汇报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安全-&gt;质量-&gt;交付-&gt;成本-&gt;增长（SDQCG）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KPI呈现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表格罗列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壁板式红/黄/绿可视化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偏差处理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解释原因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必须有对策（Countermeasure）和完成期限，A3格式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参与者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管理层+部门长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+车间主任+必要的一线班组长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频率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月度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月度（MOR）+ 每周15分钟站会</w:t>
            </w:r>
          </w:p>
        </w:tc>
      </w:tr>
      <w:tr>
        <w:tc>
          <w:tcPr>
            <w:tcW w:type="dxa" w:w="4413"/>
          </w:tcPr>
          <w:p>
            <w:r>
              <w:rPr>
                <w:sz w:val="18"/>
              </w:rPr>
              <w:t>驱动者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财务部主导</w:t>
            </w:r>
          </w:p>
        </w:tc>
        <w:tc>
          <w:tcPr>
            <w:tcW w:type="dxa" w:w="4413"/>
          </w:tcPr>
          <w:p>
            <w:r>
              <w:rPr>
                <w:sz w:val="18"/>
              </w:rPr>
              <w:t>企管部/DBSO主导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4.3 精益激励机制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激励类型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对象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机制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对标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改善提案奖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全员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A/B/C三级 100/300/1,000元 月度评选、季度表彰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ONE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Kaizen发表奖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改善团队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每半年1次公司级发表会 最佳项目5,000-10,000元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精益带级津贴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认证带级人员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黄带/绿带/黑带 月度200/500/1,000元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车间精益排名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月度成熟度评分 TOP1全员奖励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ONE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TPI专项奖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职能部门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按年度节支额2-5%计提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4.4 精益人才培养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覆盖目标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培养方式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黄带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5S、7大浪费、PDCA、提案方法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一线100%、文干&gt;=80%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培训+现场考核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绿带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VSM、标准作业、PSP、TPI基础、Kaizen主持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每车间&gt;=3人、每职能&gt;=1人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80%现场课题+20%上课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黑带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高级PSP、Policy Deployment、3P、TWI Trainer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全公司3-5人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DBSO核心+总部培训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精益领导力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Policy Deployment、A3思维、Gemba Walk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总经理+部门长+车间主任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 Leadership模块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五、关键成功因素与风险</w:t>
      </w:r>
    </w:p>
    <w:p>
      <w:pPr>
        <w:pStyle w:val="Heading2"/>
      </w:pPr>
      <w:r>
        <w:rPr>
          <w:rFonts w:ascii="微软雅黑" w:hAnsi="微软雅黑" w:eastAsia="微软雅黑"/>
        </w:rPr>
        <w:t>5.1 必须做对的三件事</w:t>
      </w:r>
    </w:p>
    <w:p>
      <w:r>
        <w:rPr>
          <w:rFonts w:ascii="微软雅黑" w:hAnsi="微软雅黑" w:eastAsia="微软雅黑"/>
          <w:b/>
          <w:sz w:val="22"/>
        </w:rPr>
        <w:t>1. 总经理亲自站台MOR</w:t>
      </w:r>
    </w:p>
    <w:p>
      <w:r>
        <w:rPr>
          <w:rFonts w:ascii="微软雅黑" w:hAnsi="微软雅黑" w:eastAsia="微软雅黑"/>
          <w:b w:val="0"/>
          <w:sz w:val="20"/>
        </w:rPr>
        <w:t xml:space="preserve">   精益体系能否立住，唯一最关键变量是总经理是否每月亲自参加MOR并追问对策是什么。如果MOR变成企管部的独角戏，整个体系3个月内空心化。</w:t>
      </w:r>
    </w:p>
    <w:p>
      <w:r>
        <w:rPr>
          <w:rFonts w:ascii="微软雅黑" w:hAnsi="微软雅黑" w:eastAsia="微软雅黑"/>
          <w:b/>
          <w:sz w:val="22"/>
        </w:rPr>
        <w:t>2. DBSO独立的汇报线</w:t>
      </w:r>
    </w:p>
    <w:p>
      <w:r>
        <w:rPr>
          <w:rFonts w:ascii="微软雅黑" w:hAnsi="微软雅黑" w:eastAsia="微软雅黑"/>
          <w:b w:val="0"/>
          <w:sz w:val="20"/>
        </w:rPr>
        <w:t xml:space="preserve">   DBSO必须直接向总经理汇报。挂靠企管部会导致非制造TPI跨部门推动力不足、车间将精益视为行政任务。</w:t>
      </w:r>
    </w:p>
    <w:p>
      <w:r>
        <w:rPr>
          <w:rFonts w:ascii="微软雅黑" w:hAnsi="微软雅黑" w:eastAsia="微软雅黑"/>
          <w:b/>
          <w:sz w:val="22"/>
        </w:rPr>
        <w:t>3. 特罐搬迁的精益设计窗口</w:t>
      </w:r>
    </w:p>
    <w:p>
      <w:r>
        <w:rPr>
          <w:rFonts w:ascii="微软雅黑" w:hAnsi="微软雅黑" w:eastAsia="微软雅黑"/>
          <w:b w:val="0"/>
          <w:sz w:val="20"/>
        </w:rPr>
        <w:t xml:space="preserve">   施工图定稿前完成VSM未来图+3P分析，是2026年ROI最高的单一精益行动。一旦错过，未来10年的物流效率被锁定。</w:t>
      </w:r>
    </w:p>
    <w:p>
      <w:r>
        <w:rPr>
          <w:rFonts w:ascii="微软雅黑" w:hAnsi="微软雅黑" w:eastAsia="微软雅黑"/>
          <w:b w:val="0"/>
          <w:sz w:val="20"/>
        </w:rPr>
      </w:r>
    </w:p>
    <w:p>
      <w:pPr>
        <w:pStyle w:val="Heading2"/>
      </w:pPr>
      <w:r>
        <w:rPr>
          <w:rFonts w:ascii="微软雅黑" w:hAnsi="微软雅黑" w:eastAsia="微软雅黑"/>
        </w:rPr>
        <w:t>5.2 风险清单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概率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PSP讨论后无法对齐（各部门对真问题认知不一致）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用PSP报告的事实数据作为讨论基线</w:t>
              <w:br/>
              <w:t>用数据而非意见说话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车间对又一个新花样抵触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先用1-2个速赢Kaizen让结果说话，再推广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DBSO人才难以招聘/内部选拔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优先从内部有意愿的班组长中选拔培养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特罐搬迁精益设计与进度冲突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作为搬迁前置条件写入项目章程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阀件并购交割时间不确定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先做好DBS评估模板，交割后即可快速启动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集团ONE考核与DBS实践口径不一致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ONE为考核框架，DBS为实施方法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六、下一步行动（Immediate Next Steps）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09"/>
        <w:gridCol w:w="3309"/>
        <w:gridCol w:w="3309"/>
        <w:gridCol w:w="3309"/>
      </w:tblGrid>
      <w:tr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行动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时间</w:t>
            </w:r>
          </w:p>
        </w:tc>
        <w:tc>
          <w:tcPr>
            <w:tcW w:type="dxa" w:w="3309"/>
          </w:tcPr>
          <w:p>
            <w:pPr>
              <w:jc w:val="center"/>
            </w:pPr>
            <w:r>
              <w:rPr>
                <w:b/>
                <w:sz w:val="18"/>
              </w:rPr>
              <w:t>负责人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PSP讨论会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组织总经理+各部门负责人</w:t>
              <w:br/>
              <w:t>对齐真问题认知</w:t>
              <w:br/>
              <w:t>确认四项方针方向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6月上旬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王瑞俊（企管部）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DBSO方案报批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编制DBSO设立方案</w:t>
              <w:br/>
              <w:t>（编制/汇报线/预算/KPI）</w:t>
              <w:br/>
              <w:t>报总经理审批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6月中旬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王瑞俊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选第一个速赢课题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建议标罐VSM当前状态图</w:t>
              <w:br/>
              <w:t>（2天现场活动）</w:t>
              <w:br/>
              <w:t>或报价流程TPI改善周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6月启动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DBSO筹备组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补充现场数据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按PSP报告第七章清单</w:t>
              <w:br/>
              <w:t>收集各车间基线数据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PSP讨论会前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各车间主任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特罐搬迁精益节点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在搬迁项目章程中插入</w:t>
              <w:br/>
              <w:t>精益设计审查节点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立即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杨殿伟 + 王瑞俊</w:t>
            </w:r>
          </w:p>
        </w:tc>
      </w:tr>
      <w:tr>
        <w:tc>
          <w:tcPr>
            <w:tcW w:type="dxa" w:w="3309"/>
          </w:tcPr>
          <w:p>
            <w:r>
              <w:rPr>
                <w:sz w:val="18"/>
              </w:rPr>
              <w:t>精益激励机制报批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编制激励方案</w:t>
              <w:br/>
              <w:t>对接现有KPI体系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6月下旬</w:t>
            </w:r>
          </w:p>
        </w:tc>
        <w:tc>
          <w:tcPr>
            <w:tcW w:type="dxa" w:w="3309"/>
          </w:tcPr>
          <w:p>
            <w:r>
              <w:rPr>
                <w:sz w:val="18"/>
              </w:rPr>
              <w:t>企管部</w:t>
            </w:r>
          </w:p>
        </w:tc>
      </w:tr>
    </w:tbl>
    <w:p>
      <w:r>
        <w:rPr>
          <w:rFonts w:ascii="微软雅黑" w:hAnsi="微软雅黑" w:eastAsia="微软雅黑"/>
          <w:b w:val="0"/>
          <w:sz w:val="20"/>
        </w:rPr>
      </w:r>
    </w:p>
    <w:p>
      <w:r>
        <w:rPr>
          <w:rFonts w:ascii="微软雅黑" w:hAnsi="微软雅黑" w:eastAsia="微软雅黑"/>
          <w:b/>
          <w:sz w:val="20"/>
        </w:rPr>
        <w:t>关联文件：</w:t>
      </w:r>
    </w:p>
    <w:p>
      <w:r>
        <w:rPr>
          <w:rFonts w:ascii="微软雅黑" w:hAnsi="微软雅黑" w:eastAsia="微软雅黑"/>
          <w:b w:val="0"/>
          <w:sz w:val="18"/>
        </w:rPr>
        <w:t>- PSP问题分析报告.docx —— 从真问题识别到偏差分析的完整推导</w:t>
        <w:br/>
        <w:t>- 年度精益活动计划表.xlsx —— 时间表+责任矩阵+KPI追踪</w:t>
        <w:br/>
        <w:t>- 2026年精益改善地图.md —— Obsidian总纲（Markdown版）</w:t>
      </w:r>
    </w:p>
    <w:sectPr w:rsidR="00FC693F" w:rsidRPr="0006063C" w:rsidSect="00034616">
      <w:pgSz w:w="16838" w:h="11906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