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微软雅黑" w:hAnsi="微软雅黑" w:eastAsia="微软雅黑"/>
          <w:b/>
          <w:color w:val="1F4E79"/>
          <w:sz w:val="52"/>
        </w:rPr>
        <w:t>中集环科 2026年精益改善</w:t>
        <w:br/>
        <w:t>PSP问题分析报告</w:t>
      </w:r>
    </w:p>
    <w:p/>
    <w:p>
      <w:pPr>
        <w:jc w:val="center"/>
      </w:pPr>
      <w:r>
        <w:rPr>
          <w:rFonts w:ascii="微软雅黑" w:hAnsi="微软雅黑" w:eastAsia="微软雅黑"/>
          <w:color w:val="C0392B"/>
          <w:sz w:val="28"/>
        </w:rPr>
        <w:t>核心命题：运营能力跟不上业务复杂性、市场竞争变化性</w:t>
      </w:r>
    </w:p>
    <w:p/>
    <w:p>
      <w:pPr>
        <w:jc w:val="center"/>
      </w:pPr>
      <w:r>
        <w:rPr>
          <w:rFonts w:ascii="微软雅黑" w:hAnsi="微软雅黑" w:eastAsia="微软雅黑"/>
          <w:sz w:val="18"/>
        </w:rPr>
        <w:t>编制：企管部 王瑞俊 | 版本 V1.0 | 2026-05-27</w:t>
        <w:br/>
        <w:t>方法论：DBS-PSP x 中集精益ONE</w:t>
        <w:br/>
        <w:t>数据来源：Q1经营实绩 + 赛意灯塔工厂诊断 + 19方针/绩效合同/ONE推进现状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一、PSP问题解决流程：我们怎么思考这个问题</w:t>
      </w:r>
    </w:p>
    <w:p>
      <w:r>
        <w:rPr>
          <w:rFonts w:ascii="微软雅黑" w:hAnsi="微软雅黑" w:eastAsia="微软雅黑"/>
          <w:b w:val="0"/>
          <w:sz w:val="20"/>
        </w:rPr>
        <w:t>PSP（Problem Solving Process）是丹纳赫DBS的核心方法论，强调从真问题出发，以数据驱动逐步收敛到可执行的对策。本报告按PSP五步展开：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619"/>
        <w:gridCol w:w="6619"/>
      </w:tblGrid>
      <w:tr>
        <w:tc>
          <w:tcPr>
            <w:tcW w:type="dxa" w:w="6619"/>
          </w:tcPr>
          <w:p>
            <w:pPr>
              <w:jc w:val="center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type="dxa" w:w="6619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6619"/>
          </w:tcPr>
          <w:p>
            <w:r>
              <w:rPr>
                <w:sz w:val="18"/>
              </w:rPr>
              <w:t>Step 1-2: 真问题识别</w:t>
            </w:r>
          </w:p>
        </w:tc>
        <w:tc>
          <w:tcPr>
            <w:tcW w:type="dxa" w:w="6619"/>
          </w:tcPr>
          <w:p>
            <w:r>
              <w:rPr>
                <w:sz w:val="18"/>
              </w:rPr>
              <w:t>区分症状与根因，追问为什么直到触及可控制的本质问题</w:t>
            </w:r>
          </w:p>
        </w:tc>
      </w:tr>
      <w:tr>
        <w:tc>
          <w:tcPr>
            <w:tcW w:type="dxa" w:w="6619"/>
          </w:tcPr>
          <w:p>
            <w:r>
              <w:rPr>
                <w:sz w:val="18"/>
              </w:rPr>
              <w:t>Step 3: 厘清现状</w:t>
            </w:r>
          </w:p>
        </w:tc>
        <w:tc>
          <w:tcPr>
            <w:tcW w:type="dxa" w:w="6619"/>
          </w:tcPr>
          <w:p>
            <w:r>
              <w:rPr>
                <w:sz w:val="18"/>
              </w:rPr>
              <w:t>用事实和数据描述当前状态——业务模式、客户、供应链、制造现场、管理体系</w:t>
            </w:r>
          </w:p>
        </w:tc>
      </w:tr>
      <w:tr>
        <w:tc>
          <w:tcPr>
            <w:tcW w:type="dxa" w:w="6619"/>
          </w:tcPr>
          <w:p>
            <w:r>
              <w:rPr>
                <w:sz w:val="18"/>
              </w:rPr>
              <w:t>Step 4: 定义理想状态</w:t>
            </w:r>
          </w:p>
        </w:tc>
        <w:tc>
          <w:tcPr>
            <w:tcW w:type="dxa" w:w="6619"/>
          </w:tcPr>
          <w:p>
            <w:r>
              <w:rPr>
                <w:sz w:val="18"/>
              </w:rPr>
              <w:t>基于DBS/ONE标杆，描绘12-18个月内如果做对了一切应达到的状态</w:t>
            </w:r>
          </w:p>
        </w:tc>
      </w:tr>
      <w:tr>
        <w:tc>
          <w:tcPr>
            <w:tcW w:type="dxa" w:w="6619"/>
          </w:tcPr>
          <w:p>
            <w:r>
              <w:rPr>
                <w:sz w:val="18"/>
              </w:rPr>
              <w:t>Step 5: 偏差分析</w:t>
            </w:r>
          </w:p>
        </w:tc>
        <w:tc>
          <w:tcPr>
            <w:tcW w:type="dxa" w:w="6619"/>
          </w:tcPr>
          <w:p>
            <w:r>
              <w:rPr>
                <w:sz w:val="18"/>
              </w:rPr>
              <w:t>Ideal - Current = Gap，对每个偏差评估影响度和可解决性，排出优先级</w:t>
            </w:r>
          </w:p>
        </w:tc>
      </w:tr>
      <w:tr>
        <w:tc>
          <w:tcPr>
            <w:tcW w:type="dxa" w:w="6619"/>
          </w:tcPr>
          <w:p>
            <w:r>
              <w:rPr>
                <w:sz w:val="18"/>
              </w:rPr>
              <w:t>Step 6: 对策与方针</w:t>
            </w:r>
          </w:p>
        </w:tc>
        <w:tc>
          <w:tcPr>
            <w:tcW w:type="dxa" w:w="6619"/>
          </w:tcPr>
          <w:p>
            <w:r>
              <w:rPr>
                <w:sz w:val="18"/>
              </w:rPr>
              <w:t>从偏差导出精益方针，聚焦关键少数突破点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r>
        <w:rPr>
          <w:rFonts w:ascii="微软雅黑" w:hAnsi="微软雅黑" w:eastAsia="微软雅黑"/>
          <w:b/>
          <w:sz w:val="20"/>
        </w:rPr>
        <w:t>本文档定位：PSP讨论的基线草稿，不是结论。需要组织跨部门PSP讨论会，逐节对齐认知。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二、真问题识别：症状背后的本质</w:t>
      </w:r>
    </w:p>
    <w:p>
      <w:pPr>
        <w:pStyle w:val="Heading2"/>
      </w:pPr>
      <w:r>
        <w:rPr>
          <w:rFonts w:ascii="微软雅黑" w:hAnsi="微软雅黑" w:eastAsia="微软雅黑"/>
        </w:rPr>
        <w:t>2.1 症状 -&gt; 根因 -&gt; 系统缺陷（三层追问）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追问层级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现象/数据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追问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发现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症状层</w:t>
              <w:br/>
              <w:t>（管理层可见）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Q1营收55,706万(-9% YoY)</w:t>
              <w:br/>
              <w:t>产能利用率仅38%</w:t>
              <w:br/>
              <w:t>标罐亏损1,581万</w:t>
              <w:br/>
              <w:t>总经理评价乏善可陈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-&gt; So what?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收入缺口11.5亿、利润微薄</w:t>
              <w:br/>
              <w:t>但Q1订单+204%，不是没需求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根因层</w:t>
              <w:br/>
              <w:t>（追问Why）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产能38%不是没活干</w:t>
              <w:br/>
              <w:t>排产靠人工调度</w:t>
              <w:br/>
              <w:t>瓶颈不可见</w:t>
              <w:br/>
              <w:t>缺料等工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-&gt; 为什么？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ETO模式下设计变更频繁-&gt;排产反复调整</w:t>
              <w:br/>
              <w:t>主计划与车间计划割裂</w:t>
              <w:br/>
              <w:t>设备OEE基线缺失-&gt;不知道瓶颈在哪</w:t>
              <w:br/>
              <w:t>采购无拉动信号-&gt;人工跟催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系统缺陷层</w:t>
              <w:br/>
              <w:t>（追问Why Why）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KPI分解到部门但未到班组</w:t>
              <w:br/>
              <w:t>标准作业未固化</w:t>
              <w:br/>
              <w:t>五个车间各自为政</w:t>
              <w:br/>
              <w:t>改善提案靠摊派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-&gt; 根本原因？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无端到端可视化-&gt;运营决策盲飞</w:t>
              <w:br/>
              <w:t>无月度对标闭环-&gt;KPI有分解无管理</w:t>
              <w:br/>
              <w:t>无标准作业基线-&gt;隐性知识依赖</w:t>
              <w:br/>
              <w:t>无精益推进机构-&gt;改善不可持续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pPr>
        <w:pStyle w:val="Heading2"/>
      </w:pPr>
      <w:r>
        <w:rPr>
          <w:rFonts w:ascii="微软雅黑" w:hAnsi="微软雅黑" w:eastAsia="微软雅黑"/>
        </w:rPr>
        <w:t>2.2 真问题陈述（Problem Statement）</w:t>
      </w:r>
    </w:p>
    <w:p>
      <w:r>
        <w:rPr>
          <w:rFonts w:ascii="微软雅黑" w:hAnsi="微软雅黑" w:eastAsia="微软雅黑"/>
          <w:b w:val="0"/>
          <w:sz w:val="20"/>
        </w:rPr>
        <w:t>综合三层追问，最终收敛到以下真问题陈述，这是后续所有分析的核心假设：</w:t>
      </w:r>
    </w:p>
    <w:p>
      <w:r>
        <w:rPr>
          <w:rFonts w:ascii="微软雅黑" w:hAnsi="微软雅黑" w:eastAsia="微软雅黑"/>
          <w:b/>
          <w:color w:val="C0392B"/>
          <w:sz w:val="24"/>
        </w:rPr>
        <w:t>真问题：运营能力跟不上业务复杂性、市场竞争变化性</w:t>
      </w:r>
    </w:p>
    <w:p>
      <w:r>
        <w:rPr>
          <w:rFonts w:ascii="微软雅黑" w:hAnsi="微软雅黑" w:eastAsia="微软雅黑"/>
          <w:b w:val="0"/>
          <w:sz w:val="20"/>
        </w:rPr>
      </w:r>
    </w:p>
    <w:p>
      <w:r>
        <w:rPr>
          <w:rFonts w:ascii="微软雅黑" w:hAnsi="微软雅黑" w:eastAsia="微软雅黑"/>
          <w:b/>
          <w:sz w:val="20"/>
        </w:rPr>
        <w:t>展开为三个维度：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3"/>
        <w:gridCol w:w="4413"/>
        <w:gridCol w:w="4413"/>
      </w:tblGrid>
      <w:tr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具体表现</w:t>
            </w:r>
          </w:p>
        </w:tc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导致的后果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(1) 有订单吃不下</w:t>
              <w:br/>
              <w:t>（交付能力缺口）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ETO/MTO混合模式下设计-采购-生产并行，人工调度</w:t>
              <w:br/>
              <w:t>瓶颈不可见、缺料等工频繁</w:t>
              <w:br/>
              <w:t>特罐装载效率低、物流推拉未结合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产能利用率仅38%</w:t>
              <w:br/>
              <w:t>全年毛利损失约6,000万</w:t>
              <w:br/>
              <w:t>在手订单11,648台无法高效转化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(2) 吃下去不赚钱</w:t>
              <w:br/>
              <w:t>（成本竞争力缺口）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标罐箱价下行（USD 1.38万-&gt;1.31万）</w:t>
              <w:br/>
              <w:t>材料利用率6.79%损耗仍可优化</w:t>
              <w:br/>
              <w:t>辅材/能耗缺工位级原单位管控</w:t>
              <w:br/>
              <w:t>设计变更传导慢-&gt;返工吞噬利润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标罐亏损1,581万</w:t>
              <w:br/>
              <w:t>罐箱整体利润微薄（Q1净利2,236万）</w:t>
              <w:br/>
              <w:t>人效+10%只有目标没有路径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(3) 改善不可持续</w:t>
              <w:br/>
              <w:t>（管理体系缺口）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五个车间ONE推进各自为政</w:t>
              <w:br/>
              <w:t>无公司级精益推进机构</w:t>
              <w:br/>
              <w:t>改善提案靠摊派（&gt;=15件/季度）</w:t>
              <w:br/>
              <w:t>知识在老师傅脑中</w:t>
              <w:br/>
              <w:t>KPI有年度分解无月度对标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改善成果无法复制</w:t>
              <w:br/>
              <w:t>人员流动-&gt;质量波动</w:t>
              <w:br/>
              <w:t>乏善可陈不是某个人的问题，是系统缺位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r>
        <w:rPr>
          <w:rFonts w:ascii="微软雅黑" w:hAnsi="微软雅黑" w:eastAsia="微软雅黑"/>
          <w:b/>
          <w:sz w:val="20"/>
        </w:rPr>
        <w:t>这不是市场需求不足的危机。Q1订单台数+204%证明需求强劲。这是运营系统复杂度超过了现有管理体系的承载能力的结构性问题。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三、现状全景：我们的业务模式到底是什么样的</w:t>
      </w:r>
    </w:p>
    <w:p>
      <w:r>
        <w:rPr>
          <w:rFonts w:ascii="微软雅黑" w:hAnsi="微软雅黑" w:eastAsia="微软雅黑"/>
          <w:b w:val="0"/>
          <w:sz w:val="20"/>
        </w:rPr>
        <w:t>只有深刻理解我们是什么样的制造模式，才能判断精益从哪里入手。以下从六个维度描述当前状态。</w:t>
      </w:r>
    </w:p>
    <w:p>
      <w:pPr>
        <w:pStyle w:val="Heading2"/>
      </w:pPr>
      <w:r>
        <w:rPr>
          <w:rFonts w:ascii="微软雅黑" w:hAnsi="微软雅黑" w:eastAsia="微软雅黑"/>
        </w:rPr>
        <w:t>3.1 业务模式：ETO + MTO 混合离散制造</w:t>
      </w:r>
    </w:p>
    <w:p>
      <w:r>
        <w:rPr>
          <w:rFonts w:ascii="微软雅黑" w:hAnsi="微软雅黑" w:eastAsia="微软雅黑"/>
          <w:b/>
          <w:sz w:val="20"/>
        </w:rPr>
        <w:t>这是理解公司所有运营问题的底层约束：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产品线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制造模式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关键特征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对精益的约束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标罐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MTO为主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有库存组件，批量相对大</w:t>
              <w:br/>
              <w:t>标准化程度较高</w:t>
              <w:br/>
              <w:t>订单量最大但利润微薄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可做标准作业和节拍化</w:t>
              <w:br/>
              <w:t>SMED重点在换型</w:t>
              <w:br/>
              <w:t>成本竞争力是核心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特罐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ETO纯定制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边设计边生产</w:t>
              <w:br/>
              <w:t>BOM 3-4级，变更频繁</w:t>
              <w:br/>
              <w:t>多品种小批量</w:t>
              <w:br/>
              <w:t>增长+44.4%，有溢价空间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标准作业要做模块化</w:t>
              <w:br/>
              <w:t>VSM必须覆盖设计-生产全流程</w:t>
              <w:br/>
              <w:t>效率损失量化是第一步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碳罐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MTO+ETO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粉末涂装工艺</w:t>
              <w:br/>
              <w:t>多能工需求高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最适合流动制造试点</w:t>
              <w:br/>
              <w:t>单元化生产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气体罐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MTO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焊接密集</w:t>
              <w:br/>
              <w:t>气体消耗大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辅材管控是降本重点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小件/封头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MTS+部分ETO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品种多、批量小</w:t>
              <w:br/>
              <w:t>自制率在提升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最适合实践单元化</w:t>
              <w:br/>
              <w:t>流动制造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医疗（MR）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独立产品线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高端医疗配套</w:t>
              <w:br/>
              <w:t>客户认证严格</w:t>
              <w:br/>
              <w:t>预算达成95.4%，增长+39.6%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品质管理体系需独立于罐箱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r>
        <w:rPr>
          <w:rFonts w:ascii="微软雅黑" w:hAnsi="微软雅黑" w:eastAsia="微软雅黑"/>
          <w:b w:val="0"/>
          <w:sz w:val="20"/>
        </w:rPr>
        <w:t>核心痛点链（赛意诊断验证）：订单（ETO边设计边生产）-&gt; 设计变更频繁 -&gt; 排产靠人工调整 -&gt; 主计划与车间计划割裂 -&gt; 缺料/等工 -&gt; 产能利用率38% -&gt; 交期不可承诺 -&gt; 客户满意度下降</w:t>
      </w:r>
    </w:p>
    <w:p>
      <w:pPr>
        <w:pStyle w:val="Heading2"/>
      </w:pPr>
      <w:r>
        <w:rPr>
          <w:rFonts w:ascii="微软雅黑" w:hAnsi="微软雅黑" w:eastAsia="微软雅黑"/>
        </w:rPr>
        <w:t>3.2 客户与市场特征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现状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变化趋势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对运营的挑战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客户结构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前十大客户长期合作</w:t>
              <w:br/>
              <w:t>运营商+租赁商占签单88.7%</w:t>
              <w:br/>
              <w:t>外销占比93.8%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稳定但客户比价能力极强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服务差异化和交期可靠性是唯一溢价空间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订单特征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Q1新签6,846台(+204%)</w:t>
              <w:br/>
              <w:t>在手订单11,648台(+60.6%)</w:t>
              <w:br/>
              <w:t>标罐签单价USD 1.38万-&gt;均价1.31万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量增价跌</w:t>
              <w:br/>
              <w:t>利润空间被压缩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唯有快和准才能接住需求</w:t>
              <w:br/>
              <w:t>产能弹性是核心竞争力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交期要求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标罐目标7天-&gt;5天</w:t>
              <w:br/>
              <w:t>非标目标45天</w:t>
              <w:br/>
              <w:t>竞争对手也在缩短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交期要求越来越短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OTD可视化是第一步</w:t>
              <w:br/>
              <w:t>瓶颈突破是根本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质量敏感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外观&lt;90分</w:t>
              <w:br/>
              <w:t>错漏装率居高</w:t>
              <w:br/>
              <w:t>客户对看起来比能用多久更敏感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外观品质直接决定订单份额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防错+工序内品质保证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r>
        <w:rPr>
          <w:rFonts w:ascii="微软雅黑" w:hAnsi="微软雅黑" w:eastAsia="微软雅黑"/>
          <w:b/>
          <w:sz w:val="20"/>
        </w:rPr>
        <w:t>全球罐箱产量连续3年下降（ITCO 4.2万台/2024），但公司Q1订单+204%。结构性机会存在，但量增价跌意味着成本竞争力决定能否抓住这个机会。</w:t>
      </w:r>
    </w:p>
    <w:p>
      <w:pPr>
        <w:pStyle w:val="Heading2"/>
      </w:pPr>
      <w:r>
        <w:rPr>
          <w:rFonts w:ascii="微软雅黑" w:hAnsi="微软雅黑" w:eastAsia="微软雅黑"/>
        </w:rPr>
        <w:t>3.3 供应链现状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物料类别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供应特征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当前痛点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对制造的影响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不锈钢板材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核心物料，15种规格</w:t>
              <w:br/>
              <w:t>采购策略已在MILP模型中优化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模型输出与执行间有断点</w:t>
              <w:br/>
              <w:t>采购Leadtime波动大</w:t>
              <w:br/>
              <w:t>缺在途信息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安全库存被迫拉高</w:t>
              <w:br/>
              <w:t>排产被缺料卡住</w:t>
              <w:br/>
              <w:t>CCC承压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阀件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核心供应商之一即将被并购</w:t>
              <w:br/>
              <w:t>垂直整合进行中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并购后整合期供应稳定性不确定</w:t>
              <w:br/>
              <w:t>交付周期波动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关键物料供应风险</w:t>
              <w:br/>
              <w:t>整合期需要供应商Kaizen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封头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135OVC已全自制</w:t>
              <w:br/>
              <w:t>外销封头预算达成75.2%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自制能力在提升中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继续提升自制率是降本路径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辅材/耗材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油漆、粉末、焊接气体等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消耗缺乏工位级原单位管控</w:t>
              <w:br/>
              <w:t>降本靠目标分解而非过程管控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隐性成本侵蚀利润</w:t>
              <w:br/>
              <w:t>改善无据可依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3.4 制造现场现状</w:t>
      </w:r>
    </w:p>
    <w:p>
      <w:r>
        <w:rPr>
          <w:rFonts w:ascii="微软雅黑" w:hAnsi="微软雅黑" w:eastAsia="微软雅黑"/>
          <w:b w:val="0"/>
          <w:sz w:val="18"/>
        </w:rPr>
        <w:t>（注：以下基于赛意诊断和已知绩效数据。各车间OEE基线、瓶颈工序实测数据、标准工时vs实际工时——待现场补充后填入）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车间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关键工艺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已知问题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待补充数据（现场核实）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标罐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自动焊/机器人</w:t>
              <w:br/>
              <w:t>涂装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预算达成33.8%</w:t>
              <w:br/>
              <w:t>亏损1,581万</w:t>
              <w:br/>
              <w:t>外观&lt;90分</w:t>
              <w:br/>
              <w:t>1-2月收入同比-26.9%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OEE基线（分设备）</w:t>
              <w:br/>
              <w:t>瓶颈工序识别</w:t>
              <w:br/>
              <w:t>换型时间（涂装线换色）</w:t>
              <w:br/>
              <w:t>TOP3质量问题类型/PPM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特罐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防波板/CVC</w:t>
              <w:br/>
              <w:t>混气喷涂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增长+44.4%</w:t>
              <w:br/>
              <w:t>多品种小批量效率损失</w:t>
              <w:br/>
              <w:t>油漆耗用目标-5%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换模时间</w:t>
              <w:br/>
              <w:t>工时偏差率（标准vs实际）</w:t>
              <w:br/>
              <w:t>EBOM-&gt;PBOM传导周期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碳罐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粉末涂装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多能工占比目标40%（年末）</w:t>
              <w:br/>
              <w:t>粉末耗用目标-10%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当前多能工实际比例</w:t>
              <w:br/>
              <w:t>换线时间</w:t>
              <w:br/>
              <w:t>工序间WIP数量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气体罐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焊接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焊接气体目标-10%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气体消耗原单位</w:t>
              <w:br/>
              <w:t>设备可用率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小件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机加工+装配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10种以上部件整合进行中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在制品数量</w:t>
              <w:br/>
              <w:t>换型频率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r>
        <w:rPr>
          <w:rFonts w:ascii="微软雅黑" w:hAnsi="微软雅黑" w:eastAsia="微软雅黑"/>
          <w:b/>
          <w:sz w:val="20"/>
        </w:rPr>
        <w:t>已知共性断层：(1) 工艺-生产断裂（EBOM-&gt;PBOM关联不足） (2) 设备OEE未量化 (3) 标准作业覆盖率低 (4) 五个车间ONE各自为政</w:t>
      </w:r>
    </w:p>
    <w:p>
      <w:pPr>
        <w:pStyle w:val="Heading2"/>
      </w:pPr>
      <w:r>
        <w:rPr>
          <w:rFonts w:ascii="微软雅黑" w:hAnsi="微软雅黑" w:eastAsia="微软雅黑"/>
        </w:rPr>
        <w:t>3.5 管理体系现状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管理维度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现状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成熟度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核心缺口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方针管理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年度19方针-&gt;各部门绩效合同</w:t>
              <w:br/>
              <w:t>KPI v3.0双轨已上线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★★★（分解有，对标弱）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缺月度对标闭环</w:t>
              <w:br/>
              <w:t>缺班组/个人级分解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Daily Management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有班组晨会雏形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★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无标准化三层会议</w:t>
              <w:br/>
              <w:t>KPI不能小时/日暴露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月度回顾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月度经营分析会</w:t>
              <w:br/>
              <w:t>财务-&gt;各业务线汇报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★★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无SDQCG标准议程</w:t>
              <w:br/>
              <w:t>无对策追踪机制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问题解决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TBP 8步法有基础</w:t>
              <w:br/>
              <w:t>A3报告未制度化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★★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一线赋权不足</w:t>
              <w:br/>
              <w:t>PSP/停线机制缺失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改善文化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&gt;=15件/季度摊派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★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非自驱、质量参差</w:t>
              <w:br/>
              <w:t>无带级激励机制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人才培养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多能工/星级员工有目标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★★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缺TWI方法论</w:t>
              <w:br/>
              <w:t>缺精益带级体系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精益机构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无公司级DBSO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★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精益分散在企管部+各车间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四、理想状态：12-18个月内如果做对了一切</w:t>
      </w:r>
    </w:p>
    <w:p>
      <w:r>
        <w:rPr>
          <w:rFonts w:ascii="微软雅黑" w:hAnsi="微软雅黑" w:eastAsia="微软雅黑"/>
          <w:b w:val="0"/>
          <w:sz w:val="20"/>
        </w:rPr>
        <w:t>不是五年的蓝图，而是如果我们立即启动、做对所有关键动作，12-18个月内应达到的状态。</w:t>
      </w:r>
    </w:p>
    <w:p>
      <w:pPr>
        <w:pStyle w:val="Heading2"/>
      </w:pPr>
      <w:r>
        <w:rPr>
          <w:rFonts w:ascii="微软雅黑" w:hAnsi="微软雅黑" w:eastAsia="微软雅黑"/>
        </w:rPr>
        <w:t>4.1 制造维度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理想状态（12-18个月）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差距大小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产能利用率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38%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&gt;=70%，瓶颈工序OEE实时可视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P0 32pp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标准作业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老师傅脑中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瓶颈工序覆盖率&gt;=50%，TWI-JI试点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P0 从无到有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流动/物流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推式领料制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关键工序推拉结合，标罐节拍化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P0 模式变革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设备管理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OEE未量化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核心设备OEE实时监控，TPM 1个车间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P0 从无到有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质量管理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人工检验为主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防错覆盖率&gt;=30%，良品条件制度化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P1 有基础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车间管理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各自为政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统一标准+最佳实践共享+成熟度评分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P1 机制建设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4.2 非制造维度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理想状态（12-18个月）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差距大小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OTD可视化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无端到端度量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询价-&gt;回款全流程可度量，TOP3断点已识别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P0 从无到有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报价流程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多方串联、无SOP</w:t>
              <w:br/>
              <w:t>准确率&lt;95%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标准化SOP，周期-30%</w:t>
              <w:br/>
              <w:t>准确率&gt;95%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P1 可快速见效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工艺-生产协同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设计变更传导慢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ECN标准化流程</w:t>
              <w:br/>
              <w:t>变更落地周期-50%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P0 跨部门难点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采购执行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人工跟催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关键物料拉动信号</w:t>
              <w:br/>
              <w:t>Leadtime波动-30%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P1 需供应商配合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间接人效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无度量方法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事务标准作业基线建立</w:t>
              <w:br/>
              <w:t>文干效率可量化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P1 方法先行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4.3 管理体系维度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3"/>
        <w:gridCol w:w="4413"/>
        <w:gridCol w:w="4413"/>
      </w:tblGrid>
      <w:tr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理想状态（12-18个月）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方针管理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年度分解，季末看一次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逐级分解到班组/个人，月度MOR对标（SDQCG）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Daily Management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雏形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三层会议标准化，KPI小时级暴露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改善文化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摊派&gt;=15件/季度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自驱化，Kaizen发表会每半年1次，带级激励机制运行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精益机构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无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DBSO 3-5人挂牌运作，直接向总经理汇报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人才育成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有目标无体系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黄带/绿带/黑带三级认证，TWI Trainer内部培养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五、偏差分析：差距的优先级排序</w:t>
      </w:r>
    </w:p>
    <w:p>
      <w:pPr>
        <w:pStyle w:val="Heading2"/>
      </w:pPr>
      <w:r>
        <w:rPr>
          <w:rFonts w:ascii="微软雅黑" w:hAnsi="微软雅黑" w:eastAsia="微软雅黑"/>
        </w:rPr>
        <w:t>5.1 制造领域偏差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648"/>
        <w:gridCol w:w="2648"/>
        <w:gridCol w:w="2648"/>
        <w:gridCol w:w="2648"/>
        <w:gridCol w:w="2648"/>
      </w:tblGrid>
      <w:tr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偏差（Ideal - Current）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影响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可控性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产能利用率差32pp（70%-38%）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年收入缺口11.5亿的主因</w:t>
              <w:br/>
              <w:t>毛利损失约6,000万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可控</w:t>
              <w:br/>
              <w:t>瓶颈识别+SMED+排产优化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标罐成本竞争力不足-&gt;亏损1,581万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核心产品线失血</w:t>
              <w:br/>
              <w:t>箱价下行雪上加霜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部分可控</w:t>
              <w:br/>
              <w:t>精益降本可改善，箱价由市场定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OEE基线从0-&gt;建立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所有效率改善无据可依</w:t>
              <w:br/>
              <w:t>不知道瓶颈在哪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可控</w:t>
              <w:br/>
              <w:t>TPM+IoT，6个月可建立基线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特罐搬迁缺乏精益设计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锁定未来10年运营效率</w:t>
              <w:br/>
              <w:t>2026年ROI最高的单一精益行动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可控</w:t>
              <w:br/>
              <w:t>窗口期：施工图定稿前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标准作业覆盖率从&lt;10%-&gt;50%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质量波动+人员流动风险</w:t>
              <w:br/>
              <w:t>隐性知识依赖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可控</w:t>
              <w:br/>
              <w:t>TWI+视频化SOP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P1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5.2 非制造领域偏差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648"/>
        <w:gridCol w:w="2648"/>
        <w:gridCol w:w="2648"/>
        <w:gridCol w:w="2648"/>
        <w:gridCol w:w="2648"/>
      </w:tblGrid>
      <w:tr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偏差（Ideal - Current）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影响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可控性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N1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工艺-生产协同从断裂-&gt;标准化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设计变更落地周期长</w:t>
              <w:br/>
              <w:t>返工+质量波动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需多部门联合</w:t>
              <w:br/>
              <w:t>跨部门难度大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N2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OTD从不可视-&gt;端到端可度量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交期不可承诺</w:t>
              <w:br/>
              <w:t>运营决策盲飞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可控</w:t>
              <w:br/>
              <w:t>跨职能VSM，2个月出图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N3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Daily Management从雏形-&gt;制度化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异常响应慢</w:t>
              <w:br/>
              <w:t>问题不能及时暴露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可控</w:t>
              <w:br/>
              <w:t>DBSO+MOR机制建立即可运转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N4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报价流程从多方串联-&gt;标准化SOP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报价准确率&lt;95%</w:t>
              <w:br/>
              <w:t>客户响应慢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可控</w:t>
              <w:br/>
              <w:t>最合适的第一个TPI课题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N5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改善提案从摊派-&gt;自驱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改善不可持续</w:t>
              <w:br/>
              <w:t>提案质量参差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需激励+文化</w:t>
              <w:br/>
              <w:t>非短期见效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P1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六、核心判断：运营能力 x 业务复杂度 x 市场竞争</w:t>
      </w:r>
    </w:p>
    <w:p>
      <w:r>
        <w:rPr>
          <w:rFonts w:ascii="微软雅黑" w:hAnsi="微软雅黑" w:eastAsia="微软雅黑"/>
          <w:b w:val="0"/>
          <w:sz w:val="20"/>
        </w:rPr>
        <w:t>基于以上PSP分析，形成以下核心判断，作为精益方针的输入：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3"/>
        <w:gridCol w:w="4413"/>
        <w:gridCol w:w="4413"/>
      </w:tblGrid>
      <w:tr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判断维度</w:t>
            </w:r>
          </w:p>
        </w:tc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结论</w:t>
            </w:r>
          </w:p>
        </w:tc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对精益方针的指向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业务复杂度</w:t>
              <w:br/>
              <w:t>（不可改变）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ETO+MTO混合模式是公司的商业现实，不可简化。</w:t>
              <w:br/>
              <w:t>设计变更、多品种小批量、边设计边生产是常态而非问题。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精益不能追求消灭变更，而是建立</w:t>
              <w:br/>
              <w:t>变更传导的标准化机制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市场竞争</w:t>
              <w:br/>
              <w:t>（不可控制）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罐箱市场量增价跌，客户比价能力极强。</w:t>
              <w:br/>
              <w:t>标罐是类大宗商品，利润空间靠成本竞争力。</w:t>
              <w:br/>
              <w:t>交期缩短是全行业趋势。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交期是唯一差异化空间。</w:t>
              <w:br/>
              <w:t>成本竞争力从精益+采购+设计三管齐下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运营能力</w:t>
              <w:br/>
              <w:t>（可以改变）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当前的核心缺口：(1) OEE/标准工时/OTD周期均无基线</w:t>
              <w:br/>
              <w:t>(2) 瓶颈不可见、排产靠人工</w:t>
              <w:br/>
              <w:t>(3) 无月度对标、无推进机构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建基线-&gt;打瓶颈-&gt;建机制-&gt;抓窗口</w:t>
              <w:br/>
              <w:t>四项方针指向的正是这三个可控缺口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窗口期</w:t>
              <w:br/>
              <w:t>（关键变量）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特罐搬迁（施工图定稿前）+ 阀件并购（交割后60天）</w:t>
              <w:br/>
              <w:t>两个战略性窗口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必须写入方针，列入项目章程作为前置条件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r>
        <w:rPr>
          <w:rFonts w:ascii="微软雅黑" w:hAnsi="微软雅黑" w:eastAsia="微软雅黑"/>
          <w:b/>
          <w:sz w:val="22"/>
        </w:rPr>
        <w:t>一句话总结：ETO模式和市场竞争不可改变，但运营能力可以系统性提升。2026年的精益战略就是用12个月把运营能力的三个关键缺口（基线、瓶颈、机制）从0做到1。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七、待补充的现场数据（PSP讨论会前收集）</w:t>
      </w:r>
    </w:p>
    <w:p>
      <w:r>
        <w:rPr>
          <w:rFonts w:ascii="微软雅黑" w:hAnsi="微软雅黑" w:eastAsia="微软雅黑"/>
          <w:b w:val="0"/>
          <w:sz w:val="20"/>
        </w:rPr>
        <w:t>以下数据需要从各车间/部门收集，作为PSP讨论会的事实基线。数据越准确，讨论越不容易跑偏。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数据项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需要从哪获取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用途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各车间关键设备OEE（或可用率/性能效率/良品率）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各车间主任+设备管理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识别瓶颈设备，建立改善基线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必须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TOP3客户投诉类型及PPM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质量部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质量防错专项的输入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必须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标罐/特罐关键工序标准工时 vs 实际工时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IE/各车间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标准作业和效率改善的基线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必须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涂装线换色换型时间（标罐+特罐）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标罐/特罐车间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SMED改善的基线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必须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各车间瓶颈工序的直观判断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各车间主任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与OEE数据交叉验证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建议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设计变更（ECN）从提出到车间落地平均周期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技术中心+生产部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工艺-生产协同的基线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建议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当前在制品数量（分车间/分工序）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各车间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流动制造改善的基线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建议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关键辅材（油漆/粉末/焊接气体）单位消耗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各车间+采购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辅材降本的基线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补充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r>
        <w:rPr>
          <w:rFonts w:ascii="微软雅黑" w:hAnsi="微软雅黑" w:eastAsia="微软雅黑"/>
          <w:b/>
          <w:sz w:val="20"/>
        </w:rPr>
        <w:t>关联文件：</w:t>
      </w:r>
    </w:p>
    <w:p>
      <w:r>
        <w:rPr>
          <w:rFonts w:ascii="微软雅黑" w:hAnsi="微软雅黑" w:eastAsia="微软雅黑"/>
          <w:b w:val="0"/>
          <w:sz w:val="18"/>
        </w:rPr>
        <w:t>- 2026年精益方针.docx —— 从问题到方针到举措</w:t>
        <w:br/>
        <w:t>- 年度精益活动计划表.xlsx —— 时间表+责任矩阵+KPI追踪</w:t>
        <w:br/>
        <w:t>- 2026年精益改善地图.md —— Obsidian总纲（Markdown版）</w:t>
      </w:r>
    </w:p>
    <w:sectPr w:rsidR="00FC693F" w:rsidRPr="0006063C" w:rsidSect="00034616">
      <w:pgSz w:w="16838" w:h="11906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