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459"/>
        <w:gridCol w:w="363"/>
        <w:gridCol w:w="654"/>
        <w:gridCol w:w="63"/>
        <w:gridCol w:w="534"/>
        <w:gridCol w:w="234"/>
        <w:gridCol w:w="280"/>
        <w:gridCol w:w="329"/>
        <w:gridCol w:w="147"/>
        <w:gridCol w:w="206"/>
        <w:gridCol w:w="588"/>
        <w:gridCol w:w="212"/>
        <w:gridCol w:w="480"/>
        <w:gridCol w:w="346"/>
        <w:gridCol w:w="144"/>
        <w:gridCol w:w="138"/>
        <w:gridCol w:w="546"/>
        <w:gridCol w:w="106"/>
        <w:gridCol w:w="1026"/>
        <w:gridCol w:w="83"/>
        <w:gridCol w:w="1004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7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0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7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4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7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9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4pt;margin-top:42.55pt;height:186.25pt;width:13.9pt;mso-position-vertical-relative:page;z-index:251659264;mso-width-relative:page;mso-height-relative:page;" filled="f" stroked="f" coordsize="21600,21600" o:gfxdata="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TRFQdYAAAAHAQAADwAAAAAAAAABACAAAAAiAAAAZHJzL2Rvd25yZXYueG1s&#10;UEsBAhQAFAAAAAgAh07iQIBcfagzAgAAWQQAAA4AAAAAAAAAAQAgAAAAJQEAAGRycy9lMm9Eb2Mu&#10;eG1sUEsFBgAAAAAGAAYAWQEAAMoFAAAAAA=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0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067E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" w:type="pct"/>
            <w:gridSpan w:val="2"/>
            <w:vMerge w:val="continue"/>
            <w:tcBorders>
              <w:left w:val="nil"/>
              <w:right w:val="nil"/>
            </w:tcBorders>
            <w:vAlign w:val="center"/>
          </w:tcPr>
          <w:p w14:paraId="0942E983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GasComp_Lab06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419F9E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GasComp_Dat06</w:t>
            </w:r>
          </w:p>
        </w:tc>
        <w:tc>
          <w:tcPr>
            <w:tcW w:w="508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3962DC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365F61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99FAEC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GasComp_Lab08</w:t>
            </w:r>
          </w:p>
        </w:tc>
        <w:tc>
          <w:tcPr>
            <w:tcW w:w="376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E01900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GasComp_Dat08</w:t>
            </w:r>
          </w:p>
        </w:tc>
        <w:tc>
          <w:tcPr>
            <w:tcW w:w="45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CFFB7D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93D3FCD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7DC55CE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GasComp_Lab10</w:t>
            </w:r>
          </w:p>
        </w:tc>
        <w:tc>
          <w:tcPr>
            <w:tcW w:w="472" w:type="pct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78939E6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GasComp_Dat10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</w:p>
        </w:tc>
        <w:tc>
          <w:tcPr>
            <w:tcW w:w="1219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723307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539</Words>
  <Characters>1609</Characters>
  <Lines>14</Lines>
  <Paragraphs>4</Paragraphs>
  <TotalTime>31</TotalTime>
  <ScaleCrop>false</ScaleCrop>
  <LinksUpToDate>false</LinksUpToDate>
  <CharactersWithSpaces>1689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2025-06-18T04:48:06Z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