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true"/>
        <w:spacing/>
        <w:ind/>
        <w:jc w:val="right"/>
        <w:rPr>
          <w:rFonts w:ascii="宋体" w:hAnsi="宋体" w:eastAsia="宋体"/>
          <w:b w:val="true"/>
          <w:bCs w:val="true"/>
          <w:sz w:val="36"/>
          <w:szCs w:val="36"/>
        </w:rPr>
      </w:pPr>
      <w:r>
        <w:rPr>
          <w:rFonts w:ascii="Arial" w:hAnsi="Arial" w:eastAsia="Arial"/>
          <w:b w:val="true"/>
          <w:bCs w:val="true"/>
        </w:rPr>
        <w:t>&lt;</w:t>
      </w:r>
      <w:r>
        <w:rPr>
          <w:rFonts w:ascii="宋体" w:hAnsi="宋体" w:eastAsia="宋体"/>
          <w:b w:val="true"/>
          <w:bCs w:val="true"/>
        </w:rPr>
        <w:t>去年的蛋糕</w:t>
      </w:r>
      <w:r>
        <w:rPr>
          <w:rFonts w:ascii="Arial" w:hAnsi="Arial" w:eastAsia="Arial"/>
          <w:b w:val="true"/>
          <w:bCs w:val="true"/>
        </w:rPr>
        <w:t>&gt;</w:t>
      </w:r>
    </w:p>
    <w:p>
      <w:pPr>
        <w:snapToGrid w:val="true"/>
        <w:spacing/>
        <w:ind/>
        <w:jc w:val="right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 w:val="true"/>
          <w:bCs w:val="true"/>
        </w:rPr>
        <w:t>项目范围说明书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napToGrid w:val="true"/>
        <w:spacing/>
        <w:ind/>
        <w:jc w:val="righ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 w:val="true"/>
          <w:bCs w:val="true"/>
        </w:rPr>
        <w:t>版本</w:t>
      </w:r>
      <w:r>
        <w:rPr>
          <w:rFonts w:ascii="Arial" w:hAnsi="Arial" w:eastAsia="Arial"/>
          <w:b w:val="true"/>
          <w:bCs w:val="true"/>
        </w:rPr>
        <w:t xml:space="preserve"> &lt;1.0&gt;</w:t>
      </w:r>
    </w:p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righ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after="120" w:line="240" w:lineRule="atLeast"/>
        <w:ind/>
        <w:jc w:val="left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</w:r>
    </w:p>
    <w:p>
      <w:pPr>
        <w:snapToGrid w:val="true"/>
        <w:spacing/>
        <w:ind/>
        <w:jc w:val="center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 w:val="true"/>
          <w:bCs w:val="true"/>
        </w:rPr>
        <w:t>修订历史记录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295"/>
        <w:gridCol w:w="1140"/>
        <w:gridCol w:w="3735"/>
        <w:gridCol w:w="2295"/>
      </w:tblGrid>
      <w:tr>
        <w:trPr/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sz w:val="20"/>
                <w:szCs w:val="20"/>
              </w:rPr>
              <w:t>日期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sz w:val="20"/>
                <w:szCs w:val="20"/>
              </w:rPr>
              <w:t>版本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sz w:val="20"/>
                <w:szCs w:val="20"/>
              </w:rPr>
              <w:t>说明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b w:val="true"/>
                <w:bCs w:val="true"/>
                <w:sz w:val="20"/>
                <w:szCs w:val="20"/>
              </w:rPr>
              <w:t>作者</w:t>
            </w:r>
          </w:p>
        </w:tc>
      </w:tr>
      <w:tr>
        <w:trPr/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2020年4月15日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&lt;1.0&gt;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定义了本项目名称、描述、制约因素和假设条件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杨柳鑫</w:t>
            </w:r>
          </w:p>
        </w:tc>
      </w:tr>
      <w:tr>
        <w:trPr/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2020年4月17日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&lt;1.0&gt;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规划了本项目研究后的各个主要过程和相应可交付成果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after="120" w:line="240" w:lineRule="atLeast"/>
              <w:ind/>
              <w:jc w:val="left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单鑫楠</w:t>
            </w:r>
          </w:p>
        </w:tc>
      </w:tr>
      <w:tr>
        <w:trPr/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</w:tr>
      <w:tr>
        <w:trPr/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napToGrid w:val="true"/>
        <w:spacing/>
        <w:ind/>
        <w:jc w:val="center"/>
        <w:rPr>
          <w:rFonts w:ascii="宋体" w:hAnsi="宋体" w:eastAsia="宋体"/>
          <w:sz w:val="36"/>
          <w:szCs w:val="36"/>
        </w:rPr>
      </w:pP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</w:rPr>
        <w:t>目录</w:t>
      </w:r>
    </w:p>
    <w:p>
      <w:pPr>
        <w:spacing w:before="240" w:after="60" w:line="240" w:lineRule="atLeast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1.</w:t>
      </w:r>
      <w:r>
        <w:rPr>
          <w:rFonts w:ascii="Calibri" w:hAnsi="Calibri" w:eastAsia="Calibri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sz w:val="21"/>
          <w:szCs w:val="21"/>
        </w:rPr>
        <w:t>项目名称</w:t>
      </w:r>
      <w:r>
        <w:rPr>
          <w:rFonts w:ascii="Calibri" w:hAnsi="Calibri" w:eastAsia="Calibri"/>
          <w:sz w:val="21"/>
          <w:szCs w:val="21"/>
        </w:rPr>
        <w:t xml:space="preserve">	</w:t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Calibri" w:hAnsi="Calibri" w:eastAsia="Calibri"/>
          <w:sz w:val="21"/>
          <w:szCs w:val="21"/>
        </w:rPr>
      </w:r>
    </w:p>
    <w:p>
      <w:pPr>
        <w:spacing w:before="240" w:after="60" w:line="240" w:lineRule="atLeast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2.</w:t>
      </w:r>
      <w:r>
        <w:rPr>
          <w:rFonts w:ascii="Calibri" w:hAnsi="Calibri" w:eastAsia="Calibri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sz w:val="21"/>
          <w:szCs w:val="21"/>
        </w:rPr>
        <w:t>项目描述</w:t>
      </w:r>
      <w:r>
        <w:rPr>
          <w:rFonts w:ascii="Calibri" w:hAnsi="Calibri" w:eastAsia="Calibri"/>
          <w:sz w:val="21"/>
          <w:szCs w:val="21"/>
        </w:rPr>
        <w:t xml:space="preserve">	</w:t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Calibri" w:hAnsi="Calibri" w:eastAsia="Calibri"/>
          <w:sz w:val="21"/>
          <w:szCs w:val="21"/>
        </w:rPr>
      </w:r>
    </w:p>
    <w:p>
      <w:pPr>
        <w:spacing w:before="240" w:after="60" w:line="240" w:lineRule="atLeast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3.</w:t>
      </w:r>
      <w:r>
        <w:rPr>
          <w:rFonts w:ascii="Calibri" w:hAnsi="Calibri" w:eastAsia="Calibri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sz w:val="21"/>
          <w:szCs w:val="21"/>
        </w:rPr>
        <w:t>项目主要过程及可交付成果</w:t>
      </w:r>
      <w:r>
        <w:rPr>
          <w:rFonts w:ascii="Calibri" w:hAnsi="Calibri" w:eastAsia="Calibri"/>
          <w:sz w:val="21"/>
          <w:szCs w:val="21"/>
        </w:rPr>
        <w:t xml:space="preserve">	</w:t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5</w:t>
      </w:r>
      <w:r>
        <w:rPr>
          <w:rFonts w:ascii="Calibri" w:hAnsi="Calibri" w:eastAsia="Calibri"/>
          <w:sz w:val="21"/>
          <w:szCs w:val="21"/>
        </w:rPr>
      </w:r>
    </w:p>
    <w:p>
      <w:pPr>
        <w:spacing w:before="240" w:after="60" w:line="240" w:lineRule="atLeast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4.</w:t>
      </w:r>
      <w:r>
        <w:rPr>
          <w:rFonts w:ascii="Calibri" w:hAnsi="Calibri" w:eastAsia="Calibri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sz w:val="21"/>
          <w:szCs w:val="21"/>
        </w:rPr>
        <w:t>制约因素</w:t>
      </w:r>
      <w:r>
        <w:rPr>
          <w:rFonts w:ascii="Calibri" w:hAnsi="Calibri" w:eastAsia="Calibri"/>
          <w:sz w:val="21"/>
          <w:szCs w:val="21"/>
        </w:rPr>
        <w:t xml:space="preserve">	</w:t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6</w:t>
      </w:r>
      <w:r>
        <w:rPr>
          <w:rFonts w:ascii="Calibri" w:hAnsi="Calibri" w:eastAsia="Calibri"/>
          <w:sz w:val="21"/>
          <w:szCs w:val="21"/>
        </w:rPr>
      </w:r>
    </w:p>
    <w:p>
      <w:pPr>
        <w:spacing w:before="240" w:after="60" w:line="240" w:lineRule="atLeast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5.</w:t>
      </w:r>
      <w:r>
        <w:rPr>
          <w:rFonts w:ascii="Calibri" w:hAnsi="Calibri" w:eastAsia="Calibri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sz w:val="21"/>
          <w:szCs w:val="21"/>
        </w:rPr>
        <w:t>假设条件</w:t>
      </w:r>
      <w:r>
        <w:rPr>
          <w:rFonts w:ascii="Calibri" w:hAnsi="Calibri" w:eastAsia="Calibri"/>
          <w:sz w:val="21"/>
          <w:szCs w:val="21"/>
        </w:rPr>
        <w:t xml:space="preserve">	</w:t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</w:r>
      <w:r>
        <w:rPr>
          <w:rFonts w:ascii="Calibri" w:hAnsi="Calibri" w:eastAsia="Calibri"/>
          <w:sz w:val="21"/>
          <w:szCs w:val="21"/>
        </w:rPr>
        <w:t>6</w:t>
      </w:r>
      <w:r>
        <w:rPr>
          <w:rFonts w:ascii="Calibri" w:hAnsi="Calibri" w:eastAsia="Calibri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numPr>
          <w:ilvl w:val="0"/>
          <w:numId w:val="36"/>
        </w:numPr>
        <w:snapToGrid w:val="true"/>
        <w:spacing w:before="340" w:after="330" w:line="578" w:lineRule="auto"/>
        <w:ind w:hanging="425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项目名称</w:t>
      </w:r>
    </w:p>
    <w:p>
      <w:pPr>
        <w:spacing/>
        <w:ind w:firstLine="420"/>
        <w:jc w:val="both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去年的蛋糕</w:t>
      </w:r>
    </w:p>
    <w:p>
      <w:pPr>
        <w:numPr>
          <w:ilvl w:val="0"/>
          <w:numId w:val="36"/>
        </w:numPr>
        <w:snapToGrid w:val="true"/>
        <w:spacing w:before="340" w:after="330" w:line="578" w:lineRule="auto"/>
        <w:ind w:hanging="425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项目描述</w:t>
      </w:r>
    </w:p>
    <w:p>
      <w:pPr>
        <w:spacing/>
        <w:ind w:firstLine="420"/>
        <w:jc w:val="both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随着移动网络的成熟和移动终端的大量普及、智能化程度提高，</w:t>
      </w:r>
      <w:r>
        <w:rPr>
          <w:rFonts w:ascii="仿宋_GB2312" w:hAnsi="仿宋_GB2312" w:eastAsia="仿宋_GB2312"/>
          <w:sz w:val="28"/>
          <w:szCs w:val="28"/>
        </w:rPr>
        <w:t>移动端</w:t>
      </w:r>
      <w:r>
        <w:rPr>
          <w:rFonts w:ascii="仿宋_GB2312" w:hAnsi="仿宋_GB2312" w:eastAsia="仿宋_GB2312"/>
          <w:sz w:val="28"/>
          <w:szCs w:val="28"/>
        </w:rPr>
        <w:t>实现任何时间、任何地点</w:t>
      </w:r>
      <w:r>
        <w:rPr>
          <w:rFonts w:ascii="仿宋_GB2312" w:hAnsi="仿宋_GB2312" w:eastAsia="仿宋_GB2312"/>
          <w:sz w:val="28"/>
          <w:szCs w:val="28"/>
        </w:rPr>
        <w:t>网上购物</w:t>
      </w:r>
      <w:r>
        <w:rPr>
          <w:rFonts w:ascii="仿宋_GB2312" w:hAnsi="仿宋_GB2312" w:eastAsia="仿宋_GB2312"/>
          <w:sz w:val="28"/>
          <w:szCs w:val="28"/>
        </w:rPr>
        <w:t>逐渐成为一种趋势。</w:t>
      </w:r>
      <w:r>
        <w:rPr>
          <w:rFonts w:ascii="仿宋_GB2312" w:hAnsi="仿宋_GB2312" w:eastAsia="仿宋_GB2312"/>
          <w:sz w:val="28"/>
          <w:szCs w:val="28"/>
        </w:rPr>
        <w:t>而</w:t>
      </w:r>
      <w:r>
        <w:rPr>
          <w:rFonts w:ascii="&quot;Times New Roman&quot;" w:hAnsi="&quot;Times New Roman&quot;" w:eastAsia="&quot;Times New Roman&quot;"/>
          <w:sz w:val="28"/>
          <w:szCs w:val="28"/>
        </w:rPr>
        <w:t>全国各个城市市民（至少10万以上）每天有丰富的蛋糕采购需求，包括生日蛋糕，日常蛋糕甜品等</w:t>
      </w:r>
    </w:p>
    <w:p>
      <w:pPr>
        <w:spacing/>
        <w:ind w:firstLine="420"/>
        <w:jc w:val="both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但是因为地域，时间，不同年龄段的丰富需求等因素实体店购买蛋糕十分不便</w:t>
      </w:r>
      <w:r>
        <w:rPr>
          <w:rFonts w:ascii="仿宋_GB2312" w:hAnsi="仿宋_GB2312" w:eastAsia="仿宋_GB2312"/>
          <w:sz w:val="28"/>
          <w:szCs w:val="28"/>
        </w:rPr>
        <w:t>。帮助</w:t>
      </w:r>
      <w:r>
        <w:rPr>
          <w:rFonts w:ascii="仿宋_GB2312" w:hAnsi="仿宋_GB2312" w:eastAsia="仿宋_GB2312"/>
          <w:sz w:val="28"/>
          <w:szCs w:val="28"/>
        </w:rPr>
        <w:t>用户</w:t>
      </w:r>
      <w:r>
        <w:rPr>
          <w:rFonts w:ascii="仿宋_GB2312" w:hAnsi="仿宋_GB2312" w:eastAsia="仿宋_GB2312"/>
          <w:sz w:val="28"/>
          <w:szCs w:val="28"/>
        </w:rPr>
        <w:t>实现通过智能移动终端、通过无线网络来</w:t>
      </w:r>
      <w:r>
        <w:rPr>
          <w:rFonts w:ascii="仿宋_GB2312" w:hAnsi="仿宋_GB2312" w:eastAsia="仿宋_GB2312"/>
          <w:sz w:val="28"/>
          <w:szCs w:val="28"/>
        </w:rPr>
        <w:t>实现随时随地网上挑选、预订、定制、购买、配送蛋糕等功能</w:t>
      </w:r>
      <w:r>
        <w:rPr>
          <w:rFonts w:ascii="仿宋_GB2312" w:hAnsi="仿宋_GB2312" w:eastAsia="仿宋_GB2312"/>
          <w:sz w:val="28"/>
          <w:szCs w:val="28"/>
        </w:rPr>
        <w:t>是极其有价值和受欢迎的。</w:t>
      </w:r>
    </w:p>
    <w:p>
      <w:pPr>
        <w:spacing/>
        <w:ind w:firstLine="420"/>
        <w:jc w:val="both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本产品定位于：</w:t>
      </w:r>
      <w:r>
        <w:rPr>
          <w:rFonts w:ascii="仿宋_GB2312" w:hAnsi="仿宋_GB2312" w:eastAsia="仿宋_GB2312"/>
          <w:sz w:val="28"/>
          <w:szCs w:val="28"/>
        </w:rPr>
        <w:t>打造一款网上挑选、购买、定制、配送蛋糕一体化的手机app</w:t>
      </w:r>
      <w:r>
        <w:rPr>
          <w:rFonts w:ascii="仿宋_GB2312" w:hAnsi="仿宋_GB2312" w:eastAsia="仿宋_GB2312"/>
          <w:sz w:val="28"/>
          <w:szCs w:val="28"/>
        </w:rPr>
        <w:t>。此方案的优点是：</w:t>
      </w:r>
    </w:p>
    <w:p>
      <w:pPr>
        <w:numPr>
          <w:ilvl w:val="0"/>
          <w:numId w:val="33"/>
        </w:numPr>
        <w:spacing/>
        <w:ind w:left="840" w:hanging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蛋糕种类丰富，满足不同用户的丰富需求</w:t>
      </w:r>
    </w:p>
    <w:p>
      <w:pPr>
        <w:numPr>
          <w:ilvl w:val="0"/>
          <w:numId w:val="33"/>
        </w:numPr>
        <w:spacing/>
        <w:ind w:left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随时买随时定，节省时间，方便用户</w:t>
      </w:r>
    </w:p>
    <w:p>
      <w:pPr>
        <w:numPr>
          <w:ilvl w:val="0"/>
          <w:numId w:val="33"/>
        </w:numPr>
        <w:spacing/>
        <w:ind w:left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获悉最新优惠，让用户花最少的钱买最心仪的蛋糕</w:t>
      </w:r>
    </w:p>
    <w:p>
      <w:pPr>
        <w:numPr>
          <w:ilvl w:val="0"/>
          <w:numId w:val="33"/>
        </w:numPr>
        <w:spacing/>
        <w:ind w:left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商家也可扩展消费人群，提高销售量</w:t>
      </w:r>
    </w:p>
    <w:p>
      <w:pPr>
        <w:numPr>
          <w:ilvl w:val="0"/>
          <w:numId w:val="33"/>
        </w:numPr>
        <w:spacing/>
        <w:ind w:left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功能可模块化配置适应各类用户需求，并益于拓展</w:t>
      </w:r>
    </w:p>
    <w:p>
      <w:pPr>
        <w:numPr>
          <w:ilvl w:val="0"/>
          <w:numId w:val="33"/>
        </w:numPr>
        <w:spacing/>
        <w:ind w:left="840" w:hanging="420"/>
        <w:jc w:val="both"/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</w:pPr>
      <w:r>
        <w:rPr>
          <w:rFonts w:hint="eastAsia"/>
        </w:rPr>
      </w:r>
      <w:r>
        <w:rPr>
          <w:rFonts w:ascii="SimSun,&quot;Songti SC&quot;,宋体,sans-serif" w:hAnsi="SimSun,&quot;Songti SC&quot;,宋体,sans-serif" w:eastAsia="SimSun,&quot;Songti SC&quot;,宋体,sans-serif"/>
          <w:sz w:val="28"/>
          <w:szCs w:val="28"/>
        </w:rPr>
        <w:t>现有竞争对手较少，所定位的用户数量高，需求多，市场机会大前景好；</w:t>
      </w:r>
    </w:p>
    <w:p>
      <w:p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3. </w:t>
      </w:r>
      <w:r>
        <w:rPr>
          <w:rFonts w:ascii="宋体" w:hAnsi="宋体" w:eastAsia="宋体"/>
          <w:b w:val="true"/>
          <w:bCs w:val="true"/>
        </w:rPr>
        <w:t>项目主要过程及可交付成果</w:t>
      </w:r>
    </w:p>
    <w:tbl>
      <w:tblPr>
        <w:tblStyle w:val="a7"/>
        <w:tblW w:w="0" w:type="auto"/>
        <w:tblInd w:w="1410"/>
        <w:tblLook w:firstRow="1" w:lastRow="0" w:firstColumn="1" w:lastColumn="0" w:noHBand="0" w:noVBand="1" w:val="04A0"/>
      </w:tblPr>
      <w:tblGrid>
        <w:gridCol w:w="1095"/>
        <w:gridCol w:w="1590"/>
        <w:gridCol w:w="1650"/>
        <w:gridCol w:w="1410"/>
        <w:gridCol w:w="2115"/>
      </w:tblGrid>
      <w:tr>
        <w:trPr>
          <w:trHeight w:val="420" w:hRule="atLeast"/>
        </w:trPr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阶段（里程碑）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子阶段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开始日期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截止日期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可交付成果</w:t>
            </w:r>
          </w:p>
        </w:tc>
      </w:tr>
      <w:tr>
        <w:trPr>
          <w:trHeight w:val="420" w:hRule="atLeast"/>
        </w:trPr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预启动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识别项目机会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2020年2月26日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2020年3月1日</w:t>
            </w:r>
          </w:p>
        </w:tc>
        <w:tc>
          <w:tcPr>
            <w:tcW w:w="18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问题描述、产品愿景、用户分析、技术分析、资源需求估计、风险分析、产品构思、墨刀原型</w:t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寻找解决方案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2020年3月3日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商业分析报告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2020年3月4日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2020年3月4日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评估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2020年3月5日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2020年3月5日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缓冲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2020年3月5日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2020年3月5日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启动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干系人分析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2020年3月6日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2020年3月6日</w:t>
            </w:r>
          </w:p>
        </w:tc>
        <w:tc>
          <w:tcPr>
            <w:tcW w:w="18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项目章程、干系人登记册、里程碑进度及计划、核心团队说明</w:t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项目章程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2020年3月6日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2020年3月6日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启动会议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2020年3月7日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2020年3月7日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规划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收集需求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2020年3月8日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2020年3月9日</w:t>
            </w:r>
          </w:p>
        </w:tc>
        <w:tc>
          <w:tcPr>
            <w:tcW w:w="18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需求说明书、范围说明书、设计文档、进度计划、预算、测试计划、测试用例、风险登记册、项目总规划（团队成员计划、沟通计划）</w:t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定义项目范围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2020年3月8日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2020年3月9日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制定进度计划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2020年3月8日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2020年3月9日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制定成本、质量计划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2020年3月10日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2020年3月11日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人力资源计划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2020年3月12日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2020年3月13日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沟通计划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2020年3月14日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2020年3月15日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风险管理计划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2020年3月16日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2020年3月17日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培训计划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2020年3月18日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2020年3月19日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缓冲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2020年3月20日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2020年3月25日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开发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组建团队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2020年3月26日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2020年3月28日</w:t>
            </w:r>
          </w:p>
        </w:tc>
        <w:tc>
          <w:tcPr>
            <w:tcW w:w="18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每日编译、源码、变更请求、可运行产品、测试报告</w:t>
            </w:r>
          </w:p>
        </w:tc>
      </w:tr>
      <w:tr>
        <w:trPr>
          <w:trHeight w:val="420" w:hRule="atLeast"/>
        </w:trPr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培训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2020年3月29日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2020年3月31日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编码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2020年4月17日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2020年5月25日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/>
        <w:tc>
          <w:tcPr>
            <w:tcW w:w="10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测试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2020年5月27日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2020年5月29日</w:t>
            </w:r>
          </w:p>
        </w:tc>
        <w:tc>
          <w:tcPr>
            <w:tcW w:w="18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稳定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2020年6月1日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18"/>
                <w:szCs w:val="18"/>
              </w:rPr>
              <w:t>2020年6月5日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'Times New Roman'" w:hAnsi="'Times New Roman'" w:eastAsia="'Times New Roman'"/>
                <w:color w:val="000000"/>
                <w:spacing w:val="0"/>
                <w:sz w:val="21"/>
                <w:szCs w:val="21"/>
              </w:rPr>
              <w:t>变更请求、用户手册、部署手册</w:t>
            </w:r>
          </w:p>
        </w:tc>
      </w:tr>
    </w:tbl>
    <w:p>
      <w:pPr>
        <w:snapToGrid w:val="true"/>
        <w:spacing/>
        <w:ind w:hanging="425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4. </w:t>
      </w:r>
      <w:r>
        <w:rPr>
          <w:rFonts w:ascii="宋体" w:hAnsi="宋体" w:eastAsia="宋体"/>
          <w:b w:val="true"/>
          <w:bCs w:val="true"/>
        </w:rPr>
        <w:t>制约因素</w:t>
      </w:r>
    </w:p>
    <w:p>
      <w:pPr>
        <w:numPr>
          <w:ilvl w:val="0"/>
          <w:numId w:val="34"/>
        </w:numPr>
        <w:spacing w:line="360" w:lineRule="auto"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  <w:t>购买产品的支付方式需要使用第三方支持</w:t>
      </w:r>
    </w:p>
    <w:p>
      <w:pPr>
        <w:snapToGrid w:val="true"/>
        <w:spacing w:before="340" w:after="330" w:line="578" w:lineRule="auto"/>
        <w:ind w:leftChars="0" w:hanging="425"/>
        <w:jc w:val="both"/>
        <w:rPr>
          <w:rFonts w:ascii="宋体" w:hAnsi="宋体" w:eastAsia="宋体"/>
        </w:rPr>
      </w:pPr>
      <w:r>
        <w:rPr>
          <w:rFonts w:ascii="宋体" w:hAnsi="宋体" w:eastAsia="宋体"/>
          <w:b w:val="true"/>
          <w:bCs w:val="true"/>
        </w:rPr>
        <w:t xml:space="preserve">5.  </w:t>
      </w:r>
      <w:r>
        <w:rPr>
          <w:rFonts w:ascii="宋体" w:hAnsi="宋体" w:eastAsia="宋体"/>
          <w:b w:val="true"/>
          <w:bCs w:val="true"/>
        </w:rPr>
        <w:t>假设条件</w:t>
      </w:r>
    </w:p>
    <w:p>
      <w:pPr>
        <w:numPr>
          <w:ilvl w:val="0"/>
          <w:numId w:val="35"/>
        </w:numPr>
        <w:spacing w:line="360" w:lineRule="auto"/>
        <w:ind w:hanging="425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本产品定位的客户已经在使用</w:t>
      </w: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去年的蛋糕-蛋糕订购app</w:t>
      </w: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并且有</w:t>
      </w: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购买蛋糕的</w:t>
      </w:r>
      <w:r>
        <w:rPr>
          <w:rFonts w:hint="eastAsia"/>
        </w:rPr>
      </w:r>
      <w:r>
        <w:rPr>
          <w:rFonts w:ascii="仿宋" w:hAnsi="仿宋" w:eastAsia="仿宋"/>
          <w:sz w:val="28"/>
          <w:szCs w:val="28"/>
        </w:rPr>
        <w:t>需求；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