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Aptos Display" w:hAnsi="Aptos Display"/>
          <w:b/>
          <w:color w:val="10233F"/>
          <w:sz w:val="76"/>
        </w:rPr>
        <w:t>VERITA</w:t>
      </w:r>
    </w:p>
    <w:p>
      <w:pPr>
        <w:jc w:val="center"/>
      </w:pPr>
      <w:r>
        <w:rPr>
          <w:b/>
          <w:color w:val="41B9BB"/>
          <w:sz w:val="44"/>
        </w:rPr>
        <w:t>Architecture Board Report</w:t>
      </w:r>
    </w:p>
    <w:p>
      <w:pPr>
        <w:spacing w:after="120"/>
        <w:jc w:val="center"/>
      </w:pPr>
      <w:r>
        <w:t>Customer Onboarding and KYC Modernization</w:t>
      </w:r>
    </w:p>
    <w:p>
      <w:pPr>
        <w:spacing w:after="120"/>
        <w:jc w:val="center"/>
      </w:pPr>
      <w:r>
        <w:t>Beauxbatons Energy Retail</w:t>
      </w:r>
    </w:p>
    <w:p>
      <w:pPr>
        <w:spacing w:after="120"/>
        <w:jc w:val="center"/>
      </w:pPr>
      <w:r>
        <w:t>France and Australia</w:t>
      </w:r>
    </w:p>
    <w:p>
      <w:pPr>
        <w:spacing w:after="120"/>
        <w:jc w:val="center"/>
      </w:pPr>
    </w:p>
    <w:p>
      <w:pPr>
        <w:spacing w:after="120"/>
        <w:jc w:val="center"/>
      </w:pPr>
      <w:r>
        <w:t>Prepared for the Architecture Board, CDIO, CTO and CISO</w:t>
      </w:r>
    </w:p>
    <w:p>
      <w:pPr>
        <w:spacing w:after="120"/>
        <w:jc w:val="center"/>
      </w:pPr>
      <w:r>
        <w:t>Version 1.0 | 1 June 2026</w:t>
      </w:r>
    </w:p>
    <w:p>
      <w:r>
        <w:br w:type="page"/>
      </w:r>
    </w:p>
    <w:p>
      <w:pPr>
        <w:pStyle w:val="Heading1"/>
        <w:pBdr>
          <w:bottom w:val="single" w:sz="6" w:space="1" w:color="41B9BB"/>
        </w:pBdr>
      </w:pPr>
      <w:r>
        <w:t>Executive Summary</w:t>
      </w:r>
    </w:p>
    <w:p>
      <w:r>
        <w:t>Beauxbatons currently operates five disconnected customer onboarding applications across France and Australia. The process depends on manual activities, spreadsheets and fragmented data stores. This increases onboarding time, weakens cybersecurity controls, complicates regulatory compliance and creates avoidable operating costs.</w:t>
      </w:r>
    </w:p>
    <w:p>
      <w:r>
        <w:t xml:space="preserve">This report proposes </w:t>
      </w:r>
      <w:r>
        <w:rPr>
          <w:b/>
        </w:rPr>
        <w:t>Verita</w:t>
      </w:r>
      <w:r>
        <w:t>, a unified cloud-native onboarding and KYC platform. Verita provides one controlled workflow for customer intake, evidence handling, compliance validation, human review and service activation. It integrates:</w:t>
      </w:r>
    </w:p>
    <w:p>
      <w:pPr>
        <w:pStyle w:val="ListBullet"/>
      </w:pPr>
      <w:r>
        <w:rPr>
          <w:b/>
        </w:rPr>
        <w:t>Cerberus</w:t>
      </w:r>
      <w:r>
        <w:t>, the Okta-based identity guardian using SAML 2.0;</w:t>
      </w:r>
    </w:p>
    <w:p>
      <w:pPr>
        <w:pStyle w:val="ListBullet"/>
      </w:pPr>
      <w:r>
        <w:rPr>
          <w:b/>
        </w:rPr>
        <w:t>Patronum</w:t>
      </w:r>
      <w:r>
        <w:t>, the existing AI capability extended to support explainable KYC and compliance checks;</w:t>
      </w:r>
    </w:p>
    <w:p>
      <w:pPr>
        <w:pStyle w:val="ListBullet"/>
      </w:pPr>
      <w:r>
        <w:t>Azure-managed platform services for secure, observable and scalable operations;</w:t>
      </w:r>
    </w:p>
    <w:p>
      <w:pPr>
        <w:pStyle w:val="ListBullet"/>
      </w:pPr>
      <w:r>
        <w:t>a governed golden customer record for France and Australia.</w:t>
      </w:r>
    </w:p>
    <w:p>
      <w:r>
        <w:t xml:space="preserve">The target design supports approximately </w:t>
      </w:r>
      <w:r>
        <w:rPr>
          <w:b/>
        </w:rPr>
        <w:t>150,000 onboarding cases per year</w:t>
      </w:r>
      <w:r>
        <w:t>. Standard low-risk cases are processed automatically. Sensitive cases are routed to compliance teams through a human-in-the-loop review queue. Patronum provides decision support, but does not autonomously make irreversible high-risk compliance decisions.</w:t>
      </w:r>
    </w:p>
    <w:p>
      <w:r>
        <w:t>The working software prototype delivered with this report demonstrates the core design. It includes a responsive user interface, a REST API, persistent data storage, simulated Cerberus login, explainable Patronum risk assessment, manual review, governance views and hash-chained audit evidence.</w:t>
      </w:r>
    </w:p>
    <w:p>
      <w:r>
        <w:t xml:space="preserve">The recommended program duration is </w:t>
      </w:r>
      <w:r>
        <w:rPr>
          <w:b/>
        </w:rPr>
        <w:t>15 months</w:t>
      </w:r>
      <w:r>
        <w:t xml:space="preserve">. Indicative implementation investment is </w:t>
      </w:r>
      <w:r>
        <w:rPr>
          <w:b/>
        </w:rPr>
        <w:t>EUR 2.35 million</w:t>
      </w:r>
      <w:r>
        <w:t xml:space="preserve">, with steady-state annual benefits of </w:t>
      </w:r>
      <w:r>
        <w:rPr>
          <w:b/>
        </w:rPr>
        <w:t>EUR 1.63 million</w:t>
      </w:r>
      <w:r>
        <w:t xml:space="preserve"> and annual recurring costs of </w:t>
      </w:r>
      <w:r>
        <w:rPr>
          <w:b/>
        </w:rPr>
        <w:t>EUR 620,000</w:t>
      </w:r>
      <w:r>
        <w:t xml:space="preserve">. The estimated steady-state net benefit is </w:t>
      </w:r>
      <w:r>
        <w:rPr>
          <w:b/>
        </w:rPr>
        <w:t>EUR 1.01 million per year</w:t>
      </w:r>
      <w:r>
        <w:t xml:space="preserve">, producing a payback period of approximately </w:t>
      </w:r>
      <w:r>
        <w:rPr>
          <w:b/>
        </w:rPr>
        <w:t>2.3 years</w:t>
      </w:r>
      <w:r>
        <w:t xml:space="preserve"> after rollout.</w:t>
      </w:r>
    </w:p>
    <w:p>
      <w:pPr>
        <w:pBdr>
          <w:bottom w:val="single" w:sz="6" w:space="1" w:color="41B9BB"/>
        </w:pBdr>
      </w:pPr>
    </w:p>
    <w:p>
      <w:pPr>
        <w:pStyle w:val="Heading1"/>
        <w:pBdr>
          <w:bottom w:val="single" w:sz="6" w:space="1" w:color="41B9BB"/>
        </w:pBdr>
      </w:pPr>
      <w:r>
        <w:t>1. Decision Requested</w:t>
      </w:r>
    </w:p>
    <w:p>
      <w:r>
        <w:t>The Architecture Board is requested to:</w:t>
      </w:r>
    </w:p>
    <w:p>
      <w:pPr>
        <w:pStyle w:val="ListNumber"/>
      </w:pPr>
      <w:r>
        <w:t>Approve Verita as the strategic onboarding and KYC platform for France and Australia.</w:t>
      </w:r>
    </w:p>
    <w:p>
      <w:pPr>
        <w:pStyle w:val="ListNumber"/>
      </w:pPr>
      <w:r>
        <w:t>Approve the Azure cloud-native target architecture and security principles.</w:t>
      </w:r>
    </w:p>
    <w:p>
      <w:pPr>
        <w:pStyle w:val="ListNumber"/>
      </w:pPr>
      <w:r>
        <w:t>Approve the controlled use of Patronum for explainable KYC decision support.</w:t>
      </w:r>
    </w:p>
    <w:p>
      <w:pPr>
        <w:pStyle w:val="ListNumber"/>
      </w:pPr>
      <w:r>
        <w:t>Approve the phased migration and retirement of the five legacy applications.</w:t>
      </w:r>
    </w:p>
    <w:p>
      <w:pPr>
        <w:pStyle w:val="ListNumber"/>
      </w:pPr>
      <w:r>
        <w:t>Authorize a 15-month delivery program with formal stage gates after pilot, migration rehearsal and production rollout.</w:t>
      </w:r>
    </w:p>
    <w:p>
      <w:pPr>
        <w:pBdr>
          <w:bottom w:val="single" w:sz="6" w:space="1" w:color="41B9BB"/>
        </w:pBdr>
      </w:pPr>
    </w:p>
    <w:p>
      <w:pPr>
        <w:pStyle w:val="Heading1"/>
        <w:pBdr>
          <w:bottom w:val="single" w:sz="6" w:space="1" w:color="41B9BB"/>
        </w:pBdr>
      </w:pPr>
      <w:r>
        <w:t>2. Context and Assumptions</w:t>
      </w:r>
    </w:p>
    <w:p>
      <w:pPr>
        <w:pStyle w:val="Heading2"/>
      </w:pPr>
      <w:r>
        <w:t>2.1 Business Context</w:t>
      </w:r>
    </w:p>
    <w:p>
      <w:r>
        <w:t>The current environment is maintained by multiple teams and includes five independent applications, spreadsheets and manual activities. It no longer scales effectively and does not provide an authoritative customer record. The organization requires a modern platform that reduces total cost of ownership, increases collaboration, strengthens governance and creates a more trustworthy customer experience.</w:t>
      </w:r>
    </w:p>
    <w:p>
      <w:pPr>
        <w:pStyle w:val="Heading2"/>
      </w:pPr>
      <w:r>
        <w:t>2.2 Key Assumptions</w:t>
      </w:r>
    </w:p>
    <w:p>
      <w:r>
        <w:t>Where the source brief does not provide a value, this report records an explicit assumption:</w:t>
      </w:r>
    </w:p>
    <w:tbl>
      <w:tblPr>
        <w:tblStyle w:val="TableGrid"/>
        <w:tblW w:type="auto" w:w="0"/>
        <w:tblLook w:firstColumn="1" w:firstRow="1" w:lastColumn="0" w:lastRow="0" w:noHBand="0" w:noVBand="1" w:val="04A0"/>
      </w:tblPr>
      <w:tblGrid>
        <w:gridCol w:w="5083"/>
        <w:gridCol w:w="5083"/>
      </w:tblGrid>
      <w:tr>
        <w:tc>
          <w:tcPr>
            <w:tcW w:type="dxa" w:w="5083"/>
            <w:shd w:fill="173A65"/>
          </w:tcPr>
          <w:p>
            <w:r/>
            <w:r>
              <w:rPr>
                <w:b/>
                <w:color w:val="FFFFFF"/>
                <w:sz w:val="17"/>
              </w:rPr>
              <w:t>Area</w:t>
            </w:r>
          </w:p>
        </w:tc>
        <w:tc>
          <w:tcPr>
            <w:tcW w:type="dxa" w:w="5083"/>
            <w:shd w:fill="173A65"/>
          </w:tcPr>
          <w:p>
            <w:r/>
            <w:r>
              <w:rPr>
                <w:b/>
                <w:color w:val="FFFFFF"/>
                <w:sz w:val="17"/>
              </w:rPr>
              <w:t>Assumption</w:t>
            </w:r>
          </w:p>
        </w:tc>
      </w:tr>
      <w:tr>
        <w:tc>
          <w:tcPr>
            <w:tcW w:type="dxa" w:w="5083"/>
            <w:shd w:fill="F4F8FB"/>
          </w:tcPr>
          <w:p>
            <w:r/>
            <w:r>
              <w:rPr>
                <w:b w:val="0"/>
                <w:sz w:val="17"/>
              </w:rPr>
              <w:t>Naming</w:t>
            </w:r>
          </w:p>
        </w:tc>
        <w:tc>
          <w:tcPr>
            <w:tcW w:type="dxa" w:w="5083"/>
            <w:shd w:fill="F4F8FB"/>
          </w:tcPr>
          <w:p>
            <w:r/>
            <w:r>
              <w:rPr>
                <w:b w:val="0"/>
                <w:sz w:val="17"/>
              </w:rPr>
              <w:t>The brief refers once to a landscape centered on “Aquila”. This report treats that as a naming inconsistency and uses Verita consistently as the target onboarding platform.</w:t>
            </w:r>
          </w:p>
        </w:tc>
      </w:tr>
      <w:tr>
        <w:tc>
          <w:tcPr>
            <w:tcW w:type="dxa" w:w="5083"/>
          </w:tcPr>
          <w:p>
            <w:r/>
            <w:r>
              <w:rPr>
                <w:b w:val="0"/>
                <w:sz w:val="17"/>
              </w:rPr>
              <w:t>Volume</w:t>
            </w:r>
          </w:p>
        </w:tc>
        <w:tc>
          <w:tcPr>
            <w:tcW w:type="dxa" w:w="5083"/>
          </w:tcPr>
          <w:p>
            <w:r/>
            <w:r>
              <w:rPr>
                <w:b w:val="0"/>
                <w:sz w:val="17"/>
              </w:rPr>
              <w:t>150,000 cases per year corresponds to approximately 12,500 cases per month and an average of 411 cases per day. The platform is sized for peaks of 10 times the daily average.</w:t>
            </w:r>
          </w:p>
        </w:tc>
      </w:tr>
      <w:tr>
        <w:tc>
          <w:tcPr>
            <w:tcW w:type="dxa" w:w="5083"/>
            <w:shd w:fill="F4F8FB"/>
          </w:tcPr>
          <w:p>
            <w:r/>
            <w:r>
              <w:rPr>
                <w:b w:val="0"/>
                <w:sz w:val="17"/>
              </w:rPr>
              <w:t>Availability</w:t>
            </w:r>
          </w:p>
        </w:tc>
        <w:tc>
          <w:tcPr>
            <w:tcW w:type="dxa" w:w="5083"/>
            <w:shd w:fill="F4F8FB"/>
          </w:tcPr>
          <w:p>
            <w:r/>
            <w:r>
              <w:rPr>
                <w:b w:val="0"/>
                <w:sz w:val="17"/>
              </w:rPr>
              <w:t>Customer onboarding is important but does not require active-active global operation. A 99.9% monthly availability target is proportionate for the initial release.</w:t>
            </w:r>
          </w:p>
        </w:tc>
      </w:tr>
      <w:tr>
        <w:tc>
          <w:tcPr>
            <w:tcW w:type="dxa" w:w="5083"/>
          </w:tcPr>
          <w:p>
            <w:r/>
            <w:r>
              <w:rPr>
                <w:b w:val="0"/>
                <w:sz w:val="17"/>
              </w:rPr>
              <w:t>Cerberus</w:t>
            </w:r>
          </w:p>
        </w:tc>
        <w:tc>
          <w:tcPr>
            <w:tcW w:type="dxa" w:w="5083"/>
          </w:tcPr>
          <w:p>
            <w:r/>
            <w:r>
              <w:rPr>
                <w:b w:val="0"/>
                <w:sz w:val="17"/>
              </w:rPr>
              <w:t>Cerberus is an existing Okta instance capable of SAML 2.0 federation, role mapping and multi-factor authentication.</w:t>
            </w:r>
          </w:p>
        </w:tc>
      </w:tr>
      <w:tr>
        <w:tc>
          <w:tcPr>
            <w:tcW w:type="dxa" w:w="5083"/>
            <w:shd w:fill="F4F8FB"/>
          </w:tcPr>
          <w:p>
            <w:r/>
            <w:r>
              <w:rPr>
                <w:b w:val="0"/>
                <w:sz w:val="17"/>
              </w:rPr>
              <w:t>Patronum</w:t>
            </w:r>
          </w:p>
        </w:tc>
        <w:tc>
          <w:tcPr>
            <w:tcW w:type="dxa" w:w="5083"/>
            <w:shd w:fill="F4F8FB"/>
          </w:tcPr>
          <w:p>
            <w:r/>
            <w:r>
              <w:rPr>
                <w:b w:val="0"/>
                <w:sz w:val="17"/>
              </w:rPr>
              <w:t>Patronum is an existing AI service. Its internal implementation is outside this project scope, but its integration contract, governance and control model are in scope.</w:t>
            </w:r>
          </w:p>
        </w:tc>
      </w:tr>
      <w:tr>
        <w:tc>
          <w:tcPr>
            <w:tcW w:type="dxa" w:w="5083"/>
          </w:tcPr>
          <w:p>
            <w:r/>
            <w:r>
              <w:rPr>
                <w:b w:val="0"/>
                <w:sz w:val="17"/>
              </w:rPr>
              <w:t>Regulatory controls</w:t>
            </w:r>
          </w:p>
        </w:tc>
        <w:tc>
          <w:tcPr>
            <w:tcW w:type="dxa" w:w="5083"/>
          </w:tcPr>
          <w:p>
            <w:r/>
            <w:r>
              <w:rPr>
                <w:b w:val="0"/>
                <w:sz w:val="17"/>
              </w:rPr>
              <w:t>France requires GDPR-aligned privacy controls. Australia requires Privacy Act-aligned controls. Retention rules are approved by Legal and Compliance before go-live.</w:t>
            </w:r>
          </w:p>
        </w:tc>
      </w:tr>
      <w:tr>
        <w:tc>
          <w:tcPr>
            <w:tcW w:type="dxa" w:w="5083"/>
            <w:shd w:fill="F4F8FB"/>
          </w:tcPr>
          <w:p>
            <w:r/>
            <w:r>
              <w:rPr>
                <w:b w:val="0"/>
                <w:sz w:val="17"/>
              </w:rPr>
              <w:t>Legacy ownership</w:t>
            </w:r>
          </w:p>
        </w:tc>
        <w:tc>
          <w:tcPr>
            <w:tcW w:type="dxa" w:w="5083"/>
            <w:shd w:fill="F4F8FB"/>
          </w:tcPr>
          <w:p>
            <w:r/>
            <w:r>
              <w:rPr>
                <w:b w:val="0"/>
                <w:sz w:val="17"/>
              </w:rPr>
              <w:t>Nick remains accountable for the legacy perimeter during transition and becomes a subject-matter expert for migration and retirement activities.</w:t>
            </w:r>
          </w:p>
        </w:tc>
      </w:tr>
      <w:tr>
        <w:tc>
          <w:tcPr>
            <w:tcW w:type="dxa" w:w="5083"/>
          </w:tcPr>
          <w:p>
            <w:r/>
            <w:r>
              <w:rPr>
                <w:b w:val="0"/>
                <w:sz w:val="17"/>
              </w:rPr>
              <w:t>Currency</w:t>
            </w:r>
          </w:p>
        </w:tc>
        <w:tc>
          <w:tcPr>
            <w:tcW w:type="dxa" w:w="5083"/>
          </w:tcPr>
          <w:p>
            <w:r/>
            <w:r>
              <w:rPr>
                <w:b w:val="0"/>
                <w:sz w:val="17"/>
              </w:rPr>
              <w:t>Budget values are indicative and expressed in EUR excluding tax.</w:t>
            </w:r>
          </w:p>
        </w:tc>
      </w:tr>
    </w:tbl>
    <w:p/>
    <w:p>
      <w:pPr>
        <w:pBdr>
          <w:bottom w:val="single" w:sz="6" w:space="1" w:color="41B9BB"/>
        </w:pBdr>
      </w:pPr>
    </w:p>
    <w:p>
      <w:pPr>
        <w:pStyle w:val="Heading1"/>
        <w:pBdr>
          <w:bottom w:val="single" w:sz="6" w:space="1" w:color="41B9BB"/>
        </w:pBdr>
      </w:pPr>
      <w:r>
        <w:t>3. Architecture Principles</w:t>
      </w:r>
    </w:p>
    <w:p>
      <w:r>
        <w:t>The proposal is guided by the following principles:</w:t>
      </w:r>
    </w:p>
    <w:p>
      <w:pPr>
        <w:pStyle w:val="ListNumber"/>
      </w:pPr>
      <w:r>
        <w:rPr>
          <w:b/>
        </w:rPr>
        <w:t>One onboarding capability:</w:t>
      </w:r>
      <w:r>
        <w:t xml:space="preserve"> France and Australia use one core product with configurable country rules.</w:t>
      </w:r>
    </w:p>
    <w:p>
      <w:pPr>
        <w:pStyle w:val="ListNumber"/>
      </w:pPr>
      <w:r>
        <w:rPr>
          <w:b/>
        </w:rPr>
        <w:t>API-first and event-driven:</w:t>
      </w:r>
      <w:r>
        <w:t xml:space="preserve"> Business capabilities communicate through versioned APIs and events rather than direct database coupling.</w:t>
      </w:r>
    </w:p>
    <w:p>
      <w:pPr>
        <w:pStyle w:val="ListNumber"/>
      </w:pPr>
      <w:r>
        <w:rPr>
          <w:b/>
        </w:rPr>
        <w:t>Zero Trust:</w:t>
      </w:r>
      <w:r>
        <w:t xml:space="preserve"> Every access request is authenticated, authorized, logged and continuously assessed.</w:t>
      </w:r>
    </w:p>
    <w:p>
      <w:pPr>
        <w:pStyle w:val="ListNumber"/>
      </w:pPr>
      <w:r>
        <w:rPr>
          <w:b/>
        </w:rPr>
        <w:t>Human accountability:</w:t>
      </w:r>
      <w:r>
        <w:t xml:space="preserve"> AI supports compliance decisions but does not replace accountable human judgment in sensitive cases.</w:t>
      </w:r>
    </w:p>
    <w:p>
      <w:pPr>
        <w:pStyle w:val="ListNumber"/>
      </w:pPr>
      <w:r>
        <w:rPr>
          <w:b/>
        </w:rPr>
        <w:t>Golden customer record:</w:t>
      </w:r>
      <w:r>
        <w:t xml:space="preserve"> Customer data is governed, traceable and reconciled across the lifecycle.</w:t>
      </w:r>
    </w:p>
    <w:p>
      <w:pPr>
        <w:pStyle w:val="ListNumber"/>
      </w:pPr>
      <w:r>
        <w:rPr>
          <w:b/>
        </w:rPr>
        <w:t>Cloud-native elasticity:</w:t>
      </w:r>
      <w:r>
        <w:t xml:space="preserve"> Components scale independently and consume resources only when required.</w:t>
      </w:r>
    </w:p>
    <w:p>
      <w:pPr>
        <w:pStyle w:val="ListNumber"/>
      </w:pPr>
      <w:r>
        <w:rPr>
          <w:b/>
        </w:rPr>
        <w:t>Evidence by design:</w:t>
      </w:r>
      <w:r>
        <w:t xml:space="preserve"> Auditability, explainability and regulatory evidence are designed into the platform.</w:t>
      </w:r>
    </w:p>
    <w:p>
      <w:pPr>
        <w:pStyle w:val="ListNumber"/>
      </w:pPr>
      <w:r>
        <w:rPr>
          <w:b/>
        </w:rPr>
        <w:t>Progressive retirement:</w:t>
      </w:r>
      <w:r>
        <w:t xml:space="preserve"> Legacy systems are decommissioned only after migration, reconciliation and operational readiness are proven.</w:t>
      </w:r>
    </w:p>
    <w:p>
      <w:pPr>
        <w:pBdr>
          <w:bottom w:val="single" w:sz="6" w:space="1" w:color="41B9BB"/>
        </w:pBdr>
      </w:pPr>
    </w:p>
    <w:p>
      <w:pPr>
        <w:pStyle w:val="Heading1"/>
        <w:pBdr>
          <w:bottom w:val="single" w:sz="6" w:space="1" w:color="41B9BB"/>
        </w:pBdr>
      </w:pPr>
      <w:r>
        <w:t>4. Business Architecture</w:t>
      </w:r>
    </w:p>
    <w:p>
      <w:pPr>
        <w:pStyle w:val="Heading2"/>
      </w:pPr>
      <w:r>
        <w:t>4.1 As-Is Process</w:t>
      </w:r>
    </w:p>
    <w:p>
      <w:r>
        <w:t>The existing onboarding process is fragmented across five applications and manual spreadsheets. Similar work is repeated by different teams. Data is re-entered, ownership is unclear and audit evidence is difficult to assemble.</w:t>
      </w:r>
    </w:p>
    <w:p>
      <w:pPr>
        <w:pStyle w:val="Heading3"/>
      </w:pPr>
      <w:r>
        <w:t>As-Is SIPOC</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shd w:fill="173A65"/>
          </w:tcPr>
          <w:p>
            <w:r/>
            <w:r>
              <w:rPr>
                <w:b/>
                <w:color w:val="FFFFFF"/>
                <w:sz w:val="17"/>
              </w:rPr>
              <w:t>Suppliers</w:t>
            </w:r>
          </w:p>
        </w:tc>
        <w:tc>
          <w:tcPr>
            <w:tcW w:type="dxa" w:w="2033"/>
            <w:shd w:fill="173A65"/>
          </w:tcPr>
          <w:p>
            <w:r/>
            <w:r>
              <w:rPr>
                <w:b/>
                <w:color w:val="FFFFFF"/>
                <w:sz w:val="17"/>
              </w:rPr>
              <w:t>Inputs</w:t>
            </w:r>
          </w:p>
        </w:tc>
        <w:tc>
          <w:tcPr>
            <w:tcW w:type="dxa" w:w="2033"/>
            <w:shd w:fill="173A65"/>
          </w:tcPr>
          <w:p>
            <w:r/>
            <w:r>
              <w:rPr>
                <w:b/>
                <w:color w:val="FFFFFF"/>
                <w:sz w:val="17"/>
              </w:rPr>
              <w:t>Process</w:t>
            </w:r>
          </w:p>
        </w:tc>
        <w:tc>
          <w:tcPr>
            <w:tcW w:type="dxa" w:w="2033"/>
            <w:shd w:fill="173A65"/>
          </w:tcPr>
          <w:p>
            <w:r/>
            <w:r>
              <w:rPr>
                <w:b/>
                <w:color w:val="FFFFFF"/>
                <w:sz w:val="17"/>
              </w:rPr>
              <w:t>Outputs</w:t>
            </w:r>
          </w:p>
        </w:tc>
        <w:tc>
          <w:tcPr>
            <w:tcW w:type="dxa" w:w="2033"/>
            <w:shd w:fill="173A65"/>
          </w:tcPr>
          <w:p>
            <w:r/>
            <w:r>
              <w:rPr>
                <w:b/>
                <w:color w:val="FFFFFF"/>
                <w:sz w:val="17"/>
              </w:rPr>
              <w:t>Customers</w:t>
            </w:r>
          </w:p>
        </w:tc>
      </w:tr>
      <w:tr>
        <w:tc>
          <w:tcPr>
            <w:tcW w:type="dxa" w:w="2033"/>
            <w:shd w:fill="F4F8FB"/>
          </w:tcPr>
          <w:p>
            <w:r/>
            <w:r>
              <w:rPr>
                <w:b w:val="0"/>
                <w:sz w:val="17"/>
              </w:rPr>
              <w:t>Customer, sales teams, country operations, legacy administrators</w:t>
            </w:r>
          </w:p>
        </w:tc>
        <w:tc>
          <w:tcPr>
            <w:tcW w:type="dxa" w:w="2033"/>
            <w:shd w:fill="F4F8FB"/>
          </w:tcPr>
          <w:p>
            <w:r/>
            <w:r>
              <w:rPr>
                <w:b w:val="0"/>
                <w:sz w:val="17"/>
              </w:rPr>
              <w:t>Customer details, identity documents, address evidence, contract information</w:t>
            </w:r>
          </w:p>
        </w:tc>
        <w:tc>
          <w:tcPr>
            <w:tcW w:type="dxa" w:w="2033"/>
            <w:shd w:fill="F4F8FB"/>
          </w:tcPr>
          <w:p>
            <w:r/>
            <w:r>
              <w:rPr>
                <w:b w:val="0"/>
                <w:sz w:val="17"/>
              </w:rPr>
              <w:t>Manual intake, repeated entry, spreadsheet tracking, fragmented KYC checks, email-based clarification, manual activation</w:t>
            </w:r>
          </w:p>
        </w:tc>
        <w:tc>
          <w:tcPr>
            <w:tcW w:type="dxa" w:w="2033"/>
            <w:shd w:fill="F4F8FB"/>
          </w:tcPr>
          <w:p>
            <w:r/>
            <w:r>
              <w:rPr>
                <w:b w:val="0"/>
                <w:sz w:val="17"/>
              </w:rPr>
              <w:t>Inconsistent customer records, delayed activation, dispersed compliance evidence</w:t>
            </w:r>
          </w:p>
        </w:tc>
        <w:tc>
          <w:tcPr>
            <w:tcW w:type="dxa" w:w="2033"/>
            <w:shd w:fill="F4F8FB"/>
          </w:tcPr>
          <w:p>
            <w:r/>
            <w:r>
              <w:rPr>
                <w:b w:val="0"/>
                <w:sz w:val="17"/>
              </w:rPr>
              <w:t>Customers, FR and AU operations, compliance, audit, marketing</w:t>
            </w:r>
          </w:p>
        </w:tc>
      </w:tr>
    </w:tbl>
    <w:p/>
    <w:p>
      <w:pPr>
        <w:pStyle w:val="Heading2"/>
      </w:pPr>
      <w:r>
        <w:t>4.2 To-Be Process</w:t>
      </w:r>
    </w:p>
    <w:p>
      <w:r>
        <w:t>Verita provides a single intake and orchestration journey:</w:t>
      </w:r>
    </w:p>
    <w:p>
      <w:pPr>
        <w:pStyle w:val="ListNumber"/>
      </w:pPr>
      <w:r>
        <w:t>The user authenticates through Cerberus.</w:t>
      </w:r>
    </w:p>
    <w:p>
      <w:pPr>
        <w:pStyle w:val="ListNumber"/>
      </w:pPr>
      <w:r>
        <w:t>Verita captures customer and contract information once.</w:t>
      </w:r>
    </w:p>
    <w:p>
      <w:pPr>
        <w:pStyle w:val="ListNumber"/>
      </w:pPr>
      <w:r>
        <w:t>Evidence is uploaded securely, scanned and encrypted.</w:t>
      </w:r>
    </w:p>
    <w:p>
      <w:pPr>
        <w:pStyle w:val="ListNumber"/>
      </w:pPr>
      <w:r>
        <w:t>Patronum extracts fields, detects anomalies and returns an explainable confidence score.</w:t>
      </w:r>
    </w:p>
    <w:p>
      <w:pPr>
        <w:pStyle w:val="ListNumber"/>
      </w:pPr>
      <w:r>
        <w:t>Standard low-risk cases are activated automatically.</w:t>
      </w:r>
    </w:p>
    <w:p>
      <w:pPr>
        <w:pStyle w:val="ListNumber"/>
      </w:pPr>
      <w:r>
        <w:t>Medium- and high-risk cases enter a compliance review queue.</w:t>
      </w:r>
    </w:p>
    <w:p>
      <w:pPr>
        <w:pStyle w:val="ListNumber"/>
      </w:pPr>
      <w:r>
        <w:t>Human decisions and AI evidence are recorded in immutable audit logs.</w:t>
      </w:r>
    </w:p>
    <w:p>
      <w:pPr>
        <w:pStyle w:val="ListNumber"/>
      </w:pPr>
      <w:r>
        <w:t>The golden customer record is published to downstream consumers through APIs and events.</w:t>
      </w:r>
    </w:p>
    <w:p>
      <w:pPr>
        <w:pStyle w:val="Heading3"/>
      </w:pPr>
      <w:r>
        <w:t>To-Be SIPOC</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shd w:fill="173A65"/>
          </w:tcPr>
          <w:p>
            <w:r/>
            <w:r>
              <w:rPr>
                <w:b/>
                <w:color w:val="FFFFFF"/>
                <w:sz w:val="17"/>
              </w:rPr>
              <w:t>Suppliers</w:t>
            </w:r>
          </w:p>
        </w:tc>
        <w:tc>
          <w:tcPr>
            <w:tcW w:type="dxa" w:w="2033"/>
            <w:shd w:fill="173A65"/>
          </w:tcPr>
          <w:p>
            <w:r/>
            <w:r>
              <w:rPr>
                <w:b/>
                <w:color w:val="FFFFFF"/>
                <w:sz w:val="17"/>
              </w:rPr>
              <w:t>Inputs</w:t>
            </w:r>
          </w:p>
        </w:tc>
        <w:tc>
          <w:tcPr>
            <w:tcW w:type="dxa" w:w="2033"/>
            <w:shd w:fill="173A65"/>
          </w:tcPr>
          <w:p>
            <w:r/>
            <w:r>
              <w:rPr>
                <w:b/>
                <w:color w:val="FFFFFF"/>
                <w:sz w:val="17"/>
              </w:rPr>
              <w:t>Process</w:t>
            </w:r>
          </w:p>
        </w:tc>
        <w:tc>
          <w:tcPr>
            <w:tcW w:type="dxa" w:w="2033"/>
            <w:shd w:fill="173A65"/>
          </w:tcPr>
          <w:p>
            <w:r/>
            <w:r>
              <w:rPr>
                <w:b/>
                <w:color w:val="FFFFFF"/>
                <w:sz w:val="17"/>
              </w:rPr>
              <w:t>Outputs</w:t>
            </w:r>
          </w:p>
        </w:tc>
        <w:tc>
          <w:tcPr>
            <w:tcW w:type="dxa" w:w="2033"/>
            <w:shd w:fill="173A65"/>
          </w:tcPr>
          <w:p>
            <w:r/>
            <w:r>
              <w:rPr>
                <w:b/>
                <w:color w:val="FFFFFF"/>
                <w:sz w:val="17"/>
              </w:rPr>
              <w:t>Customers</w:t>
            </w:r>
          </w:p>
        </w:tc>
      </w:tr>
      <w:tr>
        <w:tc>
          <w:tcPr>
            <w:tcW w:type="dxa" w:w="2033"/>
            <w:shd w:fill="F4F8FB"/>
          </w:tcPr>
          <w:p>
            <w:r/>
            <w:r>
              <w:rPr>
                <w:b w:val="0"/>
                <w:sz w:val="17"/>
              </w:rPr>
              <w:t>Customer, Cerberus, Patronum, country operations</w:t>
            </w:r>
          </w:p>
        </w:tc>
        <w:tc>
          <w:tcPr>
            <w:tcW w:type="dxa" w:w="2033"/>
            <w:shd w:fill="F4F8FB"/>
          </w:tcPr>
          <w:p>
            <w:r/>
            <w:r>
              <w:rPr>
                <w:b w:val="0"/>
                <w:sz w:val="17"/>
              </w:rPr>
              <w:t>Customer details, contract data, encrypted evidence, country rule set</w:t>
            </w:r>
          </w:p>
        </w:tc>
        <w:tc>
          <w:tcPr>
            <w:tcW w:type="dxa" w:w="2033"/>
            <w:shd w:fill="F4F8FB"/>
          </w:tcPr>
          <w:p>
            <w:r/>
            <w:r>
              <w:rPr>
                <w:b w:val="0"/>
                <w:sz w:val="17"/>
              </w:rPr>
              <w:t>Secure intake, automated validation, AI-supported KYC checks, human review where required, controlled activation, event publication</w:t>
            </w:r>
          </w:p>
        </w:tc>
        <w:tc>
          <w:tcPr>
            <w:tcW w:type="dxa" w:w="2033"/>
            <w:shd w:fill="F4F8FB"/>
          </w:tcPr>
          <w:p>
            <w:r/>
            <w:r>
              <w:rPr>
                <w:b w:val="0"/>
                <w:sz w:val="17"/>
              </w:rPr>
              <w:t>Golden customer record, activation status, explainable decision, retained audit evidence</w:t>
            </w:r>
          </w:p>
        </w:tc>
        <w:tc>
          <w:tcPr>
            <w:tcW w:type="dxa" w:w="2033"/>
            <w:shd w:fill="F4F8FB"/>
          </w:tcPr>
          <w:p>
            <w:r/>
            <w:r>
              <w:rPr>
                <w:b w:val="0"/>
                <w:sz w:val="17"/>
              </w:rPr>
              <w:t>Customers, FR and AU operations, compliance, audit, risk, marketing</w:t>
            </w:r>
          </w:p>
        </w:tc>
      </w:tr>
    </w:tbl>
    <w:p/>
    <w:p>
      <w:pPr>
        <w:pStyle w:val="Heading2"/>
      </w:pPr>
      <w:r>
        <w:t>4.3 Business Ownership</w:t>
      </w:r>
    </w:p>
    <w:tbl>
      <w:tblPr>
        <w:tblStyle w:val="TableGrid"/>
        <w:tblW w:type="auto" w:w="0"/>
        <w:tblLook w:firstColumn="1" w:firstRow="1" w:lastColumn="0" w:lastRow="0" w:noHBand="0" w:noVBand="1" w:val="04A0"/>
      </w:tblPr>
      <w:tblGrid>
        <w:gridCol w:w="3389"/>
        <w:gridCol w:w="3389"/>
        <w:gridCol w:w="3389"/>
      </w:tblGrid>
      <w:tr>
        <w:tc>
          <w:tcPr>
            <w:tcW w:type="dxa" w:w="3389"/>
            <w:shd w:fill="173A65"/>
          </w:tcPr>
          <w:p>
            <w:r/>
            <w:r>
              <w:rPr>
                <w:b/>
                <w:color w:val="FFFFFF"/>
                <w:sz w:val="17"/>
              </w:rPr>
              <w:t>Capability</w:t>
            </w:r>
          </w:p>
        </w:tc>
        <w:tc>
          <w:tcPr>
            <w:tcW w:type="dxa" w:w="3389"/>
            <w:shd w:fill="173A65"/>
          </w:tcPr>
          <w:p>
            <w:r/>
            <w:r>
              <w:rPr>
                <w:b/>
                <w:color w:val="FFFFFF"/>
                <w:sz w:val="17"/>
              </w:rPr>
              <w:t>Accountable Owner</w:t>
            </w:r>
          </w:p>
        </w:tc>
        <w:tc>
          <w:tcPr>
            <w:tcW w:type="dxa" w:w="3389"/>
            <w:shd w:fill="173A65"/>
          </w:tcPr>
          <w:p>
            <w:r/>
            <w:r>
              <w:rPr>
                <w:b/>
                <w:color w:val="FFFFFF"/>
                <w:sz w:val="17"/>
              </w:rPr>
              <w:t>Responsible Teams</w:t>
            </w:r>
          </w:p>
        </w:tc>
      </w:tr>
      <w:tr>
        <w:tc>
          <w:tcPr>
            <w:tcW w:type="dxa" w:w="3389"/>
            <w:shd w:fill="F4F8FB"/>
          </w:tcPr>
          <w:p>
            <w:r/>
            <w:r>
              <w:rPr>
                <w:b w:val="0"/>
                <w:sz w:val="17"/>
              </w:rPr>
              <w:t>End-to-end onboarding process</w:t>
            </w:r>
          </w:p>
        </w:tc>
        <w:tc>
          <w:tcPr>
            <w:tcW w:type="dxa" w:w="3389"/>
            <w:shd w:fill="F4F8FB"/>
          </w:tcPr>
          <w:p>
            <w:r/>
            <w:r>
              <w:rPr>
                <w:b w:val="0"/>
                <w:sz w:val="17"/>
              </w:rPr>
              <w:t>Business Process Owner</w:t>
            </w:r>
          </w:p>
        </w:tc>
        <w:tc>
          <w:tcPr>
            <w:tcW w:type="dxa" w:w="3389"/>
            <w:shd w:fill="F4F8FB"/>
          </w:tcPr>
          <w:p>
            <w:r/>
            <w:r>
              <w:rPr>
                <w:b w:val="0"/>
                <w:sz w:val="17"/>
              </w:rPr>
              <w:t>FR and AU country operations</w:t>
            </w:r>
          </w:p>
        </w:tc>
      </w:tr>
      <w:tr>
        <w:tc>
          <w:tcPr>
            <w:tcW w:type="dxa" w:w="3389"/>
          </w:tcPr>
          <w:p>
            <w:r/>
            <w:r>
              <w:rPr>
                <w:b w:val="0"/>
                <w:sz w:val="17"/>
              </w:rPr>
              <w:t>KYC policy and exception handling</w:t>
            </w:r>
          </w:p>
        </w:tc>
        <w:tc>
          <w:tcPr>
            <w:tcW w:type="dxa" w:w="3389"/>
          </w:tcPr>
          <w:p>
            <w:r/>
            <w:r>
              <w:rPr>
                <w:b w:val="0"/>
                <w:sz w:val="17"/>
              </w:rPr>
              <w:t>Head of Compliance</w:t>
            </w:r>
          </w:p>
        </w:tc>
        <w:tc>
          <w:tcPr>
            <w:tcW w:type="dxa" w:w="3389"/>
          </w:tcPr>
          <w:p>
            <w:r/>
            <w:r>
              <w:rPr>
                <w:b w:val="0"/>
                <w:sz w:val="17"/>
              </w:rPr>
              <w:t>Compliance analysts and country compliance leads</w:t>
            </w:r>
          </w:p>
        </w:tc>
      </w:tr>
      <w:tr>
        <w:tc>
          <w:tcPr>
            <w:tcW w:type="dxa" w:w="3389"/>
            <w:shd w:fill="F4F8FB"/>
          </w:tcPr>
          <w:p>
            <w:r/>
            <w:r>
              <w:rPr>
                <w:b w:val="0"/>
                <w:sz w:val="17"/>
              </w:rPr>
              <w:t>Golden customer record</w:t>
            </w:r>
          </w:p>
        </w:tc>
        <w:tc>
          <w:tcPr>
            <w:tcW w:type="dxa" w:w="3389"/>
            <w:shd w:fill="F4F8FB"/>
          </w:tcPr>
          <w:p>
            <w:r/>
            <w:r>
              <w:rPr>
                <w:b w:val="0"/>
                <w:sz w:val="17"/>
              </w:rPr>
              <w:t>Chief Data Officer</w:t>
            </w:r>
          </w:p>
        </w:tc>
        <w:tc>
          <w:tcPr>
            <w:tcW w:type="dxa" w:w="3389"/>
            <w:shd w:fill="F4F8FB"/>
          </w:tcPr>
          <w:p>
            <w:r/>
            <w:r>
              <w:rPr>
                <w:b w:val="0"/>
                <w:sz w:val="17"/>
              </w:rPr>
              <w:t>Data owners and data stewards</w:t>
            </w:r>
          </w:p>
        </w:tc>
      </w:tr>
      <w:tr>
        <w:tc>
          <w:tcPr>
            <w:tcW w:type="dxa" w:w="3389"/>
          </w:tcPr>
          <w:p>
            <w:r/>
            <w:r>
              <w:rPr>
                <w:b w:val="0"/>
                <w:sz w:val="17"/>
              </w:rPr>
              <w:t>Verita product</w:t>
            </w:r>
          </w:p>
        </w:tc>
        <w:tc>
          <w:tcPr>
            <w:tcW w:type="dxa" w:w="3389"/>
          </w:tcPr>
          <w:p>
            <w:r/>
            <w:r>
              <w:rPr>
                <w:b w:val="0"/>
                <w:sz w:val="17"/>
              </w:rPr>
              <w:t>Product Owner</w:t>
            </w:r>
          </w:p>
        </w:tc>
        <w:tc>
          <w:tcPr>
            <w:tcW w:type="dxa" w:w="3389"/>
          </w:tcPr>
          <w:p>
            <w:r/>
            <w:r>
              <w:rPr>
                <w:b w:val="0"/>
                <w:sz w:val="17"/>
              </w:rPr>
              <w:t>Product, engineering and architecture</w:t>
            </w:r>
          </w:p>
        </w:tc>
      </w:tr>
      <w:tr>
        <w:tc>
          <w:tcPr>
            <w:tcW w:type="dxa" w:w="3389"/>
            <w:shd w:fill="F4F8FB"/>
          </w:tcPr>
          <w:p>
            <w:r/>
            <w:r>
              <w:rPr>
                <w:b w:val="0"/>
                <w:sz w:val="17"/>
              </w:rPr>
              <w:t>Platform operations</w:t>
            </w:r>
          </w:p>
        </w:tc>
        <w:tc>
          <w:tcPr>
            <w:tcW w:type="dxa" w:w="3389"/>
            <w:shd w:fill="F4F8FB"/>
          </w:tcPr>
          <w:p>
            <w:r/>
            <w:r>
              <w:rPr>
                <w:b w:val="0"/>
                <w:sz w:val="17"/>
              </w:rPr>
              <w:t>IT Run Manager</w:t>
            </w:r>
          </w:p>
        </w:tc>
        <w:tc>
          <w:tcPr>
            <w:tcW w:type="dxa" w:w="3389"/>
            <w:shd w:fill="F4F8FB"/>
          </w:tcPr>
          <w:p>
            <w:r/>
            <w:r>
              <w:rPr>
                <w:b w:val="0"/>
                <w:sz w:val="17"/>
              </w:rPr>
              <w:t>Cloud operations and service desk</w:t>
            </w:r>
          </w:p>
        </w:tc>
      </w:tr>
      <w:tr>
        <w:tc>
          <w:tcPr>
            <w:tcW w:type="dxa" w:w="3389"/>
          </w:tcPr>
          <w:p>
            <w:r/>
            <w:r>
              <w:rPr>
                <w:b w:val="0"/>
                <w:sz w:val="17"/>
              </w:rPr>
              <w:t>Legacy continuity during transition</w:t>
            </w:r>
          </w:p>
        </w:tc>
        <w:tc>
          <w:tcPr>
            <w:tcW w:type="dxa" w:w="3389"/>
          </w:tcPr>
          <w:p>
            <w:r/>
            <w:r>
              <w:rPr>
                <w:b w:val="0"/>
                <w:sz w:val="17"/>
              </w:rPr>
              <w:t>Nick, Legacy Manager</w:t>
            </w:r>
          </w:p>
        </w:tc>
        <w:tc>
          <w:tcPr>
            <w:tcW w:type="dxa" w:w="3389"/>
          </w:tcPr>
          <w:p>
            <w:r/>
            <w:r>
              <w:rPr>
                <w:b w:val="0"/>
                <w:sz w:val="17"/>
              </w:rPr>
              <w:t>Legacy support teams</w:t>
            </w:r>
          </w:p>
        </w:tc>
      </w:tr>
    </w:tbl>
    <w:p/>
    <w:p>
      <w:pPr>
        <w:pStyle w:val="Heading2"/>
      </w:pPr>
      <w:r>
        <w:t>4.4 KPIs</w:t>
      </w:r>
    </w:p>
    <w:tbl>
      <w:tblPr>
        <w:tblStyle w:val="TableGrid"/>
        <w:tblW w:type="auto" w:w="0"/>
        <w:tblLook w:firstColumn="1" w:firstRow="1" w:lastColumn="0" w:lastRow="0" w:noHBand="0" w:noVBand="1" w:val="04A0"/>
      </w:tblPr>
      <w:tblGrid>
        <w:gridCol w:w="3389"/>
        <w:gridCol w:w="3389"/>
        <w:gridCol w:w="3389"/>
      </w:tblGrid>
      <w:tr>
        <w:tc>
          <w:tcPr>
            <w:tcW w:type="dxa" w:w="3389"/>
            <w:shd w:fill="173A65"/>
          </w:tcPr>
          <w:p>
            <w:r/>
            <w:r>
              <w:rPr>
                <w:b/>
                <w:color w:val="FFFFFF"/>
                <w:sz w:val="17"/>
              </w:rPr>
              <w:t>KPI</w:t>
            </w:r>
          </w:p>
        </w:tc>
        <w:tc>
          <w:tcPr>
            <w:tcW w:type="dxa" w:w="3389"/>
            <w:shd w:fill="173A65"/>
          </w:tcPr>
          <w:p>
            <w:r/>
            <w:r>
              <w:rPr>
                <w:b/>
                <w:color w:val="FFFFFF"/>
                <w:sz w:val="17"/>
              </w:rPr>
              <w:t>Initial Target</w:t>
            </w:r>
          </w:p>
        </w:tc>
        <w:tc>
          <w:tcPr>
            <w:tcW w:type="dxa" w:w="3389"/>
            <w:shd w:fill="173A65"/>
          </w:tcPr>
          <w:p>
            <w:r/>
            <w:r>
              <w:rPr>
                <w:b/>
                <w:color w:val="FFFFFF"/>
                <w:sz w:val="17"/>
              </w:rPr>
              <w:t>Measurement Principle</w:t>
            </w:r>
          </w:p>
        </w:tc>
      </w:tr>
      <w:tr>
        <w:tc>
          <w:tcPr>
            <w:tcW w:type="dxa" w:w="3389"/>
            <w:shd w:fill="F4F8FB"/>
          </w:tcPr>
          <w:p>
            <w:r/>
            <w:r>
              <w:rPr>
                <w:b w:val="0"/>
                <w:sz w:val="17"/>
              </w:rPr>
              <w:t>Straight-through processing rate</w:t>
            </w:r>
          </w:p>
        </w:tc>
        <w:tc>
          <w:tcPr>
            <w:tcW w:type="dxa" w:w="3389"/>
            <w:shd w:fill="F4F8FB"/>
          </w:tcPr>
          <w:p>
            <w:r/>
            <w:r>
              <w:rPr>
                <w:b w:val="0"/>
                <w:sz w:val="17"/>
              </w:rPr>
              <w:t>At least 70% for standard cases</w:t>
            </w:r>
          </w:p>
        </w:tc>
        <w:tc>
          <w:tcPr>
            <w:tcW w:type="dxa" w:w="3389"/>
            <w:shd w:fill="F4F8FB"/>
          </w:tcPr>
          <w:p>
            <w:r/>
            <w:r>
              <w:rPr>
                <w:b w:val="0"/>
                <w:sz w:val="17"/>
              </w:rPr>
              <w:t>Cases activated without human intervention divided by eligible cases</w:t>
            </w:r>
          </w:p>
        </w:tc>
      </w:tr>
      <w:tr>
        <w:tc>
          <w:tcPr>
            <w:tcW w:type="dxa" w:w="3389"/>
          </w:tcPr>
          <w:p>
            <w:r/>
            <w:r>
              <w:rPr>
                <w:b w:val="0"/>
                <w:sz w:val="17"/>
              </w:rPr>
              <w:t>Median activation time</w:t>
            </w:r>
          </w:p>
        </w:tc>
        <w:tc>
          <w:tcPr>
            <w:tcW w:type="dxa" w:w="3389"/>
          </w:tcPr>
          <w:p>
            <w:r/>
            <w:r>
              <w:rPr>
                <w:b w:val="0"/>
                <w:sz w:val="17"/>
              </w:rPr>
              <w:t>Under 15 minutes for standard cases</w:t>
            </w:r>
          </w:p>
        </w:tc>
        <w:tc>
          <w:tcPr>
            <w:tcW w:type="dxa" w:w="3389"/>
          </w:tcPr>
          <w:p>
            <w:r/>
            <w:r>
              <w:rPr>
                <w:b w:val="0"/>
                <w:sz w:val="17"/>
              </w:rPr>
              <w:t>Intake completion to service activation</w:t>
            </w:r>
          </w:p>
        </w:tc>
      </w:tr>
      <w:tr>
        <w:tc>
          <w:tcPr>
            <w:tcW w:type="dxa" w:w="3389"/>
            <w:shd w:fill="F4F8FB"/>
          </w:tcPr>
          <w:p>
            <w:r/>
            <w:r>
              <w:rPr>
                <w:b w:val="0"/>
                <w:sz w:val="17"/>
              </w:rPr>
              <w:t>Manual-review turnaround</w:t>
            </w:r>
          </w:p>
        </w:tc>
        <w:tc>
          <w:tcPr>
            <w:tcW w:type="dxa" w:w="3389"/>
            <w:shd w:fill="F4F8FB"/>
          </w:tcPr>
          <w:p>
            <w:r/>
            <w:r>
              <w:rPr>
                <w:b w:val="0"/>
                <w:sz w:val="17"/>
              </w:rPr>
              <w:t>95% within 4 business hours</w:t>
            </w:r>
          </w:p>
        </w:tc>
        <w:tc>
          <w:tcPr>
            <w:tcW w:type="dxa" w:w="3389"/>
            <w:shd w:fill="F4F8FB"/>
          </w:tcPr>
          <w:p>
            <w:r/>
            <w:r>
              <w:rPr>
                <w:b w:val="0"/>
                <w:sz w:val="17"/>
              </w:rPr>
              <w:t>Queue entry to analyst decision</w:t>
            </w:r>
          </w:p>
        </w:tc>
      </w:tr>
      <w:tr>
        <w:tc>
          <w:tcPr>
            <w:tcW w:type="dxa" w:w="3389"/>
          </w:tcPr>
          <w:p>
            <w:r/>
            <w:r>
              <w:rPr>
                <w:b w:val="0"/>
                <w:sz w:val="17"/>
              </w:rPr>
              <w:t>Data quality score</w:t>
            </w:r>
          </w:p>
        </w:tc>
        <w:tc>
          <w:tcPr>
            <w:tcW w:type="dxa" w:w="3389"/>
          </w:tcPr>
          <w:p>
            <w:r/>
            <w:r>
              <w:rPr>
                <w:b w:val="0"/>
                <w:sz w:val="17"/>
              </w:rPr>
              <w:t>At least 98%</w:t>
            </w:r>
          </w:p>
        </w:tc>
        <w:tc>
          <w:tcPr>
            <w:tcW w:type="dxa" w:w="3389"/>
          </w:tcPr>
          <w:p>
            <w:r/>
            <w:r>
              <w:rPr>
                <w:b w:val="0"/>
                <w:sz w:val="17"/>
              </w:rPr>
              <w:t>Completeness, validity, uniqueness and consistency rules</w:t>
            </w:r>
          </w:p>
        </w:tc>
      </w:tr>
      <w:tr>
        <w:tc>
          <w:tcPr>
            <w:tcW w:type="dxa" w:w="3389"/>
            <w:shd w:fill="F4F8FB"/>
          </w:tcPr>
          <w:p>
            <w:r/>
            <w:r>
              <w:rPr>
                <w:b w:val="0"/>
                <w:sz w:val="17"/>
              </w:rPr>
              <w:t>Platform availability</w:t>
            </w:r>
          </w:p>
        </w:tc>
        <w:tc>
          <w:tcPr>
            <w:tcW w:type="dxa" w:w="3389"/>
            <w:shd w:fill="F4F8FB"/>
          </w:tcPr>
          <w:p>
            <w:r/>
            <w:r>
              <w:rPr>
                <w:b w:val="0"/>
                <w:sz w:val="17"/>
              </w:rPr>
              <w:t>99.9% monthly</w:t>
            </w:r>
          </w:p>
        </w:tc>
        <w:tc>
          <w:tcPr>
            <w:tcW w:type="dxa" w:w="3389"/>
            <w:shd w:fill="F4F8FB"/>
          </w:tcPr>
          <w:p>
            <w:r/>
            <w:r>
              <w:rPr>
                <w:b w:val="0"/>
                <w:sz w:val="17"/>
              </w:rPr>
              <w:t>External API and user journey monitoring</w:t>
            </w:r>
          </w:p>
        </w:tc>
      </w:tr>
      <w:tr>
        <w:tc>
          <w:tcPr>
            <w:tcW w:type="dxa" w:w="3389"/>
          </w:tcPr>
          <w:p>
            <w:r/>
            <w:r>
              <w:rPr>
                <w:b w:val="0"/>
                <w:sz w:val="17"/>
              </w:rPr>
              <w:t>Audit evidence completeness</w:t>
            </w:r>
          </w:p>
        </w:tc>
        <w:tc>
          <w:tcPr>
            <w:tcW w:type="dxa" w:w="3389"/>
          </w:tcPr>
          <w:p>
            <w:r/>
            <w:r>
              <w:rPr>
                <w:b w:val="0"/>
                <w:sz w:val="17"/>
              </w:rPr>
              <w:t>100%</w:t>
            </w:r>
          </w:p>
        </w:tc>
        <w:tc>
          <w:tcPr>
            <w:tcW w:type="dxa" w:w="3389"/>
          </w:tcPr>
          <w:p>
            <w:r/>
            <w:r>
              <w:rPr>
                <w:b w:val="0"/>
                <w:sz w:val="17"/>
              </w:rPr>
              <w:t>All regulated actions linked to retained evidence</w:t>
            </w:r>
          </w:p>
        </w:tc>
      </w:tr>
      <w:tr>
        <w:tc>
          <w:tcPr>
            <w:tcW w:type="dxa" w:w="3389"/>
            <w:shd w:fill="F4F8FB"/>
          </w:tcPr>
          <w:p>
            <w:r/>
            <w:r>
              <w:rPr>
                <w:b w:val="0"/>
                <w:sz w:val="17"/>
              </w:rPr>
              <w:t>Security incidents caused by unauthorized access</w:t>
            </w:r>
          </w:p>
        </w:tc>
        <w:tc>
          <w:tcPr>
            <w:tcW w:type="dxa" w:w="3389"/>
            <w:shd w:fill="F4F8FB"/>
          </w:tcPr>
          <w:p>
            <w:r/>
            <w:r>
              <w:rPr>
                <w:b w:val="0"/>
                <w:sz w:val="17"/>
              </w:rPr>
              <w:t>Zero tolerance</w:t>
            </w:r>
          </w:p>
        </w:tc>
        <w:tc>
          <w:tcPr>
            <w:tcW w:type="dxa" w:w="3389"/>
            <w:shd w:fill="F4F8FB"/>
          </w:tcPr>
          <w:p>
            <w:r/>
            <w:r>
              <w:rPr>
                <w:b w:val="0"/>
                <w:sz w:val="17"/>
              </w:rPr>
              <w:t>Security incident and access-log monitoring</w:t>
            </w:r>
          </w:p>
        </w:tc>
      </w:tr>
    </w:tbl>
    <w:p/>
    <w:p>
      <w:pPr>
        <w:pStyle w:val="Heading2"/>
      </w:pPr>
      <w:r>
        <w:t>4.5 Expected Benefits</w:t>
      </w:r>
    </w:p>
    <w:p>
      <w:pPr>
        <w:pStyle w:val="ListBullet"/>
      </w:pPr>
      <w:r>
        <w:t>Reduced customer activation time and fewer abandoned journeys;</w:t>
      </w:r>
    </w:p>
    <w:p>
      <w:pPr>
        <w:pStyle w:val="ListBullet"/>
      </w:pPr>
      <w:r>
        <w:t>increased automation and lower operational workload;</w:t>
      </w:r>
    </w:p>
    <w:p>
      <w:pPr>
        <w:pStyle w:val="ListBullet"/>
      </w:pPr>
      <w:r>
        <w:t>improved trust through transparent and consistent compliance checks;</w:t>
      </w:r>
    </w:p>
    <w:p>
      <w:pPr>
        <w:pStyle w:val="ListBullet"/>
      </w:pPr>
      <w:r>
        <w:t>reduced risk of regulatory non-compliance;</w:t>
      </w:r>
    </w:p>
    <w:p>
      <w:pPr>
        <w:pStyle w:val="ListBullet"/>
      </w:pPr>
      <w:r>
        <w:t>stronger collaboration between France and Australia;</w:t>
      </w:r>
    </w:p>
    <w:p>
      <w:pPr>
        <w:pStyle w:val="ListBullet"/>
      </w:pPr>
      <w:r>
        <w:t>reduced legacy maintenance expenditure;</w:t>
      </w:r>
    </w:p>
    <w:p>
      <w:pPr>
        <w:pStyle w:val="ListBullet"/>
      </w:pPr>
      <w:r>
        <w:t>a governed customer record that supports future marketing and service improvements.</w:t>
      </w:r>
    </w:p>
    <w:p>
      <w:pPr>
        <w:pBdr>
          <w:bottom w:val="single" w:sz="6" w:space="1" w:color="41B9BB"/>
        </w:pBdr>
      </w:pPr>
    </w:p>
    <w:p>
      <w:pPr>
        <w:pStyle w:val="Heading1"/>
        <w:pBdr>
          <w:bottom w:val="single" w:sz="6" w:space="1" w:color="41B9BB"/>
        </w:pBdr>
      </w:pPr>
      <w:r>
        <w:t>5. Data Architecture</w:t>
      </w:r>
    </w:p>
    <w:p>
      <w:pPr>
        <w:pStyle w:val="Heading2"/>
      </w:pPr>
      <w:r>
        <w:t>5.1 Data Domains</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173A65"/>
          </w:tcPr>
          <w:p>
            <w:r/>
            <w:r>
              <w:rPr>
                <w:b/>
                <w:color w:val="FFFFFF"/>
                <w:sz w:val="17"/>
              </w:rPr>
              <w:t>Domain</w:t>
            </w:r>
          </w:p>
        </w:tc>
        <w:tc>
          <w:tcPr>
            <w:tcW w:type="dxa" w:w="2541"/>
            <w:shd w:fill="173A65"/>
          </w:tcPr>
          <w:p>
            <w:r/>
            <w:r>
              <w:rPr>
                <w:b/>
                <w:color w:val="FFFFFF"/>
                <w:sz w:val="17"/>
              </w:rPr>
              <w:t>Core Data</w:t>
            </w:r>
          </w:p>
        </w:tc>
        <w:tc>
          <w:tcPr>
            <w:tcW w:type="dxa" w:w="2541"/>
            <w:shd w:fill="173A65"/>
          </w:tcPr>
          <w:p>
            <w:r/>
            <w:r>
              <w:rPr>
                <w:b/>
                <w:color w:val="FFFFFF"/>
                <w:sz w:val="17"/>
              </w:rPr>
              <w:t>Data Owner</w:t>
            </w:r>
          </w:p>
        </w:tc>
        <w:tc>
          <w:tcPr>
            <w:tcW w:type="dxa" w:w="2541"/>
            <w:shd w:fill="173A65"/>
          </w:tcPr>
          <w:p>
            <w:r/>
            <w:r>
              <w:rPr>
                <w:b/>
                <w:color w:val="FFFFFF"/>
                <w:sz w:val="17"/>
              </w:rPr>
              <w:t>Data Steward</w:t>
            </w:r>
          </w:p>
        </w:tc>
      </w:tr>
      <w:tr>
        <w:tc>
          <w:tcPr>
            <w:tcW w:type="dxa" w:w="2541"/>
            <w:shd w:fill="F4F8FB"/>
          </w:tcPr>
          <w:p>
            <w:r/>
            <w:r>
              <w:rPr>
                <w:b w:val="0"/>
                <w:sz w:val="17"/>
              </w:rPr>
              <w:t>Customer</w:t>
            </w:r>
          </w:p>
        </w:tc>
        <w:tc>
          <w:tcPr>
            <w:tcW w:type="dxa" w:w="2541"/>
            <w:shd w:fill="F4F8FB"/>
          </w:tcPr>
          <w:p>
            <w:r/>
            <w:r>
              <w:rPr>
                <w:b w:val="0"/>
                <w:sz w:val="17"/>
              </w:rPr>
              <w:t>Identity, contact details, residency, consent, preferred channel</w:t>
            </w:r>
          </w:p>
        </w:tc>
        <w:tc>
          <w:tcPr>
            <w:tcW w:type="dxa" w:w="2541"/>
            <w:shd w:fill="F4F8FB"/>
          </w:tcPr>
          <w:p>
            <w:r/>
            <w:r>
              <w:rPr>
                <w:b w:val="0"/>
                <w:sz w:val="17"/>
              </w:rPr>
              <w:t>Chief Customer Officer</w:t>
            </w:r>
          </w:p>
        </w:tc>
        <w:tc>
          <w:tcPr>
            <w:tcW w:type="dxa" w:w="2541"/>
            <w:shd w:fill="F4F8FB"/>
          </w:tcPr>
          <w:p>
            <w:r/>
            <w:r>
              <w:rPr>
                <w:b w:val="0"/>
                <w:sz w:val="17"/>
              </w:rPr>
              <w:t>Customer Data Steward</w:t>
            </w:r>
          </w:p>
        </w:tc>
      </w:tr>
      <w:tr>
        <w:tc>
          <w:tcPr>
            <w:tcW w:type="dxa" w:w="2541"/>
          </w:tcPr>
          <w:p>
            <w:r/>
            <w:r>
              <w:rPr>
                <w:b w:val="0"/>
                <w:sz w:val="17"/>
              </w:rPr>
              <w:t>Compliance</w:t>
            </w:r>
          </w:p>
        </w:tc>
        <w:tc>
          <w:tcPr>
            <w:tcW w:type="dxa" w:w="2541"/>
          </w:tcPr>
          <w:p>
            <w:r/>
            <w:r>
              <w:rPr>
                <w:b w:val="0"/>
                <w:sz w:val="17"/>
              </w:rPr>
              <w:t>Evidence, extracted attributes, risk signals, AI score, review decision, audit log</w:t>
            </w:r>
          </w:p>
        </w:tc>
        <w:tc>
          <w:tcPr>
            <w:tcW w:type="dxa" w:w="2541"/>
          </w:tcPr>
          <w:p>
            <w:r/>
            <w:r>
              <w:rPr>
                <w:b w:val="0"/>
                <w:sz w:val="17"/>
              </w:rPr>
              <w:t>Compliance Director</w:t>
            </w:r>
          </w:p>
        </w:tc>
        <w:tc>
          <w:tcPr>
            <w:tcW w:type="dxa" w:w="2541"/>
          </w:tcPr>
          <w:p>
            <w:r/>
            <w:r>
              <w:rPr>
                <w:b w:val="0"/>
                <w:sz w:val="17"/>
              </w:rPr>
              <w:t>Compliance Data Steward</w:t>
            </w:r>
          </w:p>
        </w:tc>
      </w:tr>
      <w:tr>
        <w:tc>
          <w:tcPr>
            <w:tcW w:type="dxa" w:w="2541"/>
            <w:shd w:fill="F4F8FB"/>
          </w:tcPr>
          <w:p>
            <w:r/>
            <w:r>
              <w:rPr>
                <w:b w:val="0"/>
                <w:sz w:val="17"/>
              </w:rPr>
              <w:t>Contract</w:t>
            </w:r>
          </w:p>
        </w:tc>
        <w:tc>
          <w:tcPr>
            <w:tcW w:type="dxa" w:w="2541"/>
            <w:shd w:fill="F4F8FB"/>
          </w:tcPr>
          <w:p>
            <w:r/>
            <w:r>
              <w:rPr>
                <w:b w:val="0"/>
                <w:sz w:val="17"/>
              </w:rPr>
              <w:t>Product, premise, service address, activation status, effective dates</w:t>
            </w:r>
          </w:p>
        </w:tc>
        <w:tc>
          <w:tcPr>
            <w:tcW w:type="dxa" w:w="2541"/>
            <w:shd w:fill="F4F8FB"/>
          </w:tcPr>
          <w:p>
            <w:r/>
            <w:r>
              <w:rPr>
                <w:b w:val="0"/>
                <w:sz w:val="17"/>
              </w:rPr>
              <w:t>Retail Operations Director</w:t>
            </w:r>
          </w:p>
        </w:tc>
        <w:tc>
          <w:tcPr>
            <w:tcW w:type="dxa" w:w="2541"/>
            <w:shd w:fill="F4F8FB"/>
          </w:tcPr>
          <w:p>
            <w:r/>
            <w:r>
              <w:rPr>
                <w:b w:val="0"/>
                <w:sz w:val="17"/>
              </w:rPr>
              <w:t>Contract Data Steward</w:t>
            </w:r>
          </w:p>
        </w:tc>
      </w:tr>
    </w:tbl>
    <w:p/>
    <w:p>
      <w:pPr>
        <w:pStyle w:val="Heading2"/>
      </w:pPr>
      <w:r>
        <w:t>5.2 Golden Customer Record</w:t>
      </w:r>
    </w:p>
    <w:p>
      <w:r>
        <w:t>Verita creates the golden customer record after controlled validation. The strategy is:</w:t>
      </w:r>
    </w:p>
    <w:p>
      <w:pPr>
        <w:pStyle w:val="ListNumber"/>
      </w:pPr>
      <w:r>
        <w:t>Capture each attribute once through the governed intake interface.</w:t>
      </w:r>
    </w:p>
    <w:p>
      <w:pPr>
        <w:pStyle w:val="ListNumber"/>
      </w:pPr>
      <w:r>
        <w:t>Apply format, completeness and country-rule validation.</w:t>
      </w:r>
    </w:p>
    <w:p>
      <w:pPr>
        <w:pStyle w:val="ListNumber"/>
      </w:pPr>
      <w:r>
        <w:t>Reconcile duplicates using deterministic rules and Patronum anomaly signals.</w:t>
      </w:r>
    </w:p>
    <w:p>
      <w:pPr>
        <w:pStyle w:val="ListNumber"/>
      </w:pPr>
      <w:r>
        <w:t>Route uncertain matches to a data steward or compliance analyst.</w:t>
      </w:r>
    </w:p>
    <w:p>
      <w:pPr>
        <w:pStyle w:val="ListNumber"/>
      </w:pPr>
      <w:r>
        <w:t>Persist lineage linking source evidence, extracted values, transformations and decisions.</w:t>
      </w:r>
    </w:p>
    <w:p>
      <w:pPr>
        <w:pStyle w:val="ListNumber"/>
      </w:pPr>
      <w:r>
        <w:t>Publish approved records to downstream systems through APIs and events.</w:t>
      </w:r>
    </w:p>
    <w:p>
      <w:pPr>
        <w:pStyle w:val="Heading2"/>
      </w:pPr>
      <w:r>
        <w:t>5.3 Data Quality</w:t>
      </w:r>
    </w:p>
    <w:p>
      <w:r>
        <w:t>The platform measures:</w:t>
      </w:r>
    </w:p>
    <w:p>
      <w:pPr>
        <w:pStyle w:val="ListBullet"/>
      </w:pPr>
      <w:r>
        <w:rPr>
          <w:b/>
        </w:rPr>
        <w:t>Completeness:</w:t>
      </w:r>
      <w:r>
        <w:t xml:space="preserve"> mandatory fields and evidence are present;</w:t>
      </w:r>
    </w:p>
    <w:p>
      <w:pPr>
        <w:pStyle w:val="ListBullet"/>
      </w:pPr>
      <w:r>
        <w:rPr>
          <w:b/>
        </w:rPr>
        <w:t>Validity:</w:t>
      </w:r>
      <w:r>
        <w:t xml:space="preserve"> formats and business rules are respected;</w:t>
      </w:r>
    </w:p>
    <w:p>
      <w:pPr>
        <w:pStyle w:val="ListBullet"/>
      </w:pPr>
      <w:r>
        <w:rPr>
          <w:b/>
        </w:rPr>
        <w:t>Uniqueness:</w:t>
      </w:r>
      <w:r>
        <w:t xml:space="preserve"> potential duplicate customers are identified;</w:t>
      </w:r>
    </w:p>
    <w:p>
      <w:pPr>
        <w:pStyle w:val="ListBullet"/>
      </w:pPr>
      <w:r>
        <w:rPr>
          <w:b/>
        </w:rPr>
        <w:t>Consistency:</w:t>
      </w:r>
      <w:r>
        <w:t xml:space="preserve"> customer, contract and compliance records do not conflict;</w:t>
      </w:r>
    </w:p>
    <w:p>
      <w:pPr>
        <w:pStyle w:val="ListBullet"/>
      </w:pPr>
      <w:r>
        <w:rPr>
          <w:b/>
        </w:rPr>
        <w:t>Timeliness:</w:t>
      </w:r>
      <w:r>
        <w:t xml:space="preserve"> downstream consumers receive approved changes promptly.</w:t>
      </w:r>
    </w:p>
    <w:p>
      <w:r>
        <w:t>Quality dashboards are visible to data stewards. Threshold breaches create remediation tasks and are included in service reporting.</w:t>
      </w:r>
    </w:p>
    <w:p>
      <w:pPr>
        <w:pStyle w:val="Heading2"/>
      </w:pPr>
      <w:r>
        <w:t>5.4 Lineage and Auditability</w:t>
      </w:r>
    </w:p>
    <w:p>
      <w:r>
        <w:t>Every regulated action produces evidence:</w:t>
      </w:r>
    </w:p>
    <w:p>
      <w:pPr>
        <w:pStyle w:val="ListBullet"/>
      </w:pPr>
      <w:r>
        <w:t>authentication and authorization context;</w:t>
      </w:r>
    </w:p>
    <w:p>
      <w:pPr>
        <w:pStyle w:val="ListBullet"/>
      </w:pPr>
      <w:r>
        <w:t>customer input and document metadata;</w:t>
      </w:r>
    </w:p>
    <w:p>
      <w:pPr>
        <w:pStyle w:val="ListBullet"/>
      </w:pPr>
      <w:r>
        <w:t>Patronum model version, confidence score and explanation;</w:t>
      </w:r>
    </w:p>
    <w:p>
      <w:pPr>
        <w:pStyle w:val="ListBullet"/>
      </w:pPr>
      <w:r>
        <w:t>human decision, actor and timestamp;</w:t>
      </w:r>
    </w:p>
    <w:p>
      <w:pPr>
        <w:pStyle w:val="ListBullet"/>
      </w:pPr>
      <w:r>
        <w:t>publication and activation outcome.</w:t>
      </w:r>
    </w:p>
    <w:p>
      <w:r>
        <w:t>The MVP demonstrates this approach with a SHA-256 hash chain. The production implementation should store evidence in an append-only audit repository with retention policies and restricted access.</w:t>
      </w:r>
    </w:p>
    <w:p>
      <w:pPr>
        <w:pStyle w:val="Heading2"/>
      </w:pPr>
      <w:r>
        <w:t>5.5 Privacy and Retention</w:t>
      </w:r>
    </w:p>
    <w:tbl>
      <w:tblPr>
        <w:tblStyle w:val="TableGrid"/>
        <w:tblW w:type="auto" w:w="0"/>
        <w:tblLook w:firstColumn="1" w:firstRow="1" w:lastColumn="0" w:lastRow="0" w:noHBand="0" w:noVBand="1" w:val="04A0"/>
      </w:tblPr>
      <w:tblGrid>
        <w:gridCol w:w="5083"/>
        <w:gridCol w:w="5083"/>
      </w:tblGrid>
      <w:tr>
        <w:tc>
          <w:tcPr>
            <w:tcW w:type="dxa" w:w="5083"/>
            <w:shd w:fill="173A65"/>
          </w:tcPr>
          <w:p>
            <w:r/>
            <w:r>
              <w:rPr>
                <w:b/>
                <w:color w:val="FFFFFF"/>
                <w:sz w:val="17"/>
              </w:rPr>
              <w:t>Control</w:t>
            </w:r>
          </w:p>
        </w:tc>
        <w:tc>
          <w:tcPr>
            <w:tcW w:type="dxa" w:w="5083"/>
            <w:shd w:fill="173A65"/>
          </w:tcPr>
          <w:p>
            <w:r/>
            <w:r>
              <w:rPr>
                <w:b/>
                <w:color w:val="FFFFFF"/>
                <w:sz w:val="17"/>
              </w:rPr>
              <w:t>Design Decision</w:t>
            </w:r>
          </w:p>
        </w:tc>
      </w:tr>
      <w:tr>
        <w:tc>
          <w:tcPr>
            <w:tcW w:type="dxa" w:w="5083"/>
            <w:shd w:fill="F4F8FB"/>
          </w:tcPr>
          <w:p>
            <w:r/>
            <w:r>
              <w:rPr>
                <w:b w:val="0"/>
                <w:sz w:val="17"/>
              </w:rPr>
              <w:t>Data minimization</w:t>
            </w:r>
          </w:p>
        </w:tc>
        <w:tc>
          <w:tcPr>
            <w:tcW w:type="dxa" w:w="5083"/>
            <w:shd w:fill="F4F8FB"/>
          </w:tcPr>
          <w:p>
            <w:r/>
            <w:r>
              <w:rPr>
                <w:b w:val="0"/>
                <w:sz w:val="17"/>
              </w:rPr>
              <w:t>Capture only data required for onboarding, service delivery and regulated KYC checks.</w:t>
            </w:r>
          </w:p>
        </w:tc>
      </w:tr>
      <w:tr>
        <w:tc>
          <w:tcPr>
            <w:tcW w:type="dxa" w:w="5083"/>
          </w:tcPr>
          <w:p>
            <w:r/>
            <w:r>
              <w:rPr>
                <w:b w:val="0"/>
                <w:sz w:val="17"/>
              </w:rPr>
              <w:t>Encryption</w:t>
            </w:r>
          </w:p>
        </w:tc>
        <w:tc>
          <w:tcPr>
            <w:tcW w:type="dxa" w:w="5083"/>
          </w:tcPr>
          <w:p>
            <w:r/>
            <w:r>
              <w:rPr>
                <w:b w:val="0"/>
                <w:sz w:val="17"/>
              </w:rPr>
              <w:t>Encrypt data in transit and at rest using managed keys.</w:t>
            </w:r>
          </w:p>
        </w:tc>
      </w:tr>
      <w:tr>
        <w:tc>
          <w:tcPr>
            <w:tcW w:type="dxa" w:w="5083"/>
            <w:shd w:fill="F4F8FB"/>
          </w:tcPr>
          <w:p>
            <w:r/>
            <w:r>
              <w:rPr>
                <w:b w:val="0"/>
                <w:sz w:val="17"/>
              </w:rPr>
              <w:t>Residency</w:t>
            </w:r>
          </w:p>
        </w:tc>
        <w:tc>
          <w:tcPr>
            <w:tcW w:type="dxa" w:w="5083"/>
            <w:shd w:fill="F4F8FB"/>
          </w:tcPr>
          <w:p>
            <w:r/>
            <w:r>
              <w:rPr>
                <w:b w:val="0"/>
                <w:sz w:val="17"/>
              </w:rPr>
              <w:t>Apply approved regional storage and processing rules for FR and AU records.</w:t>
            </w:r>
          </w:p>
        </w:tc>
      </w:tr>
      <w:tr>
        <w:tc>
          <w:tcPr>
            <w:tcW w:type="dxa" w:w="5083"/>
          </w:tcPr>
          <w:p>
            <w:r/>
            <w:r>
              <w:rPr>
                <w:b w:val="0"/>
                <w:sz w:val="17"/>
              </w:rPr>
              <w:t>Access control</w:t>
            </w:r>
          </w:p>
        </w:tc>
        <w:tc>
          <w:tcPr>
            <w:tcW w:type="dxa" w:w="5083"/>
          </w:tcPr>
          <w:p>
            <w:r/>
            <w:r>
              <w:rPr>
                <w:b w:val="0"/>
                <w:sz w:val="17"/>
              </w:rPr>
              <w:t>Use least-privilege roles and purpose-based access.</w:t>
            </w:r>
          </w:p>
        </w:tc>
      </w:tr>
      <w:tr>
        <w:tc>
          <w:tcPr>
            <w:tcW w:type="dxa" w:w="5083"/>
            <w:shd w:fill="F4F8FB"/>
          </w:tcPr>
          <w:p>
            <w:r/>
            <w:r>
              <w:rPr>
                <w:b w:val="0"/>
                <w:sz w:val="17"/>
              </w:rPr>
              <w:t>Retention</w:t>
            </w:r>
          </w:p>
        </w:tc>
        <w:tc>
          <w:tcPr>
            <w:tcW w:type="dxa" w:w="5083"/>
            <w:shd w:fill="F4F8FB"/>
          </w:tcPr>
          <w:p>
            <w:r/>
            <w:r>
              <w:rPr>
                <w:b w:val="0"/>
                <w:sz w:val="17"/>
              </w:rPr>
              <w:t>Configure domain-specific retention and archive schedules approved by Legal and Compliance.</w:t>
            </w:r>
          </w:p>
        </w:tc>
      </w:tr>
      <w:tr>
        <w:tc>
          <w:tcPr>
            <w:tcW w:type="dxa" w:w="5083"/>
          </w:tcPr>
          <w:p>
            <w:r/>
            <w:r>
              <w:rPr>
                <w:b w:val="0"/>
                <w:sz w:val="17"/>
              </w:rPr>
              <w:t>Deletion</w:t>
            </w:r>
          </w:p>
        </w:tc>
        <w:tc>
          <w:tcPr>
            <w:tcW w:type="dxa" w:w="5083"/>
          </w:tcPr>
          <w:p>
            <w:r/>
            <w:r>
              <w:rPr>
                <w:b w:val="0"/>
                <w:sz w:val="17"/>
              </w:rPr>
              <w:t>Apply controlled deletion or anonymization where legally permitted.</w:t>
            </w:r>
          </w:p>
        </w:tc>
      </w:tr>
      <w:tr>
        <w:tc>
          <w:tcPr>
            <w:tcW w:type="dxa" w:w="5083"/>
            <w:shd w:fill="F4F8FB"/>
          </w:tcPr>
          <w:p>
            <w:r/>
            <w:r>
              <w:rPr>
                <w:b w:val="0"/>
                <w:sz w:val="17"/>
              </w:rPr>
              <w:t>Evidence</w:t>
            </w:r>
          </w:p>
        </w:tc>
        <w:tc>
          <w:tcPr>
            <w:tcW w:type="dxa" w:w="5083"/>
            <w:shd w:fill="F4F8FB"/>
          </w:tcPr>
          <w:p>
            <w:r/>
            <w:r>
              <w:rPr>
                <w:b w:val="0"/>
                <w:sz w:val="17"/>
              </w:rPr>
              <w:t>Retain decision evidence separately from operational data where required.</w:t>
            </w:r>
          </w:p>
        </w:tc>
      </w:tr>
    </w:tbl>
    <w:p/>
    <w:p>
      <w:pPr>
        <w:pBdr>
          <w:bottom w:val="single" w:sz="6" w:space="1" w:color="41B9BB"/>
        </w:pBdr>
      </w:pPr>
    </w:p>
    <w:p>
      <w:pPr>
        <w:pStyle w:val="Heading1"/>
        <w:pBdr>
          <w:bottom w:val="single" w:sz="6" w:space="1" w:color="41B9BB"/>
        </w:pBdr>
      </w:pPr>
      <w:r>
        <w:t>6. Application Architecture</w:t>
      </w:r>
    </w:p>
    <w:p>
      <w:pPr>
        <w:pStyle w:val="Heading2"/>
      </w:pPr>
      <w:r>
        <w:t>6.1 Target Landscape</w:t>
      </w:r>
    </w:p>
    <w:p>
      <w:pPr>
        <w:spacing w:after="160"/>
        <w:ind w:left="288"/>
      </w:pPr>
      <w:r>
        <w:rPr>
          <w:rFonts w:ascii="Consolas" w:hAnsi="Consolas"/>
          <w:color w:val="4A5C70"/>
          <w:sz w:val="15"/>
        </w:rPr>
        <w:t>flowchart LR</w:t>
        <w:br/>
        <w:t xml:space="preserve">  User[Customer or Operations User] --&gt; Gateway[Secure Web and API Gateway]</w:t>
        <w:br/>
        <w:t xml:space="preserve">  Gateway --&gt; Verita[Verita Onboarding Platform]</w:t>
        <w:br/>
        <w:t xml:space="preserve">  Cerberus[Cerberus Okta SAML 2.0] --&gt; Verita</w:t>
        <w:br/>
        <w:t xml:space="preserve">  Verita --&gt; Patronum[Patronum AI Gateway]</w:t>
        <w:br/>
        <w:t xml:space="preserve">  Verita --&gt; Customer[(Golden Customer Record)]</w:t>
        <w:br/>
        <w:t xml:space="preserve">  Verita --&gt; Evidence[(Encrypted Evidence Store)]</w:t>
        <w:br/>
        <w:t xml:space="preserve">  Verita --&gt; Audit[(Append-only Audit Store)]</w:t>
        <w:br/>
        <w:t xml:space="preserve">  Verita --&gt; Events[Business Event Bus]</w:t>
        <w:br/>
        <w:t xml:space="preserve">  Events --&gt; Downstream[Contracts, Activation, CRM and Reporting]</w:t>
        <w:br/>
        <w:t xml:space="preserve">  Legacy[Five Legacy Applications] &lt;--&gt; Migration[Migration and Reconciliation Services]</w:t>
        <w:br/>
        <w:t xml:space="preserve">  Migration &lt;--&gt; Verita</w:t>
      </w:r>
    </w:p>
    <w:p>
      <w:pPr>
        <w:pStyle w:val="Heading2"/>
      </w:pPr>
      <w:r>
        <w:t>6.2 Main Components</w:t>
      </w:r>
    </w:p>
    <w:tbl>
      <w:tblPr>
        <w:tblStyle w:val="TableGrid"/>
        <w:tblW w:type="auto" w:w="0"/>
        <w:tblLook w:firstColumn="1" w:firstRow="1" w:lastColumn="0" w:lastRow="0" w:noHBand="0" w:noVBand="1" w:val="04A0"/>
      </w:tblPr>
      <w:tblGrid>
        <w:gridCol w:w="5083"/>
        <w:gridCol w:w="5083"/>
      </w:tblGrid>
      <w:tr>
        <w:tc>
          <w:tcPr>
            <w:tcW w:type="dxa" w:w="5083"/>
            <w:shd w:fill="173A65"/>
          </w:tcPr>
          <w:p>
            <w:r/>
            <w:r>
              <w:rPr>
                <w:b/>
                <w:color w:val="FFFFFF"/>
                <w:sz w:val="17"/>
              </w:rPr>
              <w:t>Component</w:t>
            </w:r>
          </w:p>
        </w:tc>
        <w:tc>
          <w:tcPr>
            <w:tcW w:type="dxa" w:w="5083"/>
            <w:shd w:fill="173A65"/>
          </w:tcPr>
          <w:p>
            <w:r/>
            <w:r>
              <w:rPr>
                <w:b/>
                <w:color w:val="FFFFFF"/>
                <w:sz w:val="17"/>
              </w:rPr>
              <w:t>Responsibility</w:t>
            </w:r>
          </w:p>
        </w:tc>
      </w:tr>
      <w:tr>
        <w:tc>
          <w:tcPr>
            <w:tcW w:type="dxa" w:w="5083"/>
            <w:shd w:fill="F4F8FB"/>
          </w:tcPr>
          <w:p>
            <w:r/>
            <w:r>
              <w:rPr>
                <w:b w:val="0"/>
                <w:sz w:val="17"/>
              </w:rPr>
              <w:t>Verita responsive web application</w:t>
            </w:r>
          </w:p>
        </w:tc>
        <w:tc>
          <w:tcPr>
            <w:tcW w:type="dxa" w:w="5083"/>
            <w:shd w:fill="F4F8FB"/>
          </w:tcPr>
          <w:p>
            <w:r/>
            <w:r>
              <w:rPr>
                <w:b w:val="0"/>
                <w:sz w:val="17"/>
              </w:rPr>
              <w:t>Secure intake, operations console, review queue and governance views</w:t>
            </w:r>
          </w:p>
        </w:tc>
      </w:tr>
      <w:tr>
        <w:tc>
          <w:tcPr>
            <w:tcW w:type="dxa" w:w="5083"/>
          </w:tcPr>
          <w:p>
            <w:r/>
            <w:r>
              <w:rPr>
                <w:b w:val="0"/>
                <w:sz w:val="17"/>
              </w:rPr>
              <w:t>Verita REST APIs</w:t>
            </w:r>
          </w:p>
        </w:tc>
        <w:tc>
          <w:tcPr>
            <w:tcW w:type="dxa" w:w="5083"/>
          </w:tcPr>
          <w:p>
            <w:r/>
            <w:r>
              <w:rPr>
                <w:b w:val="0"/>
                <w:sz w:val="17"/>
              </w:rPr>
              <w:t>Business workflow, validation, persistence and controlled integration</w:t>
            </w:r>
          </w:p>
        </w:tc>
      </w:tr>
      <w:tr>
        <w:tc>
          <w:tcPr>
            <w:tcW w:type="dxa" w:w="5083"/>
            <w:shd w:fill="F4F8FB"/>
          </w:tcPr>
          <w:p>
            <w:r/>
            <w:r>
              <w:rPr>
                <w:b w:val="0"/>
                <w:sz w:val="17"/>
              </w:rPr>
              <w:t>Cerberus adapter</w:t>
            </w:r>
          </w:p>
        </w:tc>
        <w:tc>
          <w:tcPr>
            <w:tcW w:type="dxa" w:w="5083"/>
            <w:shd w:fill="F4F8FB"/>
          </w:tcPr>
          <w:p>
            <w:r/>
            <w:r>
              <w:rPr>
                <w:b w:val="0"/>
                <w:sz w:val="17"/>
              </w:rPr>
              <w:t>Authentication, SAML federation, MFA and role mapping</w:t>
            </w:r>
          </w:p>
        </w:tc>
      </w:tr>
      <w:tr>
        <w:tc>
          <w:tcPr>
            <w:tcW w:type="dxa" w:w="5083"/>
          </w:tcPr>
          <w:p>
            <w:r/>
            <w:r>
              <w:rPr>
                <w:b w:val="0"/>
                <w:sz w:val="17"/>
              </w:rPr>
              <w:t>Patronum adapter</w:t>
            </w:r>
          </w:p>
        </w:tc>
        <w:tc>
          <w:tcPr>
            <w:tcW w:type="dxa" w:w="5083"/>
          </w:tcPr>
          <w:p>
            <w:r/>
            <w:r>
              <w:rPr>
                <w:b w:val="0"/>
                <w:sz w:val="17"/>
              </w:rPr>
              <w:t>Explainable KYC analysis, anomaly signals and recommendation</w:t>
            </w:r>
          </w:p>
        </w:tc>
      </w:tr>
      <w:tr>
        <w:tc>
          <w:tcPr>
            <w:tcW w:type="dxa" w:w="5083"/>
            <w:shd w:fill="F4F8FB"/>
          </w:tcPr>
          <w:p>
            <w:r/>
            <w:r>
              <w:rPr>
                <w:b w:val="0"/>
                <w:sz w:val="17"/>
              </w:rPr>
              <w:t>Evidence service</w:t>
            </w:r>
          </w:p>
        </w:tc>
        <w:tc>
          <w:tcPr>
            <w:tcW w:type="dxa" w:w="5083"/>
            <w:shd w:fill="F4F8FB"/>
          </w:tcPr>
          <w:p>
            <w:r/>
            <w:r>
              <w:rPr>
                <w:b w:val="0"/>
                <w:sz w:val="17"/>
              </w:rPr>
              <w:t>Encrypted document storage, malware scanning and metadata</w:t>
            </w:r>
          </w:p>
        </w:tc>
      </w:tr>
      <w:tr>
        <w:tc>
          <w:tcPr>
            <w:tcW w:type="dxa" w:w="5083"/>
          </w:tcPr>
          <w:p>
            <w:r/>
            <w:r>
              <w:rPr>
                <w:b w:val="0"/>
                <w:sz w:val="17"/>
              </w:rPr>
              <w:t>Customer record service</w:t>
            </w:r>
          </w:p>
        </w:tc>
        <w:tc>
          <w:tcPr>
            <w:tcW w:type="dxa" w:w="5083"/>
          </w:tcPr>
          <w:p>
            <w:r/>
            <w:r>
              <w:rPr>
                <w:b w:val="0"/>
                <w:sz w:val="17"/>
              </w:rPr>
              <w:t>Golden customer record and controlled publication</w:t>
            </w:r>
          </w:p>
        </w:tc>
      </w:tr>
      <w:tr>
        <w:tc>
          <w:tcPr>
            <w:tcW w:type="dxa" w:w="5083"/>
            <w:shd w:fill="F4F8FB"/>
          </w:tcPr>
          <w:p>
            <w:r/>
            <w:r>
              <w:rPr>
                <w:b w:val="0"/>
                <w:sz w:val="17"/>
              </w:rPr>
              <w:t>Audit service</w:t>
            </w:r>
          </w:p>
        </w:tc>
        <w:tc>
          <w:tcPr>
            <w:tcW w:type="dxa" w:w="5083"/>
            <w:shd w:fill="F4F8FB"/>
          </w:tcPr>
          <w:p>
            <w:r/>
            <w:r>
              <w:rPr>
                <w:b w:val="0"/>
                <w:sz w:val="17"/>
              </w:rPr>
              <w:t>Retained evidence and immutable regulated-action history</w:t>
            </w:r>
          </w:p>
        </w:tc>
      </w:tr>
      <w:tr>
        <w:tc>
          <w:tcPr>
            <w:tcW w:type="dxa" w:w="5083"/>
          </w:tcPr>
          <w:p>
            <w:r/>
            <w:r>
              <w:rPr>
                <w:b w:val="0"/>
                <w:sz w:val="17"/>
              </w:rPr>
              <w:t>Event bus</w:t>
            </w:r>
          </w:p>
        </w:tc>
        <w:tc>
          <w:tcPr>
            <w:tcW w:type="dxa" w:w="5083"/>
          </w:tcPr>
          <w:p>
            <w:r/>
            <w:r>
              <w:rPr>
                <w:b w:val="0"/>
                <w:sz w:val="17"/>
              </w:rPr>
              <w:t>Decoupled delivery of customer and activation events</w:t>
            </w:r>
          </w:p>
        </w:tc>
      </w:tr>
      <w:tr>
        <w:tc>
          <w:tcPr>
            <w:tcW w:type="dxa" w:w="5083"/>
            <w:shd w:fill="F4F8FB"/>
          </w:tcPr>
          <w:p>
            <w:r/>
            <w:r>
              <w:rPr>
                <w:b w:val="0"/>
                <w:sz w:val="17"/>
              </w:rPr>
              <w:t>Migration services</w:t>
            </w:r>
          </w:p>
        </w:tc>
        <w:tc>
          <w:tcPr>
            <w:tcW w:type="dxa" w:w="5083"/>
            <w:shd w:fill="F4F8FB"/>
          </w:tcPr>
          <w:p>
            <w:r/>
            <w:r>
              <w:rPr>
                <w:b w:val="0"/>
                <w:sz w:val="17"/>
              </w:rPr>
              <w:t>Legacy extraction, transformation, reconciliation and reporting</w:t>
            </w:r>
          </w:p>
        </w:tc>
      </w:tr>
    </w:tbl>
    <w:p/>
    <w:p>
      <w:pPr>
        <w:pStyle w:val="Heading2"/>
      </w:pPr>
      <w:r>
        <w:t>6.3 Integration Patterns</w:t>
      </w:r>
    </w:p>
    <w:tbl>
      <w:tblPr>
        <w:tblStyle w:val="TableGrid"/>
        <w:tblW w:type="auto" w:w="0"/>
        <w:tblLook w:firstColumn="1" w:firstRow="1" w:lastColumn="0" w:lastRow="0" w:noHBand="0" w:noVBand="1" w:val="04A0"/>
      </w:tblPr>
      <w:tblGrid>
        <w:gridCol w:w="5083"/>
        <w:gridCol w:w="5083"/>
      </w:tblGrid>
      <w:tr>
        <w:tc>
          <w:tcPr>
            <w:tcW w:type="dxa" w:w="5083"/>
            <w:shd w:fill="173A65"/>
          </w:tcPr>
          <w:p>
            <w:r/>
            <w:r>
              <w:rPr>
                <w:b/>
                <w:color w:val="FFFFFF"/>
                <w:sz w:val="17"/>
              </w:rPr>
              <w:t>Pattern</w:t>
            </w:r>
          </w:p>
        </w:tc>
        <w:tc>
          <w:tcPr>
            <w:tcW w:type="dxa" w:w="5083"/>
            <w:shd w:fill="173A65"/>
          </w:tcPr>
          <w:p>
            <w:r/>
            <w:r>
              <w:rPr>
                <w:b/>
                <w:color w:val="FFFFFF"/>
                <w:sz w:val="17"/>
              </w:rPr>
              <w:t>Use</w:t>
            </w:r>
          </w:p>
        </w:tc>
      </w:tr>
      <w:tr>
        <w:tc>
          <w:tcPr>
            <w:tcW w:type="dxa" w:w="5083"/>
            <w:shd w:fill="F4F8FB"/>
          </w:tcPr>
          <w:p>
            <w:r/>
            <w:r>
              <w:rPr>
                <w:b w:val="0"/>
                <w:sz w:val="17"/>
              </w:rPr>
              <w:t>Synchronous REST API</w:t>
            </w:r>
          </w:p>
        </w:tc>
        <w:tc>
          <w:tcPr>
            <w:tcW w:type="dxa" w:w="5083"/>
            <w:shd w:fill="F4F8FB"/>
          </w:tcPr>
          <w:p>
            <w:r/>
            <w:r>
              <w:rPr>
                <w:b w:val="0"/>
                <w:sz w:val="17"/>
              </w:rPr>
              <w:t>User-facing validation, case retrieval and decision submission</w:t>
            </w:r>
          </w:p>
        </w:tc>
      </w:tr>
      <w:tr>
        <w:tc>
          <w:tcPr>
            <w:tcW w:type="dxa" w:w="5083"/>
          </w:tcPr>
          <w:p>
            <w:r/>
            <w:r>
              <w:rPr>
                <w:b w:val="0"/>
                <w:sz w:val="17"/>
              </w:rPr>
              <w:t>Asynchronous business events</w:t>
            </w:r>
          </w:p>
        </w:tc>
        <w:tc>
          <w:tcPr>
            <w:tcW w:type="dxa" w:w="5083"/>
          </w:tcPr>
          <w:p>
            <w:r/>
            <w:r>
              <w:rPr>
                <w:b w:val="0"/>
                <w:sz w:val="17"/>
              </w:rPr>
              <w:t>Activation, customer-record publication, analytics and downstream notifications</w:t>
            </w:r>
          </w:p>
        </w:tc>
      </w:tr>
      <w:tr>
        <w:tc>
          <w:tcPr>
            <w:tcW w:type="dxa" w:w="5083"/>
            <w:shd w:fill="F4F8FB"/>
          </w:tcPr>
          <w:p>
            <w:r/>
            <w:r>
              <w:rPr>
                <w:b w:val="0"/>
                <w:sz w:val="17"/>
              </w:rPr>
              <w:t>Batch migration</w:t>
            </w:r>
          </w:p>
        </w:tc>
        <w:tc>
          <w:tcPr>
            <w:tcW w:type="dxa" w:w="5083"/>
            <w:shd w:fill="F4F8FB"/>
          </w:tcPr>
          <w:p>
            <w:r/>
            <w:r>
              <w:rPr>
                <w:b w:val="0"/>
                <w:sz w:val="17"/>
              </w:rPr>
              <w:t>Historical legacy extraction and reconciliation</w:t>
            </w:r>
          </w:p>
        </w:tc>
      </w:tr>
      <w:tr>
        <w:tc>
          <w:tcPr>
            <w:tcW w:type="dxa" w:w="5083"/>
          </w:tcPr>
          <w:p>
            <w:r/>
            <w:r>
              <w:rPr>
                <w:b w:val="0"/>
                <w:sz w:val="17"/>
              </w:rPr>
              <w:t>Append-only evidence stream</w:t>
            </w:r>
          </w:p>
        </w:tc>
        <w:tc>
          <w:tcPr>
            <w:tcW w:type="dxa" w:w="5083"/>
          </w:tcPr>
          <w:p>
            <w:r/>
            <w:r>
              <w:rPr>
                <w:b w:val="0"/>
                <w:sz w:val="17"/>
              </w:rPr>
              <w:t>Audit, observability and compliance reporting</w:t>
            </w:r>
          </w:p>
        </w:tc>
      </w:tr>
    </w:tbl>
    <w:p/>
    <w:p>
      <w:r>
        <w:t>Direct database integration is not permitted between domains. APIs and events are versioned, monitored and documented.</w:t>
      </w:r>
    </w:p>
    <w:p>
      <w:pPr>
        <w:pStyle w:val="Heading2"/>
      </w:pPr>
      <w:r>
        <w:t>6.4 Coexistence with Legacy Systems</w:t>
      </w:r>
    </w:p>
    <w:p>
      <w:r>
        <w:t>During transition:</w:t>
      </w:r>
    </w:p>
    <w:p>
      <w:pPr>
        <w:pStyle w:val="ListNumber"/>
      </w:pPr>
      <w:r>
        <w:t>Verita operates in shadow mode and compares results with legacy processes.</w:t>
      </w:r>
    </w:p>
    <w:p>
      <w:pPr>
        <w:pStyle w:val="ListNumber"/>
      </w:pPr>
      <w:r>
        <w:t>Selected cohorts are onboarded directly in Verita.</w:t>
      </w:r>
    </w:p>
    <w:p>
      <w:pPr>
        <w:pStyle w:val="ListNumber"/>
      </w:pPr>
      <w:r>
        <w:t>Legacy records are synchronized and reconciled.</w:t>
      </w:r>
    </w:p>
    <w:p>
      <w:pPr>
        <w:pStyle w:val="ListNumber"/>
      </w:pPr>
      <w:r>
        <w:t>Country rollouts are completed progressively.</w:t>
      </w:r>
    </w:p>
    <w:p>
      <w:pPr>
        <w:pStyle w:val="ListNumber"/>
      </w:pPr>
      <w:r>
        <w:t>Legacy applications become read-only.</w:t>
      </w:r>
    </w:p>
    <w:p>
      <w:pPr>
        <w:pStyle w:val="ListNumber"/>
      </w:pPr>
      <w:r>
        <w:t>Applications are retired after evidence retention and business sign-off.</w:t>
      </w:r>
    </w:p>
    <w:p>
      <w:pPr>
        <w:pBdr>
          <w:bottom w:val="single" w:sz="6" w:space="1" w:color="41B9BB"/>
        </w:pBdr>
      </w:pPr>
    </w:p>
    <w:p>
      <w:pPr>
        <w:pStyle w:val="Heading1"/>
        <w:pBdr>
          <w:bottom w:val="single" w:sz="6" w:space="1" w:color="41B9BB"/>
        </w:pBdr>
      </w:pPr>
      <w:r>
        <w:t>7. Patronum AI Capability</w:t>
      </w:r>
    </w:p>
    <w:p>
      <w:pPr>
        <w:pStyle w:val="Heading2"/>
      </w:pPr>
      <w:r>
        <w:t>7.1 What Patronum Does</w:t>
      </w:r>
    </w:p>
    <w:p>
      <w:r>
        <w:t>Patronum:</w:t>
      </w:r>
    </w:p>
    <w:p>
      <w:pPr>
        <w:pStyle w:val="ListBullet"/>
      </w:pPr>
      <w:r>
        <w:t>analyzes identity and compliance evidence;</w:t>
      </w:r>
    </w:p>
    <w:p>
      <w:pPr>
        <w:pStyle w:val="ListBullet"/>
      </w:pPr>
      <w:r>
        <w:t>extracts structured attributes;</w:t>
      </w:r>
    </w:p>
    <w:p>
      <w:pPr>
        <w:pStyle w:val="ListBullet"/>
      </w:pPr>
      <w:r>
        <w:t>flags anomalies and possible duplicate records;</w:t>
      </w:r>
    </w:p>
    <w:p>
      <w:pPr>
        <w:pStyle w:val="ListBullet"/>
      </w:pPr>
      <w:r>
        <w:t>detects low-confidence evidence regions;</w:t>
      </w:r>
    </w:p>
    <w:p>
      <w:pPr>
        <w:pStyle w:val="ListBullet"/>
      </w:pPr>
      <w:r>
        <w:t>performs approved compliance screening;</w:t>
      </w:r>
    </w:p>
    <w:p>
      <w:pPr>
        <w:pStyle w:val="ListBullet"/>
      </w:pPr>
      <w:r>
        <w:t>returns a confidence score, risk level, explanation and recommendation.</w:t>
      </w:r>
    </w:p>
    <w:p>
      <w:pPr>
        <w:pStyle w:val="Heading2"/>
      </w:pPr>
      <w:r>
        <w:t>7.2 What Patronum Does Not Do</w:t>
      </w:r>
    </w:p>
    <w:p>
      <w:r>
        <w:t>Patronum does not:</w:t>
      </w:r>
    </w:p>
    <w:p>
      <w:pPr>
        <w:pStyle w:val="ListBullet"/>
      </w:pPr>
      <w:r>
        <w:t>autonomously reject a customer;</w:t>
      </w:r>
    </w:p>
    <w:p>
      <w:pPr>
        <w:pStyle w:val="ListBullet"/>
      </w:pPr>
      <w:r>
        <w:t>make irreversible high-risk compliance decisions;</w:t>
      </w:r>
    </w:p>
    <w:p>
      <w:pPr>
        <w:pStyle w:val="ListBullet"/>
      </w:pPr>
      <w:r>
        <w:t>invent missing customer information;</w:t>
      </w:r>
    </w:p>
    <w:p>
      <w:pPr>
        <w:pStyle w:val="ListBullet"/>
      </w:pPr>
      <w:r>
        <w:t>bypass Cerberus access controls;</w:t>
      </w:r>
    </w:p>
    <w:p>
      <w:pPr>
        <w:pStyle w:val="ListBullet"/>
      </w:pPr>
      <w:r>
        <w:t>expose customer data to public AI services;</w:t>
      </w:r>
    </w:p>
    <w:p>
      <w:pPr>
        <w:pStyle w:val="ListBullet"/>
      </w:pPr>
      <w:r>
        <w:t>replace accountable compliance professionals.</w:t>
      </w:r>
    </w:p>
    <w:p>
      <w:pPr>
        <w:pStyle w:val="Heading2"/>
      </w:pPr>
      <w:r>
        <w:t>7.3 Inputs and Outputs</w:t>
      </w:r>
    </w:p>
    <w:tbl>
      <w:tblPr>
        <w:tblStyle w:val="TableGrid"/>
        <w:tblW w:type="auto" w:w="0"/>
        <w:tblLook w:firstColumn="1" w:firstRow="1" w:lastColumn="0" w:lastRow="0" w:noHBand="0" w:noVBand="1" w:val="04A0"/>
      </w:tblPr>
      <w:tblGrid>
        <w:gridCol w:w="5083"/>
        <w:gridCol w:w="5083"/>
      </w:tblGrid>
      <w:tr>
        <w:tc>
          <w:tcPr>
            <w:tcW w:type="dxa" w:w="5083"/>
            <w:shd w:fill="173A65"/>
          </w:tcPr>
          <w:p>
            <w:r/>
            <w:r>
              <w:rPr>
                <w:b/>
                <w:color w:val="FFFFFF"/>
                <w:sz w:val="17"/>
              </w:rPr>
              <w:t>Inputs</w:t>
            </w:r>
          </w:p>
        </w:tc>
        <w:tc>
          <w:tcPr>
            <w:tcW w:type="dxa" w:w="5083"/>
            <w:shd w:fill="173A65"/>
          </w:tcPr>
          <w:p>
            <w:r/>
            <w:r>
              <w:rPr>
                <w:b/>
                <w:color w:val="FFFFFF"/>
                <w:sz w:val="17"/>
              </w:rPr>
              <w:t>Outputs</w:t>
            </w:r>
          </w:p>
        </w:tc>
      </w:tr>
      <w:tr>
        <w:tc>
          <w:tcPr>
            <w:tcW w:type="dxa" w:w="5083"/>
            <w:shd w:fill="F4F8FB"/>
          </w:tcPr>
          <w:p>
            <w:r/>
            <w:r>
              <w:rPr>
                <w:b w:val="0"/>
                <w:sz w:val="17"/>
              </w:rPr>
              <w:t>Customer identity attributes, market, customer type, encrypted evidence, approved country-rule context</w:t>
            </w:r>
          </w:p>
        </w:tc>
        <w:tc>
          <w:tcPr>
            <w:tcW w:type="dxa" w:w="5083"/>
            <w:shd w:fill="F4F8FB"/>
          </w:tcPr>
          <w:p>
            <w:r/>
            <w:r>
              <w:rPr>
                <w:b w:val="0"/>
                <w:sz w:val="17"/>
              </w:rPr>
              <w:t>Extracted fields, anomaly indicators, confidence score, risk classification, explanation, model version, recommended route</w:t>
            </w:r>
          </w:p>
        </w:tc>
      </w:tr>
    </w:tbl>
    <w:p/>
    <w:p>
      <w:pPr>
        <w:pStyle w:val="Heading2"/>
      </w:pPr>
      <w:r>
        <w:t>7.4 Human Validation Points</w:t>
      </w:r>
    </w:p>
    <w:p>
      <w:r>
        <w:t>Human validation is mandatory when:</w:t>
      </w:r>
    </w:p>
    <w:p>
      <w:pPr>
        <w:pStyle w:val="ListBullet"/>
      </w:pPr>
      <w:r>
        <w:t>the confidence score is below the approved threshold;</w:t>
      </w:r>
    </w:p>
    <w:p>
      <w:pPr>
        <w:pStyle w:val="ListBullet"/>
      </w:pPr>
      <w:r>
        <w:t>duplicate identities are suspected;</w:t>
      </w:r>
    </w:p>
    <w:p>
      <w:pPr>
        <w:pStyle w:val="ListBullet"/>
      </w:pPr>
      <w:r>
        <w:t>evidence is incomplete or contradictory;</w:t>
      </w:r>
    </w:p>
    <w:p>
      <w:pPr>
        <w:pStyle w:val="ListBullet"/>
      </w:pPr>
      <w:r>
        <w:t>business onboarding requires an authorized-representative check;</w:t>
      </w:r>
    </w:p>
    <w:p>
      <w:pPr>
        <w:pStyle w:val="ListBullet"/>
      </w:pPr>
      <w:r>
        <w:t>sanctions or politically exposed person screening requires interpretation;</w:t>
      </w:r>
    </w:p>
    <w:p>
      <w:pPr>
        <w:pStyle w:val="ListBullet"/>
      </w:pPr>
      <w:r>
        <w:t>analysts override a Patronum recommendation.</w:t>
      </w:r>
    </w:p>
    <w:p>
      <w:pPr>
        <w:pStyle w:val="Heading2"/>
      </w:pPr>
      <w:r>
        <w:t>7.5 AI Risk Mitigation</w:t>
      </w:r>
    </w:p>
    <w:tbl>
      <w:tblPr>
        <w:tblStyle w:val="TableGrid"/>
        <w:tblW w:type="auto" w:w="0"/>
        <w:tblLook w:firstColumn="1" w:firstRow="1" w:lastColumn="0" w:lastRow="0" w:noHBand="0" w:noVBand="1" w:val="04A0"/>
      </w:tblPr>
      <w:tblGrid>
        <w:gridCol w:w="5083"/>
        <w:gridCol w:w="5083"/>
      </w:tblGrid>
      <w:tr>
        <w:tc>
          <w:tcPr>
            <w:tcW w:type="dxa" w:w="5083"/>
            <w:shd w:fill="173A65"/>
          </w:tcPr>
          <w:p>
            <w:r/>
            <w:r>
              <w:rPr>
                <w:b/>
                <w:color w:val="FFFFFF"/>
                <w:sz w:val="17"/>
              </w:rPr>
              <w:t>Risk</w:t>
            </w:r>
          </w:p>
        </w:tc>
        <w:tc>
          <w:tcPr>
            <w:tcW w:type="dxa" w:w="5083"/>
            <w:shd w:fill="173A65"/>
          </w:tcPr>
          <w:p>
            <w:r/>
            <w:r>
              <w:rPr>
                <w:b/>
                <w:color w:val="FFFFFF"/>
                <w:sz w:val="17"/>
              </w:rPr>
              <w:t>Mitigation</w:t>
            </w:r>
          </w:p>
        </w:tc>
      </w:tr>
      <w:tr>
        <w:tc>
          <w:tcPr>
            <w:tcW w:type="dxa" w:w="5083"/>
            <w:shd w:fill="F4F8FB"/>
          </w:tcPr>
          <w:p>
            <w:r/>
            <w:r>
              <w:rPr>
                <w:b w:val="0"/>
                <w:sz w:val="17"/>
              </w:rPr>
              <w:t>False positive</w:t>
            </w:r>
          </w:p>
        </w:tc>
        <w:tc>
          <w:tcPr>
            <w:tcW w:type="dxa" w:w="5083"/>
            <w:shd w:fill="F4F8FB"/>
          </w:tcPr>
          <w:p>
            <w:r/>
            <w:r>
              <w:rPr>
                <w:b w:val="0"/>
                <w:sz w:val="17"/>
              </w:rPr>
              <w:t>Human review, reason codes and appeal path</w:t>
            </w:r>
          </w:p>
        </w:tc>
      </w:tr>
      <w:tr>
        <w:tc>
          <w:tcPr>
            <w:tcW w:type="dxa" w:w="5083"/>
          </w:tcPr>
          <w:p>
            <w:r/>
            <w:r>
              <w:rPr>
                <w:b w:val="0"/>
                <w:sz w:val="17"/>
              </w:rPr>
              <w:t>False negative</w:t>
            </w:r>
          </w:p>
        </w:tc>
        <w:tc>
          <w:tcPr>
            <w:tcW w:type="dxa" w:w="5083"/>
          </w:tcPr>
          <w:p>
            <w:r/>
            <w:r>
              <w:rPr>
                <w:b w:val="0"/>
                <w:sz w:val="17"/>
              </w:rPr>
              <w:t>Sampling, quality monitoring and periodic rule review</w:t>
            </w:r>
          </w:p>
        </w:tc>
      </w:tr>
      <w:tr>
        <w:tc>
          <w:tcPr>
            <w:tcW w:type="dxa" w:w="5083"/>
            <w:shd w:fill="F4F8FB"/>
          </w:tcPr>
          <w:p>
            <w:r/>
            <w:r>
              <w:rPr>
                <w:b w:val="0"/>
                <w:sz w:val="17"/>
              </w:rPr>
              <w:t>Bias</w:t>
            </w:r>
          </w:p>
        </w:tc>
        <w:tc>
          <w:tcPr>
            <w:tcW w:type="dxa" w:w="5083"/>
            <w:shd w:fill="F4F8FB"/>
          </w:tcPr>
          <w:p>
            <w:r/>
            <w:r>
              <w:rPr>
                <w:b w:val="0"/>
                <w:sz w:val="17"/>
              </w:rPr>
              <w:t>Market-specific testing, fairness metrics and independent governance review</w:t>
            </w:r>
          </w:p>
        </w:tc>
      </w:tr>
      <w:tr>
        <w:tc>
          <w:tcPr>
            <w:tcW w:type="dxa" w:w="5083"/>
          </w:tcPr>
          <w:p>
            <w:r/>
            <w:r>
              <w:rPr>
                <w:b w:val="0"/>
                <w:sz w:val="17"/>
              </w:rPr>
              <w:t>Model drift</w:t>
            </w:r>
          </w:p>
        </w:tc>
        <w:tc>
          <w:tcPr>
            <w:tcW w:type="dxa" w:w="5083"/>
          </w:tcPr>
          <w:p>
            <w:r/>
            <w:r>
              <w:rPr>
                <w:b w:val="0"/>
                <w:sz w:val="17"/>
              </w:rPr>
              <w:t>Version tracking, performance monitoring and rollback capability</w:t>
            </w:r>
          </w:p>
        </w:tc>
      </w:tr>
      <w:tr>
        <w:tc>
          <w:tcPr>
            <w:tcW w:type="dxa" w:w="5083"/>
            <w:shd w:fill="F4F8FB"/>
          </w:tcPr>
          <w:p>
            <w:r/>
            <w:r>
              <w:rPr>
                <w:b w:val="0"/>
                <w:sz w:val="17"/>
              </w:rPr>
              <w:t>Data leakage</w:t>
            </w:r>
          </w:p>
        </w:tc>
        <w:tc>
          <w:tcPr>
            <w:tcW w:type="dxa" w:w="5083"/>
            <w:shd w:fill="F4F8FB"/>
          </w:tcPr>
          <w:p>
            <w:r/>
            <w:r>
              <w:rPr>
                <w:b w:val="0"/>
                <w:sz w:val="17"/>
              </w:rPr>
              <w:t>Private gateway, encryption, data minimization and prohibited public AI calls</w:t>
            </w:r>
          </w:p>
        </w:tc>
      </w:tr>
      <w:tr>
        <w:tc>
          <w:tcPr>
            <w:tcW w:type="dxa" w:w="5083"/>
          </w:tcPr>
          <w:p>
            <w:r/>
            <w:r>
              <w:rPr>
                <w:b w:val="0"/>
                <w:sz w:val="17"/>
              </w:rPr>
              <w:t>Hallucinated decision</w:t>
            </w:r>
          </w:p>
        </w:tc>
        <w:tc>
          <w:tcPr>
            <w:tcW w:type="dxa" w:w="5083"/>
          </w:tcPr>
          <w:p>
            <w:r/>
            <w:r>
              <w:rPr>
                <w:b w:val="0"/>
                <w:sz w:val="17"/>
              </w:rPr>
              <w:t>Structured outputs, deterministic validation and no autonomous sensitive decision</w:t>
            </w:r>
          </w:p>
        </w:tc>
      </w:tr>
      <w:tr>
        <w:tc>
          <w:tcPr>
            <w:tcW w:type="dxa" w:w="5083"/>
            <w:shd w:fill="F4F8FB"/>
          </w:tcPr>
          <w:p>
            <w:r/>
            <w:r>
              <w:rPr>
                <w:b w:val="0"/>
                <w:sz w:val="17"/>
              </w:rPr>
              <w:t>Poor explainability</w:t>
            </w:r>
          </w:p>
        </w:tc>
        <w:tc>
          <w:tcPr>
            <w:tcW w:type="dxa" w:w="5083"/>
            <w:shd w:fill="F4F8FB"/>
          </w:tcPr>
          <w:p>
            <w:r/>
            <w:r>
              <w:rPr>
                <w:b w:val="0"/>
                <w:sz w:val="17"/>
              </w:rPr>
              <w:t>Store confidence score, reasons, model version and evidence references</w:t>
            </w:r>
          </w:p>
        </w:tc>
      </w:tr>
      <w:tr>
        <w:tc>
          <w:tcPr>
            <w:tcW w:type="dxa" w:w="5083"/>
          </w:tcPr>
          <w:p>
            <w:r/>
            <w:r>
              <w:rPr>
                <w:b w:val="0"/>
                <w:sz w:val="17"/>
              </w:rPr>
              <w:t>Malicious document</w:t>
            </w:r>
          </w:p>
        </w:tc>
        <w:tc>
          <w:tcPr>
            <w:tcW w:type="dxa" w:w="5083"/>
          </w:tcPr>
          <w:p>
            <w:r/>
            <w:r>
              <w:rPr>
                <w:b w:val="0"/>
                <w:sz w:val="17"/>
              </w:rPr>
              <w:t>File-type controls, malware scanning and isolated processing</w:t>
            </w:r>
          </w:p>
        </w:tc>
      </w:tr>
      <w:tr>
        <w:tc>
          <w:tcPr>
            <w:tcW w:type="dxa" w:w="5083"/>
            <w:shd w:fill="F4F8FB"/>
          </w:tcPr>
          <w:p>
            <w:r/>
            <w:r>
              <w:rPr>
                <w:b w:val="0"/>
                <w:sz w:val="17"/>
              </w:rPr>
              <w:t>Bad usage</w:t>
            </w:r>
          </w:p>
        </w:tc>
        <w:tc>
          <w:tcPr>
            <w:tcW w:type="dxa" w:w="5083"/>
            <w:shd w:fill="F4F8FB"/>
          </w:tcPr>
          <w:p>
            <w:r/>
            <w:r>
              <w:rPr>
                <w:b w:val="0"/>
                <w:sz w:val="17"/>
              </w:rPr>
              <w:t>Role-based access, training, policy controls and audit review</w:t>
            </w:r>
          </w:p>
        </w:tc>
      </w:tr>
    </w:tbl>
    <w:p/>
    <w:p>
      <w:pPr>
        <w:pBdr>
          <w:bottom w:val="single" w:sz="6" w:space="1" w:color="41B9BB"/>
        </w:pBdr>
      </w:pPr>
    </w:p>
    <w:p>
      <w:pPr>
        <w:pStyle w:val="Heading1"/>
        <w:pBdr>
          <w:bottom w:val="single" w:sz="6" w:space="1" w:color="41B9BB"/>
        </w:pBdr>
      </w:pPr>
      <w:r>
        <w:t>8. Technology Architecture</w:t>
      </w:r>
    </w:p>
    <w:p>
      <w:pPr>
        <w:pStyle w:val="Heading2"/>
      </w:pPr>
      <w:r>
        <w:t>8.1 Azure Target Platform</w:t>
      </w:r>
    </w:p>
    <w:p>
      <w:pPr>
        <w:spacing w:after="160"/>
        <w:ind w:left="288"/>
      </w:pPr>
      <w:r>
        <w:rPr>
          <w:rFonts w:ascii="Consolas" w:hAnsi="Consolas"/>
          <w:color w:val="4A5C70"/>
          <w:sz w:val="15"/>
        </w:rPr>
        <w:t>flowchart TB</w:t>
        <w:br/>
        <w:t xml:space="preserve">  Internet[Customer and Staff Access] --&gt; FrontDoor[Azure Front Door and WAF]</w:t>
        <w:br/>
        <w:t xml:space="preserve">  FrontDoor --&gt; APIM[Azure API Management]</w:t>
        <w:br/>
        <w:t xml:space="preserve">  APIM --&gt; Apps[Azure Container Apps or App Service]</w:t>
        <w:br/>
        <w:t xml:space="preserve">  Apps --&gt; ServiceBus[Azure Service Bus]</w:t>
        <w:br/>
        <w:t xml:space="preserve">  Apps --&gt; SQL[Azure SQL or PostgreSQL]</w:t>
        <w:br/>
        <w:t xml:space="preserve">  Apps --&gt; Blob[Azure Blob Storage]</w:t>
        <w:br/>
        <w:t xml:space="preserve">  Apps --&gt; KeyVault[Azure Key Vault]</w:t>
        <w:br/>
        <w:t xml:space="preserve">  Apps --&gt; Monitor[Application Insights and Log Analytics]</w:t>
        <w:br/>
        <w:t xml:space="preserve">  ServiceBus --&gt; Workers[Event-driven Workers]</w:t>
        <w:br/>
        <w:t xml:space="preserve">  Cerberus[Okta Cerberus] --&gt; APIM</w:t>
        <w:br/>
        <w:t xml:space="preserve">  Patronum[Private Patronum Gateway] --&gt; Apps</w:t>
      </w:r>
    </w:p>
    <w:p>
      <w:pPr>
        <w:pStyle w:val="Heading2"/>
      </w:pPr>
      <w:r>
        <w:t>8.2 Scalability</w:t>
      </w:r>
    </w:p>
    <w:p>
      <w:pPr>
        <w:pStyle w:val="ListBullet"/>
      </w:pPr>
      <w:r>
        <w:t>Scale stateless APIs horizontally.</w:t>
      </w:r>
    </w:p>
    <w:p>
      <w:pPr>
        <w:pStyle w:val="ListBullet"/>
      </w:pPr>
      <w:r>
        <w:t>Use asynchronous processing for document analysis and non-blocking downstream activities.</w:t>
      </w:r>
    </w:p>
    <w:p>
      <w:pPr>
        <w:pStyle w:val="ListBullet"/>
      </w:pPr>
      <w:r>
        <w:t>Apply autoscaling based on request rate, queue depth and processing latency.</w:t>
      </w:r>
    </w:p>
    <w:p>
      <w:pPr>
        <w:pStyle w:val="ListBullet"/>
      </w:pPr>
      <w:r>
        <w:t>Separate evidence storage from operational records.</w:t>
      </w:r>
    </w:p>
    <w:p>
      <w:pPr>
        <w:pStyle w:val="ListBullet"/>
      </w:pPr>
      <w:r>
        <w:t>Use idempotent event handling to prevent duplicate activation.</w:t>
      </w:r>
    </w:p>
    <w:p>
      <w:pPr>
        <w:pStyle w:val="ListBullet"/>
      </w:pPr>
      <w:r>
        <w:t>Size the initial platform for at least 10 times average daily volume.</w:t>
      </w:r>
    </w:p>
    <w:p>
      <w:pPr>
        <w:pStyle w:val="Heading2"/>
      </w:pPr>
      <w:r>
        <w:t>8.3 Observability</w:t>
      </w:r>
    </w:p>
    <w:p>
      <w:r>
        <w:t>The run model includes:</w:t>
      </w:r>
    </w:p>
    <w:p>
      <w:pPr>
        <w:pStyle w:val="ListBullet"/>
      </w:pPr>
      <w:r>
        <w:t>synthetic monitoring of the onboarding journey;</w:t>
      </w:r>
    </w:p>
    <w:p>
      <w:pPr>
        <w:pStyle w:val="ListBullet"/>
      </w:pPr>
      <w:r>
        <w:t>API latency, error-rate and saturation dashboards;</w:t>
      </w:r>
    </w:p>
    <w:p>
      <w:pPr>
        <w:pStyle w:val="ListBullet"/>
      </w:pPr>
      <w:r>
        <w:t>queue-depth and document-processing metrics;</w:t>
      </w:r>
    </w:p>
    <w:p>
      <w:pPr>
        <w:pStyle w:val="ListBullet"/>
      </w:pPr>
      <w:r>
        <w:t>security event monitoring and alerting;</w:t>
      </w:r>
    </w:p>
    <w:p>
      <w:pPr>
        <w:pStyle w:val="ListBullet"/>
      </w:pPr>
      <w:r>
        <w:t>audit-chain integrity checks;</w:t>
      </w:r>
    </w:p>
    <w:p>
      <w:pPr>
        <w:pStyle w:val="ListBullet"/>
      </w:pPr>
      <w:r>
        <w:t>data-quality threshold alerts;</w:t>
      </w:r>
    </w:p>
    <w:p>
      <w:pPr>
        <w:pStyle w:val="ListBullet"/>
      </w:pPr>
      <w:r>
        <w:t>Patronum drift and false-positive reporting;</w:t>
      </w:r>
    </w:p>
    <w:p>
      <w:pPr>
        <w:pStyle w:val="ListBullet"/>
      </w:pPr>
      <w:r>
        <w:t>country-specific operational dashboards.</w:t>
      </w:r>
    </w:p>
    <w:p>
      <w:pPr>
        <w:pStyle w:val="Heading2"/>
      </w:pPr>
      <w:r>
        <w:t>8.4 Resilience</w:t>
      </w:r>
    </w:p>
    <w:p>
      <w:pPr>
        <w:pStyle w:val="ListBullet"/>
      </w:pPr>
      <w:r>
        <w:t>Multi-zone deployment where supported;</w:t>
      </w:r>
    </w:p>
    <w:p>
      <w:pPr>
        <w:pStyle w:val="ListBullet"/>
      </w:pPr>
      <w:r>
        <w:t>automated database backup and point-in-time recovery;</w:t>
      </w:r>
    </w:p>
    <w:p>
      <w:pPr>
        <w:pStyle w:val="ListBullet"/>
      </w:pPr>
      <w:r>
        <w:t>geo-redundant evidence backup according to residency rules;</w:t>
      </w:r>
    </w:p>
    <w:p>
      <w:pPr>
        <w:pStyle w:val="ListBullet"/>
      </w:pPr>
      <w:r>
        <w:t>retry and dead-letter queues for events;</w:t>
      </w:r>
    </w:p>
    <w:p>
      <w:pPr>
        <w:pStyle w:val="ListBullet"/>
      </w:pPr>
      <w:r>
        <w:t>tested restoration procedures;</w:t>
      </w:r>
    </w:p>
    <w:p>
      <w:pPr>
        <w:pStyle w:val="ListBullet"/>
      </w:pPr>
      <w:r>
        <w:t>documented degraded mode if Patronum is unavailable;</w:t>
      </w:r>
    </w:p>
    <w:p>
      <w:pPr>
        <w:pStyle w:val="ListBullet"/>
      </w:pPr>
      <w:r>
        <w:t>regular disaster-recovery exercises.</w:t>
      </w:r>
    </w:p>
    <w:p>
      <w:pPr>
        <w:pBdr>
          <w:bottom w:val="single" w:sz="6" w:space="1" w:color="41B9BB"/>
        </w:pBdr>
      </w:pPr>
    </w:p>
    <w:p>
      <w:pPr>
        <w:pStyle w:val="Heading1"/>
        <w:pBdr>
          <w:bottom w:val="single" w:sz="6" w:space="1" w:color="41B9BB"/>
        </w:pBdr>
      </w:pPr>
      <w:r>
        <w:t>9. Cybersecurity</w:t>
      </w:r>
    </w:p>
    <w:p>
      <w:pPr>
        <w:pStyle w:val="Heading2"/>
      </w:pPr>
      <w:r>
        <w:t>9.1 Zero-Trust Model</w:t>
      </w:r>
    </w:p>
    <w:p>
      <w:r>
        <w:t>Every user, service and workload is treated as untrusted until verified. Controls include:</w:t>
      </w:r>
    </w:p>
    <w:p>
      <w:pPr>
        <w:pStyle w:val="ListBullet"/>
      </w:pPr>
      <w:r>
        <w:t>Cerberus MFA and SAML 2.0 federation;</w:t>
      </w:r>
    </w:p>
    <w:p>
      <w:pPr>
        <w:pStyle w:val="ListBullet"/>
      </w:pPr>
      <w:r>
        <w:t>least-privilege roles;</w:t>
      </w:r>
    </w:p>
    <w:p>
      <w:pPr>
        <w:pStyle w:val="ListBullet"/>
      </w:pPr>
      <w:r>
        <w:t>short-lived sessions;</w:t>
      </w:r>
    </w:p>
    <w:p>
      <w:pPr>
        <w:pStyle w:val="ListBullet"/>
      </w:pPr>
      <w:r>
        <w:t>workload identities rather than embedded secrets;</w:t>
      </w:r>
    </w:p>
    <w:p>
      <w:pPr>
        <w:pStyle w:val="ListBullet"/>
      </w:pPr>
      <w:r>
        <w:t>private connectivity for data and AI services;</w:t>
      </w:r>
    </w:p>
    <w:p>
      <w:pPr>
        <w:pStyle w:val="ListBullet"/>
      </w:pPr>
      <w:r>
        <w:t>encryption in transit and at rest;</w:t>
      </w:r>
    </w:p>
    <w:p>
      <w:pPr>
        <w:pStyle w:val="ListBullet"/>
      </w:pPr>
      <w:r>
        <w:t>managed keys and secrets in Azure Key Vault;</w:t>
      </w:r>
    </w:p>
    <w:p>
      <w:pPr>
        <w:pStyle w:val="ListBullet"/>
      </w:pPr>
      <w:r>
        <w:t>API gateway rate limits and WAF rules;</w:t>
      </w:r>
    </w:p>
    <w:p>
      <w:pPr>
        <w:pStyle w:val="ListBullet"/>
      </w:pPr>
      <w:r>
        <w:t>tamper-evident logging and evidence retention;</w:t>
      </w:r>
    </w:p>
    <w:p>
      <w:pPr>
        <w:pStyle w:val="ListBullet"/>
      </w:pPr>
      <w:r>
        <w:t>continuous security monitoring.</w:t>
      </w:r>
    </w:p>
    <w:p>
      <w:pPr>
        <w:pStyle w:val="Heading2"/>
      </w:pPr>
      <w:r>
        <w:t>9.2 Secure AI Usage</w:t>
      </w:r>
    </w:p>
    <w:p>
      <w:r>
        <w:t>Patronum is accessed only through a private audited gateway. Customer evidence is not sent to public AI endpoints. Inputs are minimized, outputs are structured and high-risk outcomes require accountable human validation.</w:t>
      </w:r>
    </w:p>
    <w:p>
      <w:pPr>
        <w:pStyle w:val="Heading2"/>
      </w:pPr>
      <w:r>
        <w:t>9.3 Security Verification</w:t>
      </w:r>
    </w:p>
    <w:p>
      <w:r>
        <w:t>Before production:</w:t>
      </w:r>
    </w:p>
    <w:p>
      <w:pPr>
        <w:pStyle w:val="ListBullet"/>
      </w:pPr>
      <w:r>
        <w:t>perform threat modeling;</w:t>
      </w:r>
    </w:p>
    <w:p>
      <w:pPr>
        <w:pStyle w:val="ListBullet"/>
      </w:pPr>
      <w:r>
        <w:t>run dependency, static and dynamic security scans;</w:t>
      </w:r>
    </w:p>
    <w:p>
      <w:pPr>
        <w:pStyle w:val="ListBullet"/>
      </w:pPr>
      <w:r>
        <w:t>complete penetration testing;</w:t>
      </w:r>
    </w:p>
    <w:p>
      <w:pPr>
        <w:pStyle w:val="ListBullet"/>
      </w:pPr>
      <w:r>
        <w:t>test role segregation;</w:t>
      </w:r>
    </w:p>
    <w:p>
      <w:pPr>
        <w:pStyle w:val="ListBullet"/>
      </w:pPr>
      <w:r>
        <w:t>rehearse incident response;</w:t>
      </w:r>
    </w:p>
    <w:p>
      <w:pPr>
        <w:pStyle w:val="ListBullet"/>
      </w:pPr>
      <w:r>
        <w:t>verify retention and privacy controls;</w:t>
      </w:r>
    </w:p>
    <w:p>
      <w:pPr>
        <w:pStyle w:val="ListBullet"/>
      </w:pPr>
      <w:r>
        <w:t>review Patronum attack, leakage and prompt-manipulation scenarios.</w:t>
      </w:r>
    </w:p>
    <w:p>
      <w:pPr>
        <w:pBdr>
          <w:bottom w:val="single" w:sz="6" w:space="1" w:color="41B9BB"/>
        </w:pBdr>
      </w:pPr>
    </w:p>
    <w:p>
      <w:pPr>
        <w:pStyle w:val="Heading1"/>
        <w:pBdr>
          <w:bottom w:val="single" w:sz="6" w:space="1" w:color="41B9BB"/>
        </w:pBdr>
      </w:pPr>
      <w:r>
        <w:t>10. Service Levels and Operational Objectives</w:t>
      </w:r>
    </w:p>
    <w:tbl>
      <w:tblPr>
        <w:tblStyle w:val="TableGrid"/>
        <w:tblW w:type="auto" w:w="0"/>
        <w:tblLook w:firstColumn="1" w:firstRow="1" w:lastColumn="0" w:lastRow="0" w:noHBand="0" w:noVBand="1" w:val="04A0"/>
      </w:tblPr>
      <w:tblGrid>
        <w:gridCol w:w="3389"/>
        <w:gridCol w:w="3389"/>
        <w:gridCol w:w="3389"/>
      </w:tblGrid>
      <w:tr>
        <w:tc>
          <w:tcPr>
            <w:tcW w:type="dxa" w:w="3389"/>
            <w:shd w:fill="173A65"/>
          </w:tcPr>
          <w:p>
            <w:r/>
            <w:r>
              <w:rPr>
                <w:b/>
                <w:color w:val="FFFFFF"/>
                <w:sz w:val="17"/>
              </w:rPr>
              <w:t>Objective</w:t>
            </w:r>
          </w:p>
        </w:tc>
        <w:tc>
          <w:tcPr>
            <w:tcW w:type="dxa" w:w="3389"/>
            <w:shd w:fill="173A65"/>
          </w:tcPr>
          <w:p>
            <w:r/>
            <w:r>
              <w:rPr>
                <w:b/>
                <w:color w:val="FFFFFF"/>
                <w:sz w:val="17"/>
              </w:rPr>
              <w:t>Target</w:t>
            </w:r>
          </w:p>
        </w:tc>
        <w:tc>
          <w:tcPr>
            <w:tcW w:type="dxa" w:w="3389"/>
            <w:shd w:fill="173A65"/>
          </w:tcPr>
          <w:p>
            <w:r/>
            <w:r>
              <w:rPr>
                <w:b/>
                <w:color w:val="FFFFFF"/>
                <w:sz w:val="17"/>
              </w:rPr>
              <w:t>Rationale</w:t>
            </w:r>
          </w:p>
        </w:tc>
      </w:tr>
      <w:tr>
        <w:tc>
          <w:tcPr>
            <w:tcW w:type="dxa" w:w="3389"/>
            <w:shd w:fill="F4F8FB"/>
          </w:tcPr>
          <w:p>
            <w:r/>
            <w:r>
              <w:rPr>
                <w:b w:val="0"/>
                <w:sz w:val="17"/>
              </w:rPr>
              <w:t>Availability</w:t>
            </w:r>
          </w:p>
        </w:tc>
        <w:tc>
          <w:tcPr>
            <w:tcW w:type="dxa" w:w="3389"/>
            <w:shd w:fill="F4F8FB"/>
          </w:tcPr>
          <w:p>
            <w:r/>
            <w:r>
              <w:rPr>
                <w:b w:val="0"/>
                <w:sz w:val="17"/>
              </w:rPr>
              <w:t>99.9% monthly</w:t>
            </w:r>
          </w:p>
        </w:tc>
        <w:tc>
          <w:tcPr>
            <w:tcW w:type="dxa" w:w="3389"/>
            <w:shd w:fill="F4F8FB"/>
          </w:tcPr>
          <w:p>
            <w:r/>
            <w:r>
              <w:rPr>
                <w:b w:val="0"/>
                <w:sz w:val="17"/>
              </w:rPr>
              <w:t>Appropriate for an important onboarding channel with controlled recovery</w:t>
            </w:r>
          </w:p>
        </w:tc>
      </w:tr>
      <w:tr>
        <w:tc>
          <w:tcPr>
            <w:tcW w:type="dxa" w:w="3389"/>
          </w:tcPr>
          <w:p>
            <w:r/>
            <w:r>
              <w:rPr>
                <w:b w:val="0"/>
                <w:sz w:val="17"/>
              </w:rPr>
              <w:t>Standard-case activation</w:t>
            </w:r>
          </w:p>
        </w:tc>
        <w:tc>
          <w:tcPr>
            <w:tcW w:type="dxa" w:w="3389"/>
          </w:tcPr>
          <w:p>
            <w:r/>
            <w:r>
              <w:rPr>
                <w:b w:val="0"/>
                <w:sz w:val="17"/>
              </w:rPr>
              <w:t>95% under 15 minutes</w:t>
            </w:r>
          </w:p>
        </w:tc>
        <w:tc>
          <w:tcPr>
            <w:tcW w:type="dxa" w:w="3389"/>
          </w:tcPr>
          <w:p>
            <w:r/>
            <w:r>
              <w:rPr>
                <w:b w:val="0"/>
                <w:sz w:val="17"/>
              </w:rPr>
              <w:t>Competitive customer experience</w:t>
            </w:r>
          </w:p>
        </w:tc>
      </w:tr>
      <w:tr>
        <w:tc>
          <w:tcPr>
            <w:tcW w:type="dxa" w:w="3389"/>
            <w:shd w:fill="F4F8FB"/>
          </w:tcPr>
          <w:p>
            <w:r/>
            <w:r>
              <w:rPr>
                <w:b w:val="0"/>
                <w:sz w:val="17"/>
              </w:rPr>
              <w:t>Straight-through processing</w:t>
            </w:r>
          </w:p>
        </w:tc>
        <w:tc>
          <w:tcPr>
            <w:tcW w:type="dxa" w:w="3389"/>
            <w:shd w:fill="F4F8FB"/>
          </w:tcPr>
          <w:p>
            <w:r/>
            <w:r>
              <w:rPr>
                <w:b w:val="0"/>
                <w:sz w:val="17"/>
              </w:rPr>
              <w:t>At least 70%</w:t>
            </w:r>
          </w:p>
        </w:tc>
        <w:tc>
          <w:tcPr>
            <w:tcW w:type="dxa" w:w="3389"/>
            <w:shd w:fill="F4F8FB"/>
          </w:tcPr>
          <w:p>
            <w:r/>
            <w:r>
              <w:rPr>
                <w:b w:val="0"/>
                <w:sz w:val="17"/>
              </w:rPr>
              <w:t>Material efficiency gain without weakening control</w:t>
            </w:r>
          </w:p>
        </w:tc>
      </w:tr>
      <w:tr>
        <w:tc>
          <w:tcPr>
            <w:tcW w:type="dxa" w:w="3389"/>
          </w:tcPr>
          <w:p>
            <w:r/>
            <w:r>
              <w:rPr>
                <w:b w:val="0"/>
                <w:sz w:val="17"/>
              </w:rPr>
              <w:t>Human-review turnaround</w:t>
            </w:r>
          </w:p>
        </w:tc>
        <w:tc>
          <w:tcPr>
            <w:tcW w:type="dxa" w:w="3389"/>
          </w:tcPr>
          <w:p>
            <w:r/>
            <w:r>
              <w:rPr>
                <w:b w:val="0"/>
                <w:sz w:val="17"/>
              </w:rPr>
              <w:t>95% within 4 business hours</w:t>
            </w:r>
          </w:p>
        </w:tc>
        <w:tc>
          <w:tcPr>
            <w:tcW w:type="dxa" w:w="3389"/>
          </w:tcPr>
          <w:p>
            <w:r/>
            <w:r>
              <w:rPr>
                <w:b w:val="0"/>
                <w:sz w:val="17"/>
              </w:rPr>
              <w:t>Protects customer experience while preserving accountability</w:t>
            </w:r>
          </w:p>
        </w:tc>
      </w:tr>
      <w:tr>
        <w:tc>
          <w:tcPr>
            <w:tcW w:type="dxa" w:w="3389"/>
            <w:shd w:fill="F4F8FB"/>
          </w:tcPr>
          <w:p>
            <w:r/>
            <w:r>
              <w:rPr>
                <w:b w:val="0"/>
                <w:sz w:val="17"/>
              </w:rPr>
              <w:t>Data quality</w:t>
            </w:r>
          </w:p>
        </w:tc>
        <w:tc>
          <w:tcPr>
            <w:tcW w:type="dxa" w:w="3389"/>
            <w:shd w:fill="F4F8FB"/>
          </w:tcPr>
          <w:p>
            <w:r/>
            <w:r>
              <w:rPr>
                <w:b w:val="0"/>
                <w:sz w:val="17"/>
              </w:rPr>
              <w:t>At least 98%</w:t>
            </w:r>
          </w:p>
        </w:tc>
        <w:tc>
          <w:tcPr>
            <w:tcW w:type="dxa" w:w="3389"/>
            <w:shd w:fill="F4F8FB"/>
          </w:tcPr>
          <w:p>
            <w:r/>
            <w:r>
              <w:rPr>
                <w:b w:val="0"/>
                <w:sz w:val="17"/>
              </w:rPr>
              <w:t>Supports trusted golden records</w:t>
            </w:r>
          </w:p>
        </w:tc>
      </w:tr>
      <w:tr>
        <w:tc>
          <w:tcPr>
            <w:tcW w:type="dxa" w:w="3389"/>
          </w:tcPr>
          <w:p>
            <w:r/>
            <w:r>
              <w:rPr>
                <w:b w:val="0"/>
                <w:sz w:val="17"/>
              </w:rPr>
              <w:t>Critical security alert acknowledgement</w:t>
            </w:r>
          </w:p>
        </w:tc>
        <w:tc>
          <w:tcPr>
            <w:tcW w:type="dxa" w:w="3389"/>
          </w:tcPr>
          <w:p>
            <w:r/>
            <w:r>
              <w:rPr>
                <w:b w:val="0"/>
                <w:sz w:val="17"/>
              </w:rPr>
              <w:t>Under 15 minutes</w:t>
            </w:r>
          </w:p>
        </w:tc>
        <w:tc>
          <w:tcPr>
            <w:tcW w:type="dxa" w:w="3389"/>
          </w:tcPr>
          <w:p>
            <w:r/>
            <w:r>
              <w:rPr>
                <w:b w:val="0"/>
                <w:sz w:val="17"/>
              </w:rPr>
              <w:t>Limits exposure</w:t>
            </w:r>
          </w:p>
        </w:tc>
      </w:tr>
      <w:tr>
        <w:tc>
          <w:tcPr>
            <w:tcW w:type="dxa" w:w="3389"/>
            <w:shd w:fill="F4F8FB"/>
          </w:tcPr>
          <w:p>
            <w:r/>
            <w:r>
              <w:rPr>
                <w:b w:val="0"/>
                <w:sz w:val="17"/>
              </w:rPr>
              <w:t>Recovery time objective</w:t>
            </w:r>
          </w:p>
        </w:tc>
        <w:tc>
          <w:tcPr>
            <w:tcW w:type="dxa" w:w="3389"/>
            <w:shd w:fill="F4F8FB"/>
          </w:tcPr>
          <w:p>
            <w:r/>
            <w:r>
              <w:rPr>
                <w:b w:val="0"/>
                <w:sz w:val="17"/>
              </w:rPr>
              <w:t>4 hours</w:t>
            </w:r>
          </w:p>
        </w:tc>
        <w:tc>
          <w:tcPr>
            <w:tcW w:type="dxa" w:w="3389"/>
            <w:shd w:fill="F4F8FB"/>
          </w:tcPr>
          <w:p>
            <w:r/>
            <w:r>
              <w:rPr>
                <w:b w:val="0"/>
                <w:sz w:val="17"/>
              </w:rPr>
              <w:t>Proportionate business continuity target</w:t>
            </w:r>
          </w:p>
        </w:tc>
      </w:tr>
      <w:tr>
        <w:tc>
          <w:tcPr>
            <w:tcW w:type="dxa" w:w="3389"/>
          </w:tcPr>
          <w:p>
            <w:r/>
            <w:r>
              <w:rPr>
                <w:b w:val="0"/>
                <w:sz w:val="17"/>
              </w:rPr>
              <w:t>Recovery point objective</w:t>
            </w:r>
          </w:p>
        </w:tc>
        <w:tc>
          <w:tcPr>
            <w:tcW w:type="dxa" w:w="3389"/>
          </w:tcPr>
          <w:p>
            <w:r/>
            <w:r>
              <w:rPr>
                <w:b w:val="0"/>
                <w:sz w:val="17"/>
              </w:rPr>
              <w:t>15 minutes</w:t>
            </w:r>
          </w:p>
        </w:tc>
        <w:tc>
          <w:tcPr>
            <w:tcW w:type="dxa" w:w="3389"/>
          </w:tcPr>
          <w:p>
            <w:r/>
            <w:r>
              <w:rPr>
                <w:b w:val="0"/>
                <w:sz w:val="17"/>
              </w:rPr>
              <w:t>Limits operational data loss</w:t>
            </w:r>
          </w:p>
        </w:tc>
      </w:tr>
      <w:tr>
        <w:tc>
          <w:tcPr>
            <w:tcW w:type="dxa" w:w="3389"/>
            <w:shd w:fill="F4F8FB"/>
          </w:tcPr>
          <w:p>
            <w:r/>
            <w:r>
              <w:rPr>
                <w:b w:val="0"/>
                <w:sz w:val="17"/>
              </w:rPr>
              <w:t>Audit evidence completeness</w:t>
            </w:r>
          </w:p>
        </w:tc>
        <w:tc>
          <w:tcPr>
            <w:tcW w:type="dxa" w:w="3389"/>
            <w:shd w:fill="F4F8FB"/>
          </w:tcPr>
          <w:p>
            <w:r/>
            <w:r>
              <w:rPr>
                <w:b w:val="0"/>
                <w:sz w:val="17"/>
              </w:rPr>
              <w:t>100%</w:t>
            </w:r>
          </w:p>
        </w:tc>
        <w:tc>
          <w:tcPr>
            <w:tcW w:type="dxa" w:w="3389"/>
            <w:shd w:fill="F4F8FB"/>
          </w:tcPr>
          <w:p>
            <w:r/>
            <w:r>
              <w:rPr>
                <w:b w:val="0"/>
                <w:sz w:val="17"/>
              </w:rPr>
              <w:t>Required for regulated decisions</w:t>
            </w:r>
          </w:p>
        </w:tc>
      </w:tr>
    </w:tbl>
    <w:p/>
    <w:p>
      <w:pPr>
        <w:pStyle w:val="Heading2"/>
      </w:pPr>
      <w:r>
        <w:t>10.1 Incident Principles</w:t>
      </w:r>
    </w:p>
    <w:p>
      <w:pPr>
        <w:pStyle w:val="ListNumber"/>
      </w:pPr>
      <w:r>
        <w:t>Detect through monitoring, customer reports or security tooling.</w:t>
      </w:r>
    </w:p>
    <w:p>
      <w:pPr>
        <w:pStyle w:val="ListNumber"/>
      </w:pPr>
      <w:r>
        <w:t>Classify severity using business, privacy and security impact.</w:t>
      </w:r>
    </w:p>
    <w:p>
      <w:pPr>
        <w:pStyle w:val="ListNumber"/>
      </w:pPr>
      <w:r>
        <w:t>Contain and restore service using runbooks.</w:t>
      </w:r>
    </w:p>
    <w:p>
      <w:pPr>
        <w:pStyle w:val="ListNumber"/>
      </w:pPr>
      <w:r>
        <w:t>Communicate to stakeholders and regulators where required.</w:t>
      </w:r>
    </w:p>
    <w:p>
      <w:pPr>
        <w:pStyle w:val="ListNumber"/>
      </w:pPr>
      <w:r>
        <w:t>Complete root-cause analysis and corrective action.</w:t>
      </w:r>
    </w:p>
    <w:p>
      <w:pPr>
        <w:pStyle w:val="ListNumber"/>
      </w:pPr>
      <w:r>
        <w:t>Feed lessons into architecture, product and operational backlogs.</w:t>
      </w:r>
    </w:p>
    <w:p>
      <w:pPr>
        <w:pBdr>
          <w:bottom w:val="single" w:sz="6" w:space="1" w:color="41B9BB"/>
        </w:pBdr>
      </w:pPr>
    </w:p>
    <w:p>
      <w:pPr>
        <w:pStyle w:val="Heading1"/>
        <w:pBdr>
          <w:bottom w:val="single" w:sz="6" w:space="1" w:color="41B9BB"/>
        </w:pBdr>
      </w:pPr>
      <w:r>
        <w:t>11. Run Model</w:t>
      </w:r>
    </w:p>
    <w:tbl>
      <w:tblPr>
        <w:tblStyle w:val="TableGrid"/>
        <w:tblW w:type="auto" w:w="0"/>
        <w:tblLook w:firstColumn="1" w:firstRow="1" w:lastColumn="0" w:lastRow="0" w:noHBand="0" w:noVBand="1" w:val="04A0"/>
      </w:tblPr>
      <w:tblGrid>
        <w:gridCol w:w="3389"/>
        <w:gridCol w:w="3389"/>
        <w:gridCol w:w="3389"/>
      </w:tblGrid>
      <w:tr>
        <w:tc>
          <w:tcPr>
            <w:tcW w:type="dxa" w:w="3389"/>
            <w:shd w:fill="173A65"/>
          </w:tcPr>
          <w:p>
            <w:r/>
            <w:r>
              <w:rPr>
                <w:b/>
                <w:color w:val="FFFFFF"/>
                <w:sz w:val="17"/>
              </w:rPr>
              <w:t>Activity</w:t>
            </w:r>
          </w:p>
        </w:tc>
        <w:tc>
          <w:tcPr>
            <w:tcW w:type="dxa" w:w="3389"/>
            <w:shd w:fill="173A65"/>
          </w:tcPr>
          <w:p>
            <w:r/>
            <w:r>
              <w:rPr>
                <w:b/>
                <w:color w:val="FFFFFF"/>
                <w:sz w:val="17"/>
              </w:rPr>
              <w:t>Primary Owner</w:t>
            </w:r>
          </w:p>
        </w:tc>
        <w:tc>
          <w:tcPr>
            <w:tcW w:type="dxa" w:w="3389"/>
            <w:shd w:fill="173A65"/>
          </w:tcPr>
          <w:p>
            <w:r/>
            <w:r>
              <w:rPr>
                <w:b/>
                <w:color w:val="FFFFFF"/>
                <w:sz w:val="17"/>
              </w:rPr>
              <w:t>Supporting Roles</w:t>
            </w:r>
          </w:p>
        </w:tc>
      </w:tr>
      <w:tr>
        <w:tc>
          <w:tcPr>
            <w:tcW w:type="dxa" w:w="3389"/>
            <w:shd w:fill="F4F8FB"/>
          </w:tcPr>
          <w:p>
            <w:r/>
            <w:r>
              <w:rPr>
                <w:b w:val="0"/>
                <w:sz w:val="17"/>
              </w:rPr>
              <w:t>Service health and incident management</w:t>
            </w:r>
          </w:p>
        </w:tc>
        <w:tc>
          <w:tcPr>
            <w:tcW w:type="dxa" w:w="3389"/>
            <w:shd w:fill="F4F8FB"/>
          </w:tcPr>
          <w:p>
            <w:r/>
            <w:r>
              <w:rPr>
                <w:b w:val="0"/>
                <w:sz w:val="17"/>
              </w:rPr>
              <w:t>IT Run Manager</w:t>
            </w:r>
          </w:p>
        </w:tc>
        <w:tc>
          <w:tcPr>
            <w:tcW w:type="dxa" w:w="3389"/>
            <w:shd w:fill="F4F8FB"/>
          </w:tcPr>
          <w:p>
            <w:r/>
            <w:r>
              <w:rPr>
                <w:b w:val="0"/>
                <w:sz w:val="17"/>
              </w:rPr>
              <w:t>Cloud operations, service desk, engineering</w:t>
            </w:r>
          </w:p>
        </w:tc>
      </w:tr>
      <w:tr>
        <w:tc>
          <w:tcPr>
            <w:tcW w:type="dxa" w:w="3389"/>
          </w:tcPr>
          <w:p>
            <w:r/>
            <w:r>
              <w:rPr>
                <w:b w:val="0"/>
                <w:sz w:val="17"/>
              </w:rPr>
              <w:t>Compliance queue operations</w:t>
            </w:r>
          </w:p>
        </w:tc>
        <w:tc>
          <w:tcPr>
            <w:tcW w:type="dxa" w:w="3389"/>
          </w:tcPr>
          <w:p>
            <w:r/>
            <w:r>
              <w:rPr>
                <w:b w:val="0"/>
                <w:sz w:val="17"/>
              </w:rPr>
              <w:t>Compliance Director</w:t>
            </w:r>
          </w:p>
        </w:tc>
        <w:tc>
          <w:tcPr>
            <w:tcW w:type="dxa" w:w="3389"/>
          </w:tcPr>
          <w:p>
            <w:r/>
            <w:r>
              <w:rPr>
                <w:b w:val="0"/>
                <w:sz w:val="17"/>
              </w:rPr>
              <w:t>Country compliance leads</w:t>
            </w:r>
          </w:p>
        </w:tc>
      </w:tr>
      <w:tr>
        <w:tc>
          <w:tcPr>
            <w:tcW w:type="dxa" w:w="3389"/>
            <w:shd w:fill="F4F8FB"/>
          </w:tcPr>
          <w:p>
            <w:r/>
            <w:r>
              <w:rPr>
                <w:b w:val="0"/>
                <w:sz w:val="17"/>
              </w:rPr>
              <w:t>Data-quality remediation</w:t>
            </w:r>
          </w:p>
        </w:tc>
        <w:tc>
          <w:tcPr>
            <w:tcW w:type="dxa" w:w="3389"/>
            <w:shd w:fill="F4F8FB"/>
          </w:tcPr>
          <w:p>
            <w:r/>
            <w:r>
              <w:rPr>
                <w:b w:val="0"/>
                <w:sz w:val="17"/>
              </w:rPr>
              <w:t>Data Owners</w:t>
            </w:r>
          </w:p>
        </w:tc>
        <w:tc>
          <w:tcPr>
            <w:tcW w:type="dxa" w:w="3389"/>
            <w:shd w:fill="F4F8FB"/>
          </w:tcPr>
          <w:p>
            <w:r/>
            <w:r>
              <w:rPr>
                <w:b w:val="0"/>
                <w:sz w:val="17"/>
              </w:rPr>
              <w:t>Data stewards, country operations</w:t>
            </w:r>
          </w:p>
        </w:tc>
      </w:tr>
      <w:tr>
        <w:tc>
          <w:tcPr>
            <w:tcW w:type="dxa" w:w="3389"/>
          </w:tcPr>
          <w:p>
            <w:r/>
            <w:r>
              <w:rPr>
                <w:b w:val="0"/>
                <w:sz w:val="17"/>
              </w:rPr>
              <w:t>Patronum performance monitoring</w:t>
            </w:r>
          </w:p>
        </w:tc>
        <w:tc>
          <w:tcPr>
            <w:tcW w:type="dxa" w:w="3389"/>
          </w:tcPr>
          <w:p>
            <w:r/>
            <w:r>
              <w:rPr>
                <w:b w:val="0"/>
                <w:sz w:val="17"/>
              </w:rPr>
              <w:t>AI Product Owner</w:t>
            </w:r>
          </w:p>
        </w:tc>
        <w:tc>
          <w:tcPr>
            <w:tcW w:type="dxa" w:w="3389"/>
          </w:tcPr>
          <w:p>
            <w:r/>
            <w:r>
              <w:rPr>
                <w:b w:val="0"/>
                <w:sz w:val="17"/>
              </w:rPr>
              <w:t>Compliance, risk, data science</w:t>
            </w:r>
          </w:p>
        </w:tc>
      </w:tr>
      <w:tr>
        <w:tc>
          <w:tcPr>
            <w:tcW w:type="dxa" w:w="3389"/>
            <w:shd w:fill="F4F8FB"/>
          </w:tcPr>
          <w:p>
            <w:r/>
            <w:r>
              <w:rPr>
                <w:b w:val="0"/>
                <w:sz w:val="17"/>
              </w:rPr>
              <w:t>Security monitoring</w:t>
            </w:r>
          </w:p>
        </w:tc>
        <w:tc>
          <w:tcPr>
            <w:tcW w:type="dxa" w:w="3389"/>
            <w:shd w:fill="F4F8FB"/>
          </w:tcPr>
          <w:p>
            <w:r/>
            <w:r>
              <w:rPr>
                <w:b w:val="0"/>
                <w:sz w:val="17"/>
              </w:rPr>
              <w:t>CISO organization</w:t>
            </w:r>
          </w:p>
        </w:tc>
        <w:tc>
          <w:tcPr>
            <w:tcW w:type="dxa" w:w="3389"/>
            <w:shd w:fill="F4F8FB"/>
          </w:tcPr>
          <w:p>
            <w:r/>
            <w:r>
              <w:rPr>
                <w:b w:val="0"/>
                <w:sz w:val="17"/>
              </w:rPr>
              <w:t>SOC, IT run, architecture</w:t>
            </w:r>
          </w:p>
        </w:tc>
      </w:tr>
      <w:tr>
        <w:tc>
          <w:tcPr>
            <w:tcW w:type="dxa" w:w="3389"/>
          </w:tcPr>
          <w:p>
            <w:r/>
            <w:r>
              <w:rPr>
                <w:b w:val="0"/>
                <w:sz w:val="17"/>
              </w:rPr>
              <w:t>Release management</w:t>
            </w:r>
          </w:p>
        </w:tc>
        <w:tc>
          <w:tcPr>
            <w:tcW w:type="dxa" w:w="3389"/>
          </w:tcPr>
          <w:p>
            <w:r/>
            <w:r>
              <w:rPr>
                <w:b w:val="0"/>
                <w:sz w:val="17"/>
              </w:rPr>
              <w:t>Product Owner</w:t>
            </w:r>
          </w:p>
        </w:tc>
        <w:tc>
          <w:tcPr>
            <w:tcW w:type="dxa" w:w="3389"/>
          </w:tcPr>
          <w:p>
            <w:r/>
            <w:r>
              <w:rPr>
                <w:b w:val="0"/>
                <w:sz w:val="17"/>
              </w:rPr>
              <w:t>Engineering, QA, architecture</w:t>
            </w:r>
          </w:p>
        </w:tc>
      </w:tr>
      <w:tr>
        <w:tc>
          <w:tcPr>
            <w:tcW w:type="dxa" w:w="3389"/>
            <w:shd w:fill="F4F8FB"/>
          </w:tcPr>
          <w:p>
            <w:r/>
            <w:r>
              <w:rPr>
                <w:b w:val="0"/>
                <w:sz w:val="17"/>
              </w:rPr>
              <w:t>Legacy support during migration</w:t>
            </w:r>
          </w:p>
        </w:tc>
        <w:tc>
          <w:tcPr>
            <w:tcW w:type="dxa" w:w="3389"/>
            <w:shd w:fill="F4F8FB"/>
          </w:tcPr>
          <w:p>
            <w:r/>
            <w:r>
              <w:rPr>
                <w:b w:val="0"/>
                <w:sz w:val="17"/>
              </w:rPr>
              <w:t>Nick</w:t>
            </w:r>
          </w:p>
        </w:tc>
        <w:tc>
          <w:tcPr>
            <w:tcW w:type="dxa" w:w="3389"/>
            <w:shd w:fill="F4F8FB"/>
          </w:tcPr>
          <w:p>
            <w:r/>
            <w:r>
              <w:rPr>
                <w:b w:val="0"/>
                <w:sz w:val="17"/>
              </w:rPr>
              <w:t>Legacy support teams, migration squad</w:t>
            </w:r>
          </w:p>
        </w:tc>
      </w:tr>
    </w:tbl>
    <w:p/>
    <w:p>
      <w:pPr>
        <w:pBdr>
          <w:bottom w:val="single" w:sz="6" w:space="1" w:color="41B9BB"/>
        </w:pBdr>
      </w:pPr>
    </w:p>
    <w:p>
      <w:pPr>
        <w:pStyle w:val="Heading1"/>
        <w:pBdr>
          <w:bottom w:val="single" w:sz="6" w:space="1" w:color="41B9BB"/>
        </w:pBdr>
      </w:pPr>
      <w:r>
        <w:t>12. Legacy Decommissioning and Change Management</w:t>
      </w:r>
    </w:p>
    <w:p>
      <w:pPr>
        <w:pStyle w:val="Heading2"/>
      </w:pPr>
      <w:r>
        <w:t>12.1 Delivery Roadmap</w:t>
      </w:r>
    </w:p>
    <w:tbl>
      <w:tblPr>
        <w:tblStyle w:val="TableGrid"/>
        <w:tblW w:type="auto" w:w="0"/>
        <w:tblLook w:firstColumn="1" w:firstRow="1" w:lastColumn="0" w:lastRow="0" w:noHBand="0" w:noVBand="1" w:val="04A0"/>
      </w:tblPr>
      <w:tblGrid>
        <w:gridCol w:w="3389"/>
        <w:gridCol w:w="3389"/>
        <w:gridCol w:w="3389"/>
      </w:tblGrid>
      <w:tr>
        <w:tc>
          <w:tcPr>
            <w:tcW w:type="dxa" w:w="3389"/>
            <w:shd w:fill="173A65"/>
          </w:tcPr>
          <w:p>
            <w:r/>
            <w:r>
              <w:rPr>
                <w:b/>
                <w:color w:val="FFFFFF"/>
                <w:sz w:val="17"/>
              </w:rPr>
              <w:t>Phase</w:t>
            </w:r>
          </w:p>
        </w:tc>
        <w:tc>
          <w:tcPr>
            <w:tcW w:type="dxa" w:w="3389"/>
            <w:shd w:fill="173A65"/>
          </w:tcPr>
          <w:p>
            <w:r/>
            <w:r>
              <w:rPr>
                <w:b/>
                <w:color w:val="FFFFFF"/>
                <w:sz w:val="17"/>
              </w:rPr>
              <w:t>Months</w:t>
            </w:r>
          </w:p>
        </w:tc>
        <w:tc>
          <w:tcPr>
            <w:tcW w:type="dxa" w:w="3389"/>
            <w:shd w:fill="173A65"/>
          </w:tcPr>
          <w:p>
            <w:r/>
            <w:r>
              <w:rPr>
                <w:b/>
                <w:color w:val="FFFFFF"/>
                <w:sz w:val="17"/>
              </w:rPr>
              <w:t>Outcome</w:t>
            </w:r>
          </w:p>
        </w:tc>
      </w:tr>
      <w:tr>
        <w:tc>
          <w:tcPr>
            <w:tcW w:type="dxa" w:w="3389"/>
            <w:shd w:fill="F4F8FB"/>
          </w:tcPr>
          <w:p>
            <w:r/>
            <w:r>
              <w:rPr>
                <w:b w:val="0"/>
                <w:sz w:val="17"/>
              </w:rPr>
              <w:t>Mobilization and discovery</w:t>
            </w:r>
          </w:p>
        </w:tc>
        <w:tc>
          <w:tcPr>
            <w:tcW w:type="dxa" w:w="3389"/>
            <w:shd w:fill="F4F8FB"/>
          </w:tcPr>
          <w:p>
            <w:r/>
            <w:r>
              <w:rPr>
                <w:b w:val="0"/>
                <w:sz w:val="17"/>
              </w:rPr>
              <w:t>1-2</w:t>
            </w:r>
          </w:p>
        </w:tc>
        <w:tc>
          <w:tcPr>
            <w:tcW w:type="dxa" w:w="3389"/>
            <w:shd w:fill="F4F8FB"/>
          </w:tcPr>
          <w:p>
            <w:r/>
            <w:r>
              <w:rPr>
                <w:b w:val="0"/>
                <w:sz w:val="17"/>
              </w:rPr>
              <w:t>Detailed process mapping, data inventory, security baseline and backlog</w:t>
            </w:r>
          </w:p>
        </w:tc>
      </w:tr>
      <w:tr>
        <w:tc>
          <w:tcPr>
            <w:tcW w:type="dxa" w:w="3389"/>
          </w:tcPr>
          <w:p>
            <w:r/>
            <w:r>
              <w:rPr>
                <w:b w:val="0"/>
                <w:sz w:val="17"/>
              </w:rPr>
              <w:t>Foundation</w:t>
            </w:r>
          </w:p>
        </w:tc>
        <w:tc>
          <w:tcPr>
            <w:tcW w:type="dxa" w:w="3389"/>
          </w:tcPr>
          <w:p>
            <w:r/>
            <w:r>
              <w:rPr>
                <w:b w:val="0"/>
                <w:sz w:val="17"/>
              </w:rPr>
              <w:t>3-5</w:t>
            </w:r>
          </w:p>
        </w:tc>
        <w:tc>
          <w:tcPr>
            <w:tcW w:type="dxa" w:w="3389"/>
          </w:tcPr>
          <w:p>
            <w:r/>
            <w:r>
              <w:rPr>
                <w:b w:val="0"/>
                <w:sz w:val="17"/>
              </w:rPr>
              <w:t>Azure landing zone, Cerberus integration, core Verita workflow and audit design</w:t>
            </w:r>
          </w:p>
        </w:tc>
      </w:tr>
      <w:tr>
        <w:tc>
          <w:tcPr>
            <w:tcW w:type="dxa" w:w="3389"/>
            <w:shd w:fill="F4F8FB"/>
          </w:tcPr>
          <w:p>
            <w:r/>
            <w:r>
              <w:rPr>
                <w:b w:val="0"/>
                <w:sz w:val="17"/>
              </w:rPr>
              <w:t>FR pilot</w:t>
            </w:r>
          </w:p>
        </w:tc>
        <w:tc>
          <w:tcPr>
            <w:tcW w:type="dxa" w:w="3389"/>
            <w:shd w:fill="F4F8FB"/>
          </w:tcPr>
          <w:p>
            <w:r/>
            <w:r>
              <w:rPr>
                <w:b w:val="0"/>
                <w:sz w:val="17"/>
              </w:rPr>
              <w:t>6-8</w:t>
            </w:r>
          </w:p>
        </w:tc>
        <w:tc>
          <w:tcPr>
            <w:tcW w:type="dxa" w:w="3389"/>
            <w:shd w:fill="F4F8FB"/>
          </w:tcPr>
          <w:p>
            <w:r/>
            <w:r>
              <w:rPr>
                <w:b w:val="0"/>
                <w:sz w:val="17"/>
              </w:rPr>
              <w:t>Controlled French cohort, Patronum integration and reconciliation reporting</w:t>
            </w:r>
          </w:p>
        </w:tc>
      </w:tr>
      <w:tr>
        <w:tc>
          <w:tcPr>
            <w:tcW w:type="dxa" w:w="3389"/>
          </w:tcPr>
          <w:p>
            <w:r/>
            <w:r>
              <w:rPr>
                <w:b w:val="0"/>
                <w:sz w:val="17"/>
              </w:rPr>
              <w:t>AU rollout preparation</w:t>
            </w:r>
          </w:p>
        </w:tc>
        <w:tc>
          <w:tcPr>
            <w:tcW w:type="dxa" w:w="3389"/>
          </w:tcPr>
          <w:p>
            <w:r/>
            <w:r>
              <w:rPr>
                <w:b w:val="0"/>
                <w:sz w:val="17"/>
              </w:rPr>
              <w:t>9-10</w:t>
            </w:r>
          </w:p>
        </w:tc>
        <w:tc>
          <w:tcPr>
            <w:tcW w:type="dxa" w:w="3389"/>
          </w:tcPr>
          <w:p>
            <w:r/>
            <w:r>
              <w:rPr>
                <w:b w:val="0"/>
                <w:sz w:val="17"/>
              </w:rPr>
              <w:t>Australian rules, training and migration rehearsal</w:t>
            </w:r>
          </w:p>
        </w:tc>
      </w:tr>
      <w:tr>
        <w:tc>
          <w:tcPr>
            <w:tcW w:type="dxa" w:w="3389"/>
            <w:shd w:fill="F4F8FB"/>
          </w:tcPr>
          <w:p>
            <w:r/>
            <w:r>
              <w:rPr>
                <w:b w:val="0"/>
                <w:sz w:val="17"/>
              </w:rPr>
              <w:t>Progressive rollout</w:t>
            </w:r>
          </w:p>
        </w:tc>
        <w:tc>
          <w:tcPr>
            <w:tcW w:type="dxa" w:w="3389"/>
            <w:shd w:fill="F4F8FB"/>
          </w:tcPr>
          <w:p>
            <w:r/>
            <w:r>
              <w:rPr>
                <w:b w:val="0"/>
                <w:sz w:val="17"/>
              </w:rPr>
              <w:t>11-13</w:t>
            </w:r>
          </w:p>
        </w:tc>
        <w:tc>
          <w:tcPr>
            <w:tcW w:type="dxa" w:w="3389"/>
            <w:shd w:fill="F4F8FB"/>
          </w:tcPr>
          <w:p>
            <w:r/>
            <w:r>
              <w:rPr>
                <w:b w:val="0"/>
                <w:sz w:val="17"/>
              </w:rPr>
              <w:t>FR and AU production cohorts, monitoring and operational handover</w:t>
            </w:r>
          </w:p>
        </w:tc>
      </w:tr>
      <w:tr>
        <w:tc>
          <w:tcPr>
            <w:tcW w:type="dxa" w:w="3389"/>
          </w:tcPr>
          <w:p>
            <w:r/>
            <w:r>
              <w:rPr>
                <w:b w:val="0"/>
                <w:sz w:val="17"/>
              </w:rPr>
              <w:t>Legacy lock-down and retirement</w:t>
            </w:r>
          </w:p>
        </w:tc>
        <w:tc>
          <w:tcPr>
            <w:tcW w:type="dxa" w:w="3389"/>
          </w:tcPr>
          <w:p>
            <w:r/>
            <w:r>
              <w:rPr>
                <w:b w:val="0"/>
                <w:sz w:val="17"/>
              </w:rPr>
              <w:t>14-15</w:t>
            </w:r>
          </w:p>
        </w:tc>
        <w:tc>
          <w:tcPr>
            <w:tcW w:type="dxa" w:w="3389"/>
          </w:tcPr>
          <w:p>
            <w:r/>
            <w:r>
              <w:rPr>
                <w:b w:val="0"/>
                <w:sz w:val="17"/>
              </w:rPr>
              <w:t>Read-only legacy mode, archive validation and retirement sign-off</w:t>
            </w:r>
          </w:p>
        </w:tc>
      </w:tr>
    </w:tbl>
    <w:p/>
    <w:p>
      <w:pPr>
        <w:pStyle w:val="Heading2"/>
      </w:pPr>
      <w:r>
        <w:t>12.2 Data Migration</w:t>
      </w:r>
    </w:p>
    <w:p>
      <w:r>
        <w:t>Migration follows an extract-transform-load-reconcile pattern:</w:t>
      </w:r>
    </w:p>
    <w:p>
      <w:pPr>
        <w:pStyle w:val="ListNumber"/>
      </w:pPr>
      <w:r>
        <w:t>Inventory legacy data sources and data owners.</w:t>
      </w:r>
    </w:p>
    <w:p>
      <w:pPr>
        <w:pStyle w:val="ListNumber"/>
      </w:pPr>
      <w:r>
        <w:t>Map attributes into governed domains.</w:t>
      </w:r>
    </w:p>
    <w:p>
      <w:pPr>
        <w:pStyle w:val="ListNumber"/>
      </w:pPr>
      <w:r>
        <w:t>Cleanse formats and detect duplicates.</w:t>
      </w:r>
    </w:p>
    <w:p>
      <w:pPr>
        <w:pStyle w:val="ListNumber"/>
      </w:pPr>
      <w:r>
        <w:t>Reconcile migrated records against source counts and quality rules.</w:t>
      </w:r>
    </w:p>
    <w:p>
      <w:pPr>
        <w:pStyle w:val="ListNumber"/>
      </w:pPr>
      <w:r>
        <w:t>Route exceptions to data stewards.</w:t>
      </w:r>
    </w:p>
    <w:p>
      <w:pPr>
        <w:pStyle w:val="ListNumber"/>
      </w:pPr>
      <w:r>
        <w:t>Retain migration evidence and sign-off.</w:t>
      </w:r>
    </w:p>
    <w:p>
      <w:pPr>
        <w:pStyle w:val="ListNumber"/>
      </w:pPr>
      <w:r>
        <w:t>Freeze legacy writes before final delta migration.</w:t>
      </w:r>
    </w:p>
    <w:p>
      <w:pPr>
        <w:pStyle w:val="Heading2"/>
      </w:pPr>
      <w:r>
        <w:t>12.3 Nick’s Legacy Perimeter</w:t>
      </w:r>
    </w:p>
    <w:p>
      <w:r>
        <w:t>Nick’s role is critical during transition. The recommendation is to:</w:t>
      </w:r>
    </w:p>
    <w:p>
      <w:pPr>
        <w:pStyle w:val="ListBullet"/>
      </w:pPr>
      <w:r>
        <w:t>make Nick accountable for legacy knowledge transfer;</w:t>
      </w:r>
    </w:p>
    <w:p>
      <w:pPr>
        <w:pStyle w:val="ListBullet"/>
      </w:pPr>
      <w:r>
        <w:t>document applications, interfaces and operational procedures;</w:t>
      </w:r>
    </w:p>
    <w:p>
      <w:pPr>
        <w:pStyle w:val="ListBullet"/>
      </w:pPr>
      <w:r>
        <w:t>involve him in migration validation and retirement criteria;</w:t>
      </w:r>
    </w:p>
    <w:p>
      <w:pPr>
        <w:pStyle w:val="ListBullet"/>
      </w:pPr>
      <w:r>
        <w:t>reduce emergency-only legacy support through planned handover;</w:t>
      </w:r>
    </w:p>
    <w:p>
      <w:pPr>
        <w:pStyle w:val="ListBullet"/>
      </w:pPr>
      <w:r>
        <w:t>retire the legacy perimeter progressively rather than abruptly;</w:t>
      </w:r>
    </w:p>
    <w:p>
      <w:pPr>
        <w:pStyle w:val="ListBullet"/>
      </w:pPr>
      <w:r>
        <w:t>transition Nick toward controlled archive support and historical expertise.</w:t>
      </w:r>
    </w:p>
    <w:p>
      <w:pPr>
        <w:pStyle w:val="Heading2"/>
      </w:pPr>
      <w:r>
        <w:t>12.4 Change Adoption</w:t>
      </w:r>
    </w:p>
    <w:p>
      <w:pPr>
        <w:pStyle w:val="ListBullet"/>
      </w:pPr>
      <w:r>
        <w:t>appoint FR and AU change champions;</w:t>
      </w:r>
    </w:p>
    <w:p>
      <w:pPr>
        <w:pStyle w:val="ListBullet"/>
      </w:pPr>
      <w:r>
        <w:t>train operations, compliance, IT run and service-desk users;</w:t>
      </w:r>
    </w:p>
    <w:p>
      <w:pPr>
        <w:pStyle w:val="ListBullet"/>
      </w:pPr>
      <w:r>
        <w:t>publish role-specific guides and runbooks;</w:t>
      </w:r>
    </w:p>
    <w:p>
      <w:pPr>
        <w:pStyle w:val="ListBullet"/>
      </w:pPr>
      <w:r>
        <w:t>measure adoption, backlog and manual work;</w:t>
      </w:r>
    </w:p>
    <w:p>
      <w:pPr>
        <w:pStyle w:val="ListBullet"/>
      </w:pPr>
      <w:r>
        <w:t>provide hypercare after each rollout;</w:t>
      </w:r>
    </w:p>
    <w:p>
      <w:pPr>
        <w:pStyle w:val="ListBullet"/>
      </w:pPr>
      <w:r>
        <w:t>maintain clear escalation paths;</w:t>
      </w:r>
    </w:p>
    <w:p>
      <w:pPr>
        <w:pStyle w:val="ListBullet"/>
      </w:pPr>
      <w:r>
        <w:t>track employee workload and social impact.</w:t>
      </w:r>
    </w:p>
    <w:p>
      <w:pPr>
        <w:pBdr>
          <w:bottom w:val="single" w:sz="6" w:space="1" w:color="41B9BB"/>
        </w:pBdr>
      </w:pPr>
    </w:p>
    <w:p>
      <w:pPr>
        <w:pStyle w:val="Heading1"/>
        <w:pBdr>
          <w:bottom w:val="single" w:sz="6" w:space="1" w:color="41B9BB"/>
        </w:pBdr>
      </w:pPr>
      <w:r>
        <w:t>13. RACI Matrix</w:t>
      </w:r>
    </w:p>
    <w:p>
      <w:r>
        <w:rPr>
          <w:b/>
        </w:rPr>
        <w:t>Legend:</w:t>
      </w:r>
      <w:r>
        <w:t xml:space="preserve"> R = Responsible, A = Accountable, C = Consulted, I = Informed</w:t>
      </w:r>
    </w:p>
    <w:tbl>
      <w:tblPr>
        <w:tblStyle w:val="TableGrid"/>
        <w:tblW w:type="auto" w:w="0"/>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130"/>
            <w:shd w:fill="173A65"/>
          </w:tcPr>
          <w:p>
            <w:r/>
            <w:r>
              <w:rPr>
                <w:b/>
                <w:color w:val="FFFFFF"/>
                <w:sz w:val="17"/>
              </w:rPr>
              <w:t>Activity</w:t>
            </w:r>
          </w:p>
        </w:tc>
        <w:tc>
          <w:tcPr>
            <w:tcW w:type="dxa" w:w="1130"/>
            <w:shd w:fill="173A65"/>
          </w:tcPr>
          <w:p>
            <w:r/>
            <w:r>
              <w:rPr>
                <w:b/>
                <w:color w:val="FFFFFF"/>
                <w:sz w:val="17"/>
              </w:rPr>
              <w:t>Business Process Owner</w:t>
            </w:r>
          </w:p>
        </w:tc>
        <w:tc>
          <w:tcPr>
            <w:tcW w:type="dxa" w:w="1130"/>
            <w:shd w:fill="173A65"/>
          </w:tcPr>
          <w:p>
            <w:r/>
            <w:r>
              <w:rPr>
                <w:b/>
                <w:color w:val="FFFFFF"/>
                <w:sz w:val="17"/>
              </w:rPr>
              <w:t>FR Lead</w:t>
            </w:r>
          </w:p>
        </w:tc>
        <w:tc>
          <w:tcPr>
            <w:tcW w:type="dxa" w:w="1130"/>
            <w:shd w:fill="173A65"/>
          </w:tcPr>
          <w:p>
            <w:r/>
            <w:r>
              <w:rPr>
                <w:b/>
                <w:color w:val="FFFFFF"/>
                <w:sz w:val="17"/>
              </w:rPr>
              <w:t>AU Lead</w:t>
            </w:r>
          </w:p>
        </w:tc>
        <w:tc>
          <w:tcPr>
            <w:tcW w:type="dxa" w:w="1130"/>
            <w:shd w:fill="173A65"/>
          </w:tcPr>
          <w:p>
            <w:r/>
            <w:r>
              <w:rPr>
                <w:b/>
                <w:color w:val="FFFFFF"/>
                <w:sz w:val="17"/>
              </w:rPr>
              <w:t>Data Owners and Stewards</w:t>
            </w:r>
          </w:p>
        </w:tc>
        <w:tc>
          <w:tcPr>
            <w:tcW w:type="dxa" w:w="1130"/>
            <w:shd w:fill="173A65"/>
          </w:tcPr>
          <w:p>
            <w:r/>
            <w:r>
              <w:rPr>
                <w:b/>
                <w:color w:val="FFFFFF"/>
                <w:sz w:val="17"/>
              </w:rPr>
              <w:t>IT and Architecture</w:t>
            </w:r>
          </w:p>
        </w:tc>
        <w:tc>
          <w:tcPr>
            <w:tcW w:type="dxa" w:w="1130"/>
            <w:shd w:fill="173A65"/>
          </w:tcPr>
          <w:p>
            <w:r/>
            <w:r>
              <w:rPr>
                <w:b/>
                <w:color w:val="FFFFFF"/>
                <w:sz w:val="17"/>
              </w:rPr>
              <w:t>Security and Compliance</w:t>
            </w:r>
          </w:p>
        </w:tc>
        <w:tc>
          <w:tcPr>
            <w:tcW w:type="dxa" w:w="1130"/>
            <w:shd w:fill="173A65"/>
          </w:tcPr>
          <w:p>
            <w:r/>
            <w:r>
              <w:rPr>
                <w:b/>
                <w:color w:val="FFFFFF"/>
                <w:sz w:val="17"/>
              </w:rPr>
              <w:t>Run and Operations</w:t>
            </w:r>
          </w:p>
        </w:tc>
        <w:tc>
          <w:tcPr>
            <w:tcW w:type="dxa" w:w="1130"/>
            <w:shd w:fill="173A65"/>
          </w:tcPr>
          <w:p>
            <w:r/>
            <w:r>
              <w:rPr>
                <w:b/>
                <w:color w:val="FFFFFF"/>
                <w:sz w:val="17"/>
              </w:rPr>
              <w:t>Nick</w:t>
            </w:r>
          </w:p>
        </w:tc>
      </w:tr>
      <w:tr>
        <w:tc>
          <w:tcPr>
            <w:tcW w:type="dxa" w:w="1130"/>
            <w:shd w:fill="F4F8FB"/>
          </w:tcPr>
          <w:p>
            <w:r/>
            <w:r>
              <w:rPr>
                <w:b w:val="0"/>
                <w:sz w:val="17"/>
              </w:rPr>
              <w:t>Define target onboarding process</w:t>
            </w:r>
          </w:p>
        </w:tc>
        <w:tc>
          <w:tcPr>
            <w:tcW w:type="dxa" w:w="1130"/>
            <w:shd w:fill="F4F8FB"/>
          </w:tcPr>
          <w:p>
            <w:r/>
            <w:r>
              <w:rPr>
                <w:b w:val="0"/>
                <w:sz w:val="17"/>
              </w:rPr>
              <w:t>A</w:t>
            </w:r>
          </w:p>
        </w:tc>
        <w:tc>
          <w:tcPr>
            <w:tcW w:type="dxa" w:w="1130"/>
            <w:shd w:fill="F4F8FB"/>
          </w:tcPr>
          <w:p>
            <w:r/>
            <w:r>
              <w:rPr>
                <w:b w:val="0"/>
                <w:sz w:val="17"/>
              </w:rPr>
              <w:t>R</w:t>
            </w:r>
          </w:p>
        </w:tc>
        <w:tc>
          <w:tcPr>
            <w:tcW w:type="dxa" w:w="1130"/>
            <w:shd w:fill="F4F8FB"/>
          </w:tcPr>
          <w:p>
            <w:r/>
            <w:r>
              <w:rPr>
                <w:b w:val="0"/>
                <w:sz w:val="17"/>
              </w:rPr>
              <w:t>R</w:t>
            </w:r>
          </w:p>
        </w:tc>
        <w:tc>
          <w:tcPr>
            <w:tcW w:type="dxa" w:w="1130"/>
            <w:shd w:fill="F4F8FB"/>
          </w:tcPr>
          <w:p>
            <w:r/>
            <w:r>
              <w:rPr>
                <w:b w:val="0"/>
                <w:sz w:val="17"/>
              </w:rPr>
              <w:t>C</w:t>
            </w:r>
          </w:p>
        </w:tc>
        <w:tc>
          <w:tcPr>
            <w:tcW w:type="dxa" w:w="1130"/>
            <w:shd w:fill="F4F8FB"/>
          </w:tcPr>
          <w:p>
            <w:r/>
            <w:r>
              <w:rPr>
                <w:b w:val="0"/>
                <w:sz w:val="17"/>
              </w:rPr>
              <w:t>C</w:t>
            </w:r>
          </w:p>
        </w:tc>
        <w:tc>
          <w:tcPr>
            <w:tcW w:type="dxa" w:w="1130"/>
            <w:shd w:fill="F4F8FB"/>
          </w:tcPr>
          <w:p>
            <w:r/>
            <w:r>
              <w:rPr>
                <w:b w:val="0"/>
                <w:sz w:val="17"/>
              </w:rPr>
              <w:t>C</w:t>
            </w:r>
          </w:p>
        </w:tc>
        <w:tc>
          <w:tcPr>
            <w:tcW w:type="dxa" w:w="1130"/>
            <w:shd w:fill="F4F8FB"/>
          </w:tcPr>
          <w:p>
            <w:r/>
            <w:r>
              <w:rPr>
                <w:b w:val="0"/>
                <w:sz w:val="17"/>
              </w:rPr>
              <w:t>I</w:t>
            </w:r>
          </w:p>
        </w:tc>
        <w:tc>
          <w:tcPr>
            <w:tcW w:type="dxa" w:w="1130"/>
            <w:shd w:fill="F4F8FB"/>
          </w:tcPr>
          <w:p>
            <w:r/>
            <w:r>
              <w:rPr>
                <w:b w:val="0"/>
                <w:sz w:val="17"/>
              </w:rPr>
              <w:t>C</w:t>
            </w:r>
          </w:p>
        </w:tc>
      </w:tr>
      <w:tr>
        <w:tc>
          <w:tcPr>
            <w:tcW w:type="dxa" w:w="1130"/>
          </w:tcPr>
          <w:p>
            <w:r/>
            <w:r>
              <w:rPr>
                <w:b w:val="0"/>
                <w:sz w:val="17"/>
              </w:rPr>
              <w:t>Approve KYC control model</w:t>
            </w:r>
          </w:p>
        </w:tc>
        <w:tc>
          <w:tcPr>
            <w:tcW w:type="dxa" w:w="1130"/>
          </w:tcPr>
          <w:p>
            <w:r/>
            <w:r>
              <w:rPr>
                <w:b w:val="0"/>
                <w:sz w:val="17"/>
              </w:rPr>
              <w:t>C</w:t>
            </w:r>
          </w:p>
        </w:tc>
        <w:tc>
          <w:tcPr>
            <w:tcW w:type="dxa" w:w="1130"/>
          </w:tcPr>
          <w:p>
            <w:r/>
            <w:r>
              <w:rPr>
                <w:b w:val="0"/>
                <w:sz w:val="17"/>
              </w:rPr>
              <w:t>C</w:t>
            </w:r>
          </w:p>
        </w:tc>
        <w:tc>
          <w:tcPr>
            <w:tcW w:type="dxa" w:w="1130"/>
          </w:tcPr>
          <w:p>
            <w:r/>
            <w:r>
              <w:rPr>
                <w:b w:val="0"/>
                <w:sz w:val="17"/>
              </w:rPr>
              <w:t>C</w:t>
            </w:r>
          </w:p>
        </w:tc>
        <w:tc>
          <w:tcPr>
            <w:tcW w:type="dxa" w:w="1130"/>
          </w:tcPr>
          <w:p>
            <w:r/>
            <w:r>
              <w:rPr>
                <w:b w:val="0"/>
                <w:sz w:val="17"/>
              </w:rPr>
              <w:t>C</w:t>
            </w:r>
          </w:p>
        </w:tc>
        <w:tc>
          <w:tcPr>
            <w:tcW w:type="dxa" w:w="1130"/>
          </w:tcPr>
          <w:p>
            <w:r/>
            <w:r>
              <w:rPr>
                <w:b w:val="0"/>
                <w:sz w:val="17"/>
              </w:rPr>
              <w:t>C</w:t>
            </w:r>
          </w:p>
        </w:tc>
        <w:tc>
          <w:tcPr>
            <w:tcW w:type="dxa" w:w="1130"/>
          </w:tcPr>
          <w:p>
            <w:r/>
            <w:r>
              <w:rPr>
                <w:b w:val="0"/>
                <w:sz w:val="17"/>
              </w:rPr>
              <w:t>A/R</w:t>
            </w:r>
          </w:p>
        </w:tc>
        <w:tc>
          <w:tcPr>
            <w:tcW w:type="dxa" w:w="1130"/>
          </w:tcPr>
          <w:p>
            <w:r/>
            <w:r>
              <w:rPr>
                <w:b w:val="0"/>
                <w:sz w:val="17"/>
              </w:rPr>
              <w:t>I</w:t>
            </w:r>
          </w:p>
        </w:tc>
        <w:tc>
          <w:tcPr>
            <w:tcW w:type="dxa" w:w="1130"/>
          </w:tcPr>
          <w:p>
            <w:r/>
            <w:r>
              <w:rPr>
                <w:b w:val="0"/>
                <w:sz w:val="17"/>
              </w:rPr>
              <w:t>I</w:t>
            </w:r>
          </w:p>
        </w:tc>
      </w:tr>
      <w:tr>
        <w:tc>
          <w:tcPr>
            <w:tcW w:type="dxa" w:w="1130"/>
            <w:shd w:fill="F4F8FB"/>
          </w:tcPr>
          <w:p>
            <w:r/>
            <w:r>
              <w:rPr>
                <w:b w:val="0"/>
                <w:sz w:val="17"/>
              </w:rPr>
              <w:t>Define golden customer record</w:t>
            </w:r>
          </w:p>
        </w:tc>
        <w:tc>
          <w:tcPr>
            <w:tcW w:type="dxa" w:w="1130"/>
            <w:shd w:fill="F4F8FB"/>
          </w:tcPr>
          <w:p>
            <w:r/>
            <w:r>
              <w:rPr>
                <w:b w:val="0"/>
                <w:sz w:val="17"/>
              </w:rPr>
              <w:t>C</w:t>
            </w:r>
          </w:p>
        </w:tc>
        <w:tc>
          <w:tcPr>
            <w:tcW w:type="dxa" w:w="1130"/>
            <w:shd w:fill="F4F8FB"/>
          </w:tcPr>
          <w:p>
            <w:r/>
            <w:r>
              <w:rPr>
                <w:b w:val="0"/>
                <w:sz w:val="17"/>
              </w:rPr>
              <w:t>C</w:t>
            </w:r>
          </w:p>
        </w:tc>
        <w:tc>
          <w:tcPr>
            <w:tcW w:type="dxa" w:w="1130"/>
            <w:shd w:fill="F4F8FB"/>
          </w:tcPr>
          <w:p>
            <w:r/>
            <w:r>
              <w:rPr>
                <w:b w:val="0"/>
                <w:sz w:val="17"/>
              </w:rPr>
              <w:t>C</w:t>
            </w:r>
          </w:p>
        </w:tc>
        <w:tc>
          <w:tcPr>
            <w:tcW w:type="dxa" w:w="1130"/>
            <w:shd w:fill="F4F8FB"/>
          </w:tcPr>
          <w:p>
            <w:r/>
            <w:r>
              <w:rPr>
                <w:b w:val="0"/>
                <w:sz w:val="17"/>
              </w:rPr>
              <w:t>A/R</w:t>
            </w:r>
          </w:p>
        </w:tc>
        <w:tc>
          <w:tcPr>
            <w:tcW w:type="dxa" w:w="1130"/>
            <w:shd w:fill="F4F8FB"/>
          </w:tcPr>
          <w:p>
            <w:r/>
            <w:r>
              <w:rPr>
                <w:b w:val="0"/>
                <w:sz w:val="17"/>
              </w:rPr>
              <w:t>C</w:t>
            </w:r>
          </w:p>
        </w:tc>
        <w:tc>
          <w:tcPr>
            <w:tcW w:type="dxa" w:w="1130"/>
            <w:shd w:fill="F4F8FB"/>
          </w:tcPr>
          <w:p>
            <w:r/>
            <w:r>
              <w:rPr>
                <w:b w:val="0"/>
                <w:sz w:val="17"/>
              </w:rPr>
              <w:t>C</w:t>
            </w:r>
          </w:p>
        </w:tc>
        <w:tc>
          <w:tcPr>
            <w:tcW w:type="dxa" w:w="1130"/>
            <w:shd w:fill="F4F8FB"/>
          </w:tcPr>
          <w:p>
            <w:r/>
            <w:r>
              <w:rPr>
                <w:b w:val="0"/>
                <w:sz w:val="17"/>
              </w:rPr>
              <w:t>I</w:t>
            </w:r>
          </w:p>
        </w:tc>
        <w:tc>
          <w:tcPr>
            <w:tcW w:type="dxa" w:w="1130"/>
            <w:shd w:fill="F4F8FB"/>
          </w:tcPr>
          <w:p>
            <w:r/>
            <w:r>
              <w:rPr>
                <w:b w:val="0"/>
                <w:sz w:val="17"/>
              </w:rPr>
              <w:t>C</w:t>
            </w:r>
          </w:p>
        </w:tc>
      </w:tr>
      <w:tr>
        <w:tc>
          <w:tcPr>
            <w:tcW w:type="dxa" w:w="1130"/>
          </w:tcPr>
          <w:p>
            <w:r/>
            <w:r>
              <w:rPr>
                <w:b w:val="0"/>
                <w:sz w:val="17"/>
              </w:rPr>
              <w:t>Build Verita platform</w:t>
            </w:r>
          </w:p>
        </w:tc>
        <w:tc>
          <w:tcPr>
            <w:tcW w:type="dxa" w:w="1130"/>
          </w:tcPr>
          <w:p>
            <w:r/>
            <w:r>
              <w:rPr>
                <w:b w:val="0"/>
                <w:sz w:val="17"/>
              </w:rPr>
              <w:t>C</w:t>
            </w:r>
          </w:p>
        </w:tc>
        <w:tc>
          <w:tcPr>
            <w:tcW w:type="dxa" w:w="1130"/>
          </w:tcPr>
          <w:p>
            <w:r/>
            <w:r>
              <w:rPr>
                <w:b w:val="0"/>
                <w:sz w:val="17"/>
              </w:rPr>
              <w:t>I</w:t>
            </w:r>
          </w:p>
        </w:tc>
        <w:tc>
          <w:tcPr>
            <w:tcW w:type="dxa" w:w="1130"/>
          </w:tcPr>
          <w:p>
            <w:r/>
            <w:r>
              <w:rPr>
                <w:b w:val="0"/>
                <w:sz w:val="17"/>
              </w:rPr>
              <w:t>I</w:t>
            </w:r>
          </w:p>
        </w:tc>
        <w:tc>
          <w:tcPr>
            <w:tcW w:type="dxa" w:w="1130"/>
          </w:tcPr>
          <w:p>
            <w:r/>
            <w:r>
              <w:rPr>
                <w:b w:val="0"/>
                <w:sz w:val="17"/>
              </w:rPr>
              <w:t>C</w:t>
            </w:r>
          </w:p>
        </w:tc>
        <w:tc>
          <w:tcPr>
            <w:tcW w:type="dxa" w:w="1130"/>
          </w:tcPr>
          <w:p>
            <w:r/>
            <w:r>
              <w:rPr>
                <w:b w:val="0"/>
                <w:sz w:val="17"/>
              </w:rPr>
              <w:t>A/R</w:t>
            </w:r>
          </w:p>
        </w:tc>
        <w:tc>
          <w:tcPr>
            <w:tcW w:type="dxa" w:w="1130"/>
          </w:tcPr>
          <w:p>
            <w:r/>
            <w:r>
              <w:rPr>
                <w:b w:val="0"/>
                <w:sz w:val="17"/>
              </w:rPr>
              <w:t>C</w:t>
            </w:r>
          </w:p>
        </w:tc>
        <w:tc>
          <w:tcPr>
            <w:tcW w:type="dxa" w:w="1130"/>
          </w:tcPr>
          <w:p>
            <w:r/>
            <w:r>
              <w:rPr>
                <w:b w:val="0"/>
                <w:sz w:val="17"/>
              </w:rPr>
              <w:t>C</w:t>
            </w:r>
          </w:p>
        </w:tc>
        <w:tc>
          <w:tcPr>
            <w:tcW w:type="dxa" w:w="1130"/>
          </w:tcPr>
          <w:p>
            <w:r/>
            <w:r>
              <w:rPr>
                <w:b w:val="0"/>
                <w:sz w:val="17"/>
              </w:rPr>
              <w:t>I</w:t>
            </w:r>
          </w:p>
        </w:tc>
      </w:tr>
      <w:tr>
        <w:tc>
          <w:tcPr>
            <w:tcW w:type="dxa" w:w="1130"/>
            <w:shd w:fill="F4F8FB"/>
          </w:tcPr>
          <w:p>
            <w:r/>
            <w:r>
              <w:rPr>
                <w:b w:val="0"/>
                <w:sz w:val="17"/>
              </w:rPr>
              <w:t>Configure Cerberus controls</w:t>
            </w:r>
          </w:p>
        </w:tc>
        <w:tc>
          <w:tcPr>
            <w:tcW w:type="dxa" w:w="1130"/>
            <w:shd w:fill="F4F8FB"/>
          </w:tcPr>
          <w:p>
            <w:r/>
            <w:r>
              <w:rPr>
                <w:b w:val="0"/>
                <w:sz w:val="17"/>
              </w:rPr>
              <w:t>I</w:t>
            </w:r>
          </w:p>
        </w:tc>
        <w:tc>
          <w:tcPr>
            <w:tcW w:type="dxa" w:w="1130"/>
            <w:shd w:fill="F4F8FB"/>
          </w:tcPr>
          <w:p>
            <w:r/>
            <w:r>
              <w:rPr>
                <w:b w:val="0"/>
                <w:sz w:val="17"/>
              </w:rPr>
              <w:t>I</w:t>
            </w:r>
          </w:p>
        </w:tc>
        <w:tc>
          <w:tcPr>
            <w:tcW w:type="dxa" w:w="1130"/>
            <w:shd w:fill="F4F8FB"/>
          </w:tcPr>
          <w:p>
            <w:r/>
            <w:r>
              <w:rPr>
                <w:b w:val="0"/>
                <w:sz w:val="17"/>
              </w:rPr>
              <w:t>I</w:t>
            </w:r>
          </w:p>
        </w:tc>
        <w:tc>
          <w:tcPr>
            <w:tcW w:type="dxa" w:w="1130"/>
            <w:shd w:fill="F4F8FB"/>
          </w:tcPr>
          <w:p>
            <w:r/>
            <w:r>
              <w:rPr>
                <w:b w:val="0"/>
                <w:sz w:val="17"/>
              </w:rPr>
              <w:t>I</w:t>
            </w:r>
          </w:p>
        </w:tc>
        <w:tc>
          <w:tcPr>
            <w:tcW w:type="dxa" w:w="1130"/>
            <w:shd w:fill="F4F8FB"/>
          </w:tcPr>
          <w:p>
            <w:r/>
            <w:r>
              <w:rPr>
                <w:b w:val="0"/>
                <w:sz w:val="17"/>
              </w:rPr>
              <w:t>R</w:t>
            </w:r>
          </w:p>
        </w:tc>
        <w:tc>
          <w:tcPr>
            <w:tcW w:type="dxa" w:w="1130"/>
            <w:shd w:fill="F4F8FB"/>
          </w:tcPr>
          <w:p>
            <w:r/>
            <w:r>
              <w:rPr>
                <w:b w:val="0"/>
                <w:sz w:val="17"/>
              </w:rPr>
              <w:t>A</w:t>
            </w:r>
          </w:p>
        </w:tc>
        <w:tc>
          <w:tcPr>
            <w:tcW w:type="dxa" w:w="1130"/>
            <w:shd w:fill="F4F8FB"/>
          </w:tcPr>
          <w:p>
            <w:r/>
            <w:r>
              <w:rPr>
                <w:b w:val="0"/>
                <w:sz w:val="17"/>
              </w:rPr>
              <w:t>C</w:t>
            </w:r>
          </w:p>
        </w:tc>
        <w:tc>
          <w:tcPr>
            <w:tcW w:type="dxa" w:w="1130"/>
            <w:shd w:fill="F4F8FB"/>
          </w:tcPr>
          <w:p>
            <w:r/>
            <w:r>
              <w:rPr>
                <w:b w:val="0"/>
                <w:sz w:val="17"/>
              </w:rPr>
              <w:t>I</w:t>
            </w:r>
          </w:p>
        </w:tc>
      </w:tr>
      <w:tr>
        <w:tc>
          <w:tcPr>
            <w:tcW w:type="dxa" w:w="1130"/>
          </w:tcPr>
          <w:p>
            <w:r/>
            <w:r>
              <w:rPr>
                <w:b w:val="0"/>
                <w:sz w:val="17"/>
              </w:rPr>
              <w:t>Integrate Patronum</w:t>
            </w:r>
          </w:p>
        </w:tc>
        <w:tc>
          <w:tcPr>
            <w:tcW w:type="dxa" w:w="1130"/>
          </w:tcPr>
          <w:p>
            <w:r/>
            <w:r>
              <w:rPr>
                <w:b w:val="0"/>
                <w:sz w:val="17"/>
              </w:rPr>
              <w:t>C</w:t>
            </w:r>
          </w:p>
        </w:tc>
        <w:tc>
          <w:tcPr>
            <w:tcW w:type="dxa" w:w="1130"/>
          </w:tcPr>
          <w:p>
            <w:r/>
            <w:r>
              <w:rPr>
                <w:b w:val="0"/>
                <w:sz w:val="17"/>
              </w:rPr>
              <w:t>C</w:t>
            </w:r>
          </w:p>
        </w:tc>
        <w:tc>
          <w:tcPr>
            <w:tcW w:type="dxa" w:w="1130"/>
          </w:tcPr>
          <w:p>
            <w:r/>
            <w:r>
              <w:rPr>
                <w:b w:val="0"/>
                <w:sz w:val="17"/>
              </w:rPr>
              <w:t>C</w:t>
            </w:r>
          </w:p>
        </w:tc>
        <w:tc>
          <w:tcPr>
            <w:tcW w:type="dxa" w:w="1130"/>
          </w:tcPr>
          <w:p>
            <w:r/>
            <w:r>
              <w:rPr>
                <w:b w:val="0"/>
                <w:sz w:val="17"/>
              </w:rPr>
              <w:t>C</w:t>
            </w:r>
          </w:p>
        </w:tc>
        <w:tc>
          <w:tcPr>
            <w:tcW w:type="dxa" w:w="1130"/>
          </w:tcPr>
          <w:p>
            <w:r/>
            <w:r>
              <w:rPr>
                <w:b w:val="0"/>
                <w:sz w:val="17"/>
              </w:rPr>
              <w:t>R</w:t>
            </w:r>
          </w:p>
        </w:tc>
        <w:tc>
          <w:tcPr>
            <w:tcW w:type="dxa" w:w="1130"/>
          </w:tcPr>
          <w:p>
            <w:r/>
            <w:r>
              <w:rPr>
                <w:b w:val="0"/>
                <w:sz w:val="17"/>
              </w:rPr>
              <w:t>A</w:t>
            </w:r>
          </w:p>
        </w:tc>
        <w:tc>
          <w:tcPr>
            <w:tcW w:type="dxa" w:w="1130"/>
          </w:tcPr>
          <w:p>
            <w:r/>
            <w:r>
              <w:rPr>
                <w:b w:val="0"/>
                <w:sz w:val="17"/>
              </w:rPr>
              <w:t>C</w:t>
            </w:r>
          </w:p>
        </w:tc>
        <w:tc>
          <w:tcPr>
            <w:tcW w:type="dxa" w:w="1130"/>
          </w:tcPr>
          <w:p>
            <w:r/>
            <w:r>
              <w:rPr>
                <w:b w:val="0"/>
                <w:sz w:val="17"/>
              </w:rPr>
              <w:t>I</w:t>
            </w:r>
          </w:p>
        </w:tc>
      </w:tr>
      <w:tr>
        <w:tc>
          <w:tcPr>
            <w:tcW w:type="dxa" w:w="1130"/>
            <w:shd w:fill="F4F8FB"/>
          </w:tcPr>
          <w:p>
            <w:r/>
            <w:r>
              <w:rPr>
                <w:b w:val="0"/>
                <w:sz w:val="17"/>
              </w:rPr>
              <w:t>Prepare migration mapping</w:t>
            </w:r>
          </w:p>
        </w:tc>
        <w:tc>
          <w:tcPr>
            <w:tcW w:type="dxa" w:w="1130"/>
            <w:shd w:fill="F4F8FB"/>
          </w:tcPr>
          <w:p>
            <w:r/>
            <w:r>
              <w:rPr>
                <w:b w:val="0"/>
                <w:sz w:val="17"/>
              </w:rPr>
              <w:t>C</w:t>
            </w:r>
          </w:p>
        </w:tc>
        <w:tc>
          <w:tcPr>
            <w:tcW w:type="dxa" w:w="1130"/>
            <w:shd w:fill="F4F8FB"/>
          </w:tcPr>
          <w:p>
            <w:r/>
            <w:r>
              <w:rPr>
                <w:b w:val="0"/>
                <w:sz w:val="17"/>
              </w:rPr>
              <w:t>C</w:t>
            </w:r>
          </w:p>
        </w:tc>
        <w:tc>
          <w:tcPr>
            <w:tcW w:type="dxa" w:w="1130"/>
            <w:shd w:fill="F4F8FB"/>
          </w:tcPr>
          <w:p>
            <w:r/>
            <w:r>
              <w:rPr>
                <w:b w:val="0"/>
                <w:sz w:val="17"/>
              </w:rPr>
              <w:t>C</w:t>
            </w:r>
          </w:p>
        </w:tc>
        <w:tc>
          <w:tcPr>
            <w:tcW w:type="dxa" w:w="1130"/>
            <w:shd w:fill="F4F8FB"/>
          </w:tcPr>
          <w:p>
            <w:r/>
            <w:r>
              <w:rPr>
                <w:b w:val="0"/>
                <w:sz w:val="17"/>
              </w:rPr>
              <w:t>A</w:t>
            </w:r>
          </w:p>
        </w:tc>
        <w:tc>
          <w:tcPr>
            <w:tcW w:type="dxa" w:w="1130"/>
            <w:shd w:fill="F4F8FB"/>
          </w:tcPr>
          <w:p>
            <w:r/>
            <w:r>
              <w:rPr>
                <w:b w:val="0"/>
                <w:sz w:val="17"/>
              </w:rPr>
              <w:t>R</w:t>
            </w:r>
          </w:p>
        </w:tc>
        <w:tc>
          <w:tcPr>
            <w:tcW w:type="dxa" w:w="1130"/>
            <w:shd w:fill="F4F8FB"/>
          </w:tcPr>
          <w:p>
            <w:r/>
            <w:r>
              <w:rPr>
                <w:b w:val="0"/>
                <w:sz w:val="17"/>
              </w:rPr>
              <w:t>C</w:t>
            </w:r>
          </w:p>
        </w:tc>
        <w:tc>
          <w:tcPr>
            <w:tcW w:type="dxa" w:w="1130"/>
            <w:shd w:fill="F4F8FB"/>
          </w:tcPr>
          <w:p>
            <w:r/>
            <w:r>
              <w:rPr>
                <w:b w:val="0"/>
                <w:sz w:val="17"/>
              </w:rPr>
              <w:t>I</w:t>
            </w:r>
          </w:p>
        </w:tc>
        <w:tc>
          <w:tcPr>
            <w:tcW w:type="dxa" w:w="1130"/>
            <w:shd w:fill="F4F8FB"/>
          </w:tcPr>
          <w:p>
            <w:r/>
            <w:r>
              <w:rPr>
                <w:b w:val="0"/>
                <w:sz w:val="17"/>
              </w:rPr>
              <w:t>R</w:t>
            </w:r>
          </w:p>
        </w:tc>
      </w:tr>
      <w:tr>
        <w:tc>
          <w:tcPr>
            <w:tcW w:type="dxa" w:w="1130"/>
          </w:tcPr>
          <w:p>
            <w:r/>
            <w:r>
              <w:rPr>
                <w:b w:val="0"/>
                <w:sz w:val="17"/>
              </w:rPr>
              <w:t>Reconcile migrated records</w:t>
            </w:r>
          </w:p>
        </w:tc>
        <w:tc>
          <w:tcPr>
            <w:tcW w:type="dxa" w:w="1130"/>
          </w:tcPr>
          <w:p>
            <w:r/>
            <w:r>
              <w:rPr>
                <w:b w:val="0"/>
                <w:sz w:val="17"/>
              </w:rPr>
              <w:t>I</w:t>
            </w:r>
          </w:p>
        </w:tc>
        <w:tc>
          <w:tcPr>
            <w:tcW w:type="dxa" w:w="1130"/>
          </w:tcPr>
          <w:p>
            <w:r/>
            <w:r>
              <w:rPr>
                <w:b w:val="0"/>
                <w:sz w:val="17"/>
              </w:rPr>
              <w:t>R</w:t>
            </w:r>
          </w:p>
        </w:tc>
        <w:tc>
          <w:tcPr>
            <w:tcW w:type="dxa" w:w="1130"/>
          </w:tcPr>
          <w:p>
            <w:r/>
            <w:r>
              <w:rPr>
                <w:b w:val="0"/>
                <w:sz w:val="17"/>
              </w:rPr>
              <w:t>R</w:t>
            </w:r>
          </w:p>
        </w:tc>
        <w:tc>
          <w:tcPr>
            <w:tcW w:type="dxa" w:w="1130"/>
          </w:tcPr>
          <w:p>
            <w:r/>
            <w:r>
              <w:rPr>
                <w:b w:val="0"/>
                <w:sz w:val="17"/>
              </w:rPr>
              <w:t>A</w:t>
            </w:r>
          </w:p>
        </w:tc>
        <w:tc>
          <w:tcPr>
            <w:tcW w:type="dxa" w:w="1130"/>
          </w:tcPr>
          <w:p>
            <w:r/>
            <w:r>
              <w:rPr>
                <w:b w:val="0"/>
                <w:sz w:val="17"/>
              </w:rPr>
              <w:t>C</w:t>
            </w:r>
          </w:p>
        </w:tc>
        <w:tc>
          <w:tcPr>
            <w:tcW w:type="dxa" w:w="1130"/>
          </w:tcPr>
          <w:p>
            <w:r/>
            <w:r>
              <w:rPr>
                <w:b w:val="0"/>
                <w:sz w:val="17"/>
              </w:rPr>
              <w:t>C</w:t>
            </w:r>
          </w:p>
        </w:tc>
        <w:tc>
          <w:tcPr>
            <w:tcW w:type="dxa" w:w="1130"/>
          </w:tcPr>
          <w:p>
            <w:r/>
            <w:r>
              <w:rPr>
                <w:b w:val="0"/>
                <w:sz w:val="17"/>
              </w:rPr>
              <w:t>I</w:t>
            </w:r>
          </w:p>
        </w:tc>
        <w:tc>
          <w:tcPr>
            <w:tcW w:type="dxa" w:w="1130"/>
          </w:tcPr>
          <w:p>
            <w:r/>
            <w:r>
              <w:rPr>
                <w:b w:val="0"/>
                <w:sz w:val="17"/>
              </w:rPr>
              <w:t>C</w:t>
            </w:r>
          </w:p>
        </w:tc>
      </w:tr>
      <w:tr>
        <w:tc>
          <w:tcPr>
            <w:tcW w:type="dxa" w:w="1130"/>
            <w:shd w:fill="F4F8FB"/>
          </w:tcPr>
          <w:p>
            <w:r/>
            <w:r>
              <w:rPr>
                <w:b w:val="0"/>
                <w:sz w:val="17"/>
              </w:rPr>
              <w:t>Operate production service</w:t>
            </w:r>
          </w:p>
        </w:tc>
        <w:tc>
          <w:tcPr>
            <w:tcW w:type="dxa" w:w="1130"/>
            <w:shd w:fill="F4F8FB"/>
          </w:tcPr>
          <w:p>
            <w:r/>
            <w:r>
              <w:rPr>
                <w:b w:val="0"/>
                <w:sz w:val="17"/>
              </w:rPr>
              <w:t>I</w:t>
            </w:r>
          </w:p>
        </w:tc>
        <w:tc>
          <w:tcPr>
            <w:tcW w:type="dxa" w:w="1130"/>
            <w:shd w:fill="F4F8FB"/>
          </w:tcPr>
          <w:p>
            <w:r/>
            <w:r>
              <w:rPr>
                <w:b w:val="0"/>
                <w:sz w:val="17"/>
              </w:rPr>
              <w:t>C</w:t>
            </w:r>
          </w:p>
        </w:tc>
        <w:tc>
          <w:tcPr>
            <w:tcW w:type="dxa" w:w="1130"/>
            <w:shd w:fill="F4F8FB"/>
          </w:tcPr>
          <w:p>
            <w:r/>
            <w:r>
              <w:rPr>
                <w:b w:val="0"/>
                <w:sz w:val="17"/>
              </w:rPr>
              <w:t>C</w:t>
            </w:r>
          </w:p>
        </w:tc>
        <w:tc>
          <w:tcPr>
            <w:tcW w:type="dxa" w:w="1130"/>
            <w:shd w:fill="F4F8FB"/>
          </w:tcPr>
          <w:p>
            <w:r/>
            <w:r>
              <w:rPr>
                <w:b w:val="0"/>
                <w:sz w:val="17"/>
              </w:rPr>
              <w:t>C</w:t>
            </w:r>
          </w:p>
        </w:tc>
        <w:tc>
          <w:tcPr>
            <w:tcW w:type="dxa" w:w="1130"/>
            <w:shd w:fill="F4F8FB"/>
          </w:tcPr>
          <w:p>
            <w:r/>
            <w:r>
              <w:rPr>
                <w:b w:val="0"/>
                <w:sz w:val="17"/>
              </w:rPr>
              <w:t>C</w:t>
            </w:r>
          </w:p>
        </w:tc>
        <w:tc>
          <w:tcPr>
            <w:tcW w:type="dxa" w:w="1130"/>
            <w:shd w:fill="F4F8FB"/>
          </w:tcPr>
          <w:p>
            <w:r/>
            <w:r>
              <w:rPr>
                <w:b w:val="0"/>
                <w:sz w:val="17"/>
              </w:rPr>
              <w:t>C</w:t>
            </w:r>
          </w:p>
        </w:tc>
        <w:tc>
          <w:tcPr>
            <w:tcW w:type="dxa" w:w="1130"/>
            <w:shd w:fill="F4F8FB"/>
          </w:tcPr>
          <w:p>
            <w:r/>
            <w:r>
              <w:rPr>
                <w:b w:val="0"/>
                <w:sz w:val="17"/>
              </w:rPr>
              <w:t>A/R</w:t>
            </w:r>
          </w:p>
        </w:tc>
        <w:tc>
          <w:tcPr>
            <w:tcW w:type="dxa" w:w="1130"/>
            <w:shd w:fill="F4F8FB"/>
          </w:tcPr>
          <w:p>
            <w:r/>
            <w:r>
              <w:rPr>
                <w:b w:val="0"/>
                <w:sz w:val="17"/>
              </w:rPr>
              <w:t>I</w:t>
            </w:r>
          </w:p>
        </w:tc>
      </w:tr>
      <w:tr>
        <w:tc>
          <w:tcPr>
            <w:tcW w:type="dxa" w:w="1130"/>
          </w:tcPr>
          <w:p>
            <w:r/>
            <w:r>
              <w:rPr>
                <w:b w:val="0"/>
                <w:sz w:val="17"/>
              </w:rPr>
              <w:t>Retire legacy applications</w:t>
            </w:r>
          </w:p>
        </w:tc>
        <w:tc>
          <w:tcPr>
            <w:tcW w:type="dxa" w:w="1130"/>
          </w:tcPr>
          <w:p>
            <w:r/>
            <w:r>
              <w:rPr>
                <w:b w:val="0"/>
                <w:sz w:val="17"/>
              </w:rPr>
              <w:t>A</w:t>
            </w:r>
          </w:p>
        </w:tc>
        <w:tc>
          <w:tcPr>
            <w:tcW w:type="dxa" w:w="1130"/>
          </w:tcPr>
          <w:p>
            <w:r/>
            <w:r>
              <w:rPr>
                <w:b w:val="0"/>
                <w:sz w:val="17"/>
              </w:rPr>
              <w:t>C</w:t>
            </w:r>
          </w:p>
        </w:tc>
        <w:tc>
          <w:tcPr>
            <w:tcW w:type="dxa" w:w="1130"/>
          </w:tcPr>
          <w:p>
            <w:r/>
            <w:r>
              <w:rPr>
                <w:b w:val="0"/>
                <w:sz w:val="17"/>
              </w:rPr>
              <w:t>C</w:t>
            </w:r>
          </w:p>
        </w:tc>
        <w:tc>
          <w:tcPr>
            <w:tcW w:type="dxa" w:w="1130"/>
          </w:tcPr>
          <w:p>
            <w:r/>
            <w:r>
              <w:rPr>
                <w:b w:val="0"/>
                <w:sz w:val="17"/>
              </w:rPr>
              <w:t>C</w:t>
            </w:r>
          </w:p>
        </w:tc>
        <w:tc>
          <w:tcPr>
            <w:tcW w:type="dxa" w:w="1130"/>
          </w:tcPr>
          <w:p>
            <w:r/>
            <w:r>
              <w:rPr>
                <w:b w:val="0"/>
                <w:sz w:val="17"/>
              </w:rPr>
              <w:t>R</w:t>
            </w:r>
          </w:p>
        </w:tc>
        <w:tc>
          <w:tcPr>
            <w:tcW w:type="dxa" w:w="1130"/>
          </w:tcPr>
          <w:p>
            <w:r/>
            <w:r>
              <w:rPr>
                <w:b w:val="0"/>
                <w:sz w:val="17"/>
              </w:rPr>
              <w:t>C</w:t>
            </w:r>
          </w:p>
        </w:tc>
        <w:tc>
          <w:tcPr>
            <w:tcW w:type="dxa" w:w="1130"/>
          </w:tcPr>
          <w:p>
            <w:r/>
            <w:r>
              <w:rPr>
                <w:b w:val="0"/>
                <w:sz w:val="17"/>
              </w:rPr>
              <w:t>C</w:t>
            </w:r>
          </w:p>
        </w:tc>
        <w:tc>
          <w:tcPr>
            <w:tcW w:type="dxa" w:w="1130"/>
          </w:tcPr>
          <w:p>
            <w:r/>
            <w:r>
              <w:rPr>
                <w:b w:val="0"/>
                <w:sz w:val="17"/>
              </w:rPr>
              <w:t>R</w:t>
            </w:r>
          </w:p>
        </w:tc>
      </w:tr>
      <w:tr>
        <w:tc>
          <w:tcPr>
            <w:tcW w:type="dxa" w:w="1130"/>
            <w:shd w:fill="F4F8FB"/>
          </w:tcPr>
          <w:p>
            <w:r/>
            <w:r>
              <w:rPr>
                <w:b w:val="0"/>
                <w:sz w:val="17"/>
              </w:rPr>
              <w:t>Manage change and training</w:t>
            </w:r>
          </w:p>
        </w:tc>
        <w:tc>
          <w:tcPr>
            <w:tcW w:type="dxa" w:w="1130"/>
            <w:shd w:fill="F4F8FB"/>
          </w:tcPr>
          <w:p>
            <w:r/>
            <w:r>
              <w:rPr>
                <w:b w:val="0"/>
                <w:sz w:val="17"/>
              </w:rPr>
              <w:t>A</w:t>
            </w:r>
          </w:p>
        </w:tc>
        <w:tc>
          <w:tcPr>
            <w:tcW w:type="dxa" w:w="1130"/>
            <w:shd w:fill="F4F8FB"/>
          </w:tcPr>
          <w:p>
            <w:r/>
            <w:r>
              <w:rPr>
                <w:b w:val="0"/>
                <w:sz w:val="17"/>
              </w:rPr>
              <w:t>R</w:t>
            </w:r>
          </w:p>
        </w:tc>
        <w:tc>
          <w:tcPr>
            <w:tcW w:type="dxa" w:w="1130"/>
            <w:shd w:fill="F4F8FB"/>
          </w:tcPr>
          <w:p>
            <w:r/>
            <w:r>
              <w:rPr>
                <w:b w:val="0"/>
                <w:sz w:val="17"/>
              </w:rPr>
              <w:t>R</w:t>
            </w:r>
          </w:p>
        </w:tc>
        <w:tc>
          <w:tcPr>
            <w:tcW w:type="dxa" w:w="1130"/>
            <w:shd w:fill="F4F8FB"/>
          </w:tcPr>
          <w:p>
            <w:r/>
            <w:r>
              <w:rPr>
                <w:b w:val="0"/>
                <w:sz w:val="17"/>
              </w:rPr>
              <w:t>C</w:t>
            </w:r>
          </w:p>
        </w:tc>
        <w:tc>
          <w:tcPr>
            <w:tcW w:type="dxa" w:w="1130"/>
            <w:shd w:fill="F4F8FB"/>
          </w:tcPr>
          <w:p>
            <w:r/>
            <w:r>
              <w:rPr>
                <w:b w:val="0"/>
                <w:sz w:val="17"/>
              </w:rPr>
              <w:t>C</w:t>
            </w:r>
          </w:p>
        </w:tc>
        <w:tc>
          <w:tcPr>
            <w:tcW w:type="dxa" w:w="1130"/>
            <w:shd w:fill="F4F8FB"/>
          </w:tcPr>
          <w:p>
            <w:r/>
            <w:r>
              <w:rPr>
                <w:b w:val="0"/>
                <w:sz w:val="17"/>
              </w:rPr>
              <w:t>C</w:t>
            </w:r>
          </w:p>
        </w:tc>
        <w:tc>
          <w:tcPr>
            <w:tcW w:type="dxa" w:w="1130"/>
            <w:shd w:fill="F4F8FB"/>
          </w:tcPr>
          <w:p>
            <w:r/>
            <w:r>
              <w:rPr>
                <w:b w:val="0"/>
                <w:sz w:val="17"/>
              </w:rPr>
              <w:t>C</w:t>
            </w:r>
          </w:p>
        </w:tc>
        <w:tc>
          <w:tcPr>
            <w:tcW w:type="dxa" w:w="1130"/>
            <w:shd w:fill="F4F8FB"/>
          </w:tcPr>
          <w:p>
            <w:r/>
            <w:r>
              <w:rPr>
                <w:b w:val="0"/>
                <w:sz w:val="17"/>
              </w:rPr>
              <w:t>C</w:t>
            </w:r>
          </w:p>
        </w:tc>
      </w:tr>
    </w:tbl>
    <w:p/>
    <w:p>
      <w:pPr>
        <w:pBdr>
          <w:bottom w:val="single" w:sz="6" w:space="1" w:color="41B9BB"/>
        </w:pBdr>
      </w:pPr>
    </w:p>
    <w:p>
      <w:pPr>
        <w:pStyle w:val="Heading1"/>
        <w:pBdr>
          <w:bottom w:val="single" w:sz="6" w:space="1" w:color="41B9BB"/>
        </w:pBdr>
      </w:pPr>
      <w:r>
        <w:t>14. Budget and ROI</w:t>
      </w:r>
    </w:p>
    <w:p>
      <w:pPr>
        <w:pStyle w:val="Heading2"/>
      </w:pPr>
      <w:r>
        <w:t>14.1 Indicative Implementation Budget</w:t>
      </w:r>
    </w:p>
    <w:tbl>
      <w:tblPr>
        <w:tblStyle w:val="TableGrid"/>
        <w:tblW w:type="auto" w:w="0"/>
        <w:tblLook w:firstColumn="1" w:firstRow="1" w:lastColumn="0" w:lastRow="0" w:noHBand="0" w:noVBand="1" w:val="04A0"/>
      </w:tblPr>
      <w:tblGrid>
        <w:gridCol w:w="5083"/>
        <w:gridCol w:w="5083"/>
      </w:tblGrid>
      <w:tr>
        <w:tc>
          <w:tcPr>
            <w:tcW w:type="dxa" w:w="5083"/>
            <w:shd w:fill="173A65"/>
          </w:tcPr>
          <w:p>
            <w:r/>
            <w:r>
              <w:rPr>
                <w:b/>
                <w:color w:val="FFFFFF"/>
                <w:sz w:val="17"/>
              </w:rPr>
              <w:t>Cost Category</w:t>
            </w:r>
          </w:p>
        </w:tc>
        <w:tc>
          <w:tcPr>
            <w:tcW w:type="dxa" w:w="5083"/>
            <w:shd w:fill="173A65"/>
          </w:tcPr>
          <w:p>
            <w:r/>
            <w:r>
              <w:rPr>
                <w:b/>
                <w:color w:val="FFFFFF"/>
                <w:sz w:val="17"/>
              </w:rPr>
              <w:t>Estimate</w:t>
            </w:r>
          </w:p>
        </w:tc>
      </w:tr>
      <w:tr>
        <w:tc>
          <w:tcPr>
            <w:tcW w:type="dxa" w:w="5083"/>
            <w:shd w:fill="F4F8FB"/>
          </w:tcPr>
          <w:p>
            <w:r/>
            <w:r>
              <w:rPr>
                <w:b w:val="0"/>
                <w:sz w:val="17"/>
              </w:rPr>
              <w:t>Discovery, architecture and product design</w:t>
            </w:r>
          </w:p>
        </w:tc>
        <w:tc>
          <w:tcPr>
            <w:tcW w:type="dxa" w:w="5083"/>
            <w:shd w:fill="F4F8FB"/>
          </w:tcPr>
          <w:p>
            <w:r/>
            <w:r>
              <w:rPr>
                <w:b w:val="0"/>
                <w:sz w:val="17"/>
              </w:rPr>
              <w:t>EUR 260,000</w:t>
            </w:r>
          </w:p>
        </w:tc>
      </w:tr>
      <w:tr>
        <w:tc>
          <w:tcPr>
            <w:tcW w:type="dxa" w:w="5083"/>
          </w:tcPr>
          <w:p>
            <w:r/>
            <w:r>
              <w:rPr>
                <w:b w:val="0"/>
                <w:sz w:val="17"/>
              </w:rPr>
              <w:t>Application engineering and UX</w:t>
            </w:r>
          </w:p>
        </w:tc>
        <w:tc>
          <w:tcPr>
            <w:tcW w:type="dxa" w:w="5083"/>
          </w:tcPr>
          <w:p>
            <w:r/>
            <w:r>
              <w:rPr>
                <w:b w:val="0"/>
                <w:sz w:val="17"/>
              </w:rPr>
              <w:t>EUR 850,000</w:t>
            </w:r>
          </w:p>
        </w:tc>
      </w:tr>
      <w:tr>
        <w:tc>
          <w:tcPr>
            <w:tcW w:type="dxa" w:w="5083"/>
            <w:shd w:fill="F4F8FB"/>
          </w:tcPr>
          <w:p>
            <w:r/>
            <w:r>
              <w:rPr>
                <w:b w:val="0"/>
                <w:sz w:val="17"/>
              </w:rPr>
              <w:t>Cerberus, Patronum and downstream integrations</w:t>
            </w:r>
          </w:p>
        </w:tc>
        <w:tc>
          <w:tcPr>
            <w:tcW w:type="dxa" w:w="5083"/>
            <w:shd w:fill="F4F8FB"/>
          </w:tcPr>
          <w:p>
            <w:r/>
            <w:r>
              <w:rPr>
                <w:b w:val="0"/>
                <w:sz w:val="17"/>
              </w:rPr>
              <w:t>EUR 300,000</w:t>
            </w:r>
          </w:p>
        </w:tc>
      </w:tr>
      <w:tr>
        <w:tc>
          <w:tcPr>
            <w:tcW w:type="dxa" w:w="5083"/>
          </w:tcPr>
          <w:p>
            <w:r/>
            <w:r>
              <w:rPr>
                <w:b w:val="0"/>
                <w:sz w:val="17"/>
              </w:rPr>
              <w:t>Data migration and reconciliation</w:t>
            </w:r>
          </w:p>
        </w:tc>
        <w:tc>
          <w:tcPr>
            <w:tcW w:type="dxa" w:w="5083"/>
          </w:tcPr>
          <w:p>
            <w:r/>
            <w:r>
              <w:rPr>
                <w:b w:val="0"/>
                <w:sz w:val="17"/>
              </w:rPr>
              <w:t>EUR 260,000</w:t>
            </w:r>
          </w:p>
        </w:tc>
      </w:tr>
      <w:tr>
        <w:tc>
          <w:tcPr>
            <w:tcW w:type="dxa" w:w="5083"/>
            <w:shd w:fill="F4F8FB"/>
          </w:tcPr>
          <w:p>
            <w:r/>
            <w:r>
              <w:rPr>
                <w:b w:val="0"/>
                <w:sz w:val="17"/>
              </w:rPr>
              <w:t>Cloud landing zone, cybersecurity and compliance</w:t>
            </w:r>
          </w:p>
        </w:tc>
        <w:tc>
          <w:tcPr>
            <w:tcW w:type="dxa" w:w="5083"/>
            <w:shd w:fill="F4F8FB"/>
          </w:tcPr>
          <w:p>
            <w:r/>
            <w:r>
              <w:rPr>
                <w:b w:val="0"/>
                <w:sz w:val="17"/>
              </w:rPr>
              <w:t>EUR 180,000</w:t>
            </w:r>
          </w:p>
        </w:tc>
      </w:tr>
      <w:tr>
        <w:tc>
          <w:tcPr>
            <w:tcW w:type="dxa" w:w="5083"/>
          </w:tcPr>
          <w:p>
            <w:r/>
            <w:r>
              <w:rPr>
                <w:b w:val="0"/>
                <w:sz w:val="17"/>
              </w:rPr>
              <w:t>Testing, resilience rehearsal and go-live</w:t>
            </w:r>
          </w:p>
        </w:tc>
        <w:tc>
          <w:tcPr>
            <w:tcW w:type="dxa" w:w="5083"/>
          </w:tcPr>
          <w:p>
            <w:r/>
            <w:r>
              <w:rPr>
                <w:b w:val="0"/>
                <w:sz w:val="17"/>
              </w:rPr>
              <w:t>EUR 140,000</w:t>
            </w:r>
          </w:p>
        </w:tc>
      </w:tr>
      <w:tr>
        <w:tc>
          <w:tcPr>
            <w:tcW w:type="dxa" w:w="5083"/>
            <w:shd w:fill="F4F8FB"/>
          </w:tcPr>
          <w:p>
            <w:r/>
            <w:r>
              <w:rPr>
                <w:b w:val="0"/>
                <w:sz w:val="17"/>
              </w:rPr>
              <w:t>Training and change management</w:t>
            </w:r>
          </w:p>
        </w:tc>
        <w:tc>
          <w:tcPr>
            <w:tcW w:type="dxa" w:w="5083"/>
            <w:shd w:fill="F4F8FB"/>
          </w:tcPr>
          <w:p>
            <w:r/>
            <w:r>
              <w:rPr>
                <w:b w:val="0"/>
                <w:sz w:val="17"/>
              </w:rPr>
              <w:t>EUR 150,000</w:t>
            </w:r>
          </w:p>
        </w:tc>
      </w:tr>
      <w:tr>
        <w:tc>
          <w:tcPr>
            <w:tcW w:type="dxa" w:w="5083"/>
          </w:tcPr>
          <w:p>
            <w:r/>
            <w:r>
              <w:rPr>
                <w:b w:val="0"/>
                <w:sz w:val="17"/>
              </w:rPr>
              <w:t>Contingency</w:t>
            </w:r>
          </w:p>
        </w:tc>
        <w:tc>
          <w:tcPr>
            <w:tcW w:type="dxa" w:w="5083"/>
          </w:tcPr>
          <w:p>
            <w:r/>
            <w:r>
              <w:rPr>
                <w:b w:val="0"/>
                <w:sz w:val="17"/>
              </w:rPr>
              <w:t>EUR 214,000</w:t>
            </w:r>
          </w:p>
        </w:tc>
      </w:tr>
      <w:tr>
        <w:tc>
          <w:tcPr>
            <w:tcW w:type="dxa" w:w="5083"/>
            <w:shd w:fill="F4F8FB"/>
          </w:tcPr>
          <w:p>
            <w:r/>
            <w:r>
              <w:rPr>
                <w:b w:val="0"/>
                <w:sz w:val="17"/>
              </w:rPr>
              <w:t>Total initial investment</w:t>
            </w:r>
          </w:p>
        </w:tc>
        <w:tc>
          <w:tcPr>
            <w:tcW w:type="dxa" w:w="5083"/>
            <w:shd w:fill="F4F8FB"/>
          </w:tcPr>
          <w:p>
            <w:r/>
            <w:r>
              <w:rPr>
                <w:b w:val="0"/>
                <w:sz w:val="17"/>
              </w:rPr>
              <w:t>EUR 2,354,000</w:t>
            </w:r>
          </w:p>
        </w:tc>
      </w:tr>
    </w:tbl>
    <w:p/>
    <w:p>
      <w:pPr>
        <w:pStyle w:val="Heading2"/>
      </w:pPr>
      <w:r>
        <w:t>14.2 Annual Recurring Cost</w:t>
      </w:r>
    </w:p>
    <w:tbl>
      <w:tblPr>
        <w:tblStyle w:val="TableGrid"/>
        <w:tblW w:type="auto" w:w="0"/>
        <w:tblLook w:firstColumn="1" w:firstRow="1" w:lastColumn="0" w:lastRow="0" w:noHBand="0" w:noVBand="1" w:val="04A0"/>
      </w:tblPr>
      <w:tblGrid>
        <w:gridCol w:w="5083"/>
        <w:gridCol w:w="5083"/>
      </w:tblGrid>
      <w:tr>
        <w:tc>
          <w:tcPr>
            <w:tcW w:type="dxa" w:w="5083"/>
            <w:shd w:fill="173A65"/>
          </w:tcPr>
          <w:p>
            <w:r/>
            <w:r>
              <w:rPr>
                <w:b/>
                <w:color w:val="FFFFFF"/>
                <w:sz w:val="17"/>
              </w:rPr>
              <w:t>Cost Category</w:t>
            </w:r>
          </w:p>
        </w:tc>
        <w:tc>
          <w:tcPr>
            <w:tcW w:type="dxa" w:w="5083"/>
            <w:shd w:fill="173A65"/>
          </w:tcPr>
          <w:p>
            <w:r/>
            <w:r>
              <w:rPr>
                <w:b/>
                <w:color w:val="FFFFFF"/>
                <w:sz w:val="17"/>
              </w:rPr>
              <w:t>Annual Estimate</w:t>
            </w:r>
          </w:p>
        </w:tc>
      </w:tr>
      <w:tr>
        <w:tc>
          <w:tcPr>
            <w:tcW w:type="dxa" w:w="5083"/>
            <w:shd w:fill="F4F8FB"/>
          </w:tcPr>
          <w:p>
            <w:r/>
            <w:r>
              <w:rPr>
                <w:b w:val="0"/>
                <w:sz w:val="17"/>
              </w:rPr>
              <w:t>Azure hosting and managed data services</w:t>
            </w:r>
          </w:p>
        </w:tc>
        <w:tc>
          <w:tcPr>
            <w:tcW w:type="dxa" w:w="5083"/>
            <w:shd w:fill="F4F8FB"/>
          </w:tcPr>
          <w:p>
            <w:r/>
            <w:r>
              <w:rPr>
                <w:b w:val="0"/>
                <w:sz w:val="17"/>
              </w:rPr>
              <w:t>EUR 160,000</w:t>
            </w:r>
          </w:p>
        </w:tc>
      </w:tr>
      <w:tr>
        <w:tc>
          <w:tcPr>
            <w:tcW w:type="dxa" w:w="5083"/>
          </w:tcPr>
          <w:p>
            <w:r/>
            <w:r>
              <w:rPr>
                <w:b w:val="0"/>
                <w:sz w:val="17"/>
              </w:rPr>
              <w:t>Run support and service management</w:t>
            </w:r>
          </w:p>
        </w:tc>
        <w:tc>
          <w:tcPr>
            <w:tcW w:type="dxa" w:w="5083"/>
          </w:tcPr>
          <w:p>
            <w:r/>
            <w:r>
              <w:rPr>
                <w:b w:val="0"/>
                <w:sz w:val="17"/>
              </w:rPr>
              <w:t>EUR 240,000</w:t>
            </w:r>
          </w:p>
        </w:tc>
      </w:tr>
      <w:tr>
        <w:tc>
          <w:tcPr>
            <w:tcW w:type="dxa" w:w="5083"/>
            <w:shd w:fill="F4F8FB"/>
          </w:tcPr>
          <w:p>
            <w:r/>
            <w:r>
              <w:rPr>
                <w:b w:val="0"/>
                <w:sz w:val="17"/>
              </w:rPr>
              <w:t>Cerberus, Patronum and tooling licenses</w:t>
            </w:r>
          </w:p>
        </w:tc>
        <w:tc>
          <w:tcPr>
            <w:tcW w:type="dxa" w:w="5083"/>
            <w:shd w:fill="F4F8FB"/>
          </w:tcPr>
          <w:p>
            <w:r/>
            <w:r>
              <w:rPr>
                <w:b w:val="0"/>
                <w:sz w:val="17"/>
              </w:rPr>
              <w:t>EUR 190,000</w:t>
            </w:r>
          </w:p>
        </w:tc>
      </w:tr>
      <w:tr>
        <w:tc>
          <w:tcPr>
            <w:tcW w:type="dxa" w:w="5083"/>
          </w:tcPr>
          <w:p>
            <w:r/>
            <w:r>
              <w:rPr>
                <w:b w:val="0"/>
                <w:sz w:val="17"/>
              </w:rPr>
              <w:t>Monitoring, backup and security operations</w:t>
            </w:r>
          </w:p>
        </w:tc>
        <w:tc>
          <w:tcPr>
            <w:tcW w:type="dxa" w:w="5083"/>
          </w:tcPr>
          <w:p>
            <w:r/>
            <w:r>
              <w:rPr>
                <w:b w:val="0"/>
                <w:sz w:val="17"/>
              </w:rPr>
              <w:t>EUR 30,000</w:t>
            </w:r>
          </w:p>
        </w:tc>
      </w:tr>
      <w:tr>
        <w:tc>
          <w:tcPr>
            <w:tcW w:type="dxa" w:w="5083"/>
            <w:shd w:fill="F4F8FB"/>
          </w:tcPr>
          <w:p>
            <w:r/>
            <w:r>
              <w:rPr>
                <w:b w:val="0"/>
                <w:sz w:val="17"/>
              </w:rPr>
              <w:t>Total annual recurring cost</w:t>
            </w:r>
          </w:p>
        </w:tc>
        <w:tc>
          <w:tcPr>
            <w:tcW w:type="dxa" w:w="5083"/>
            <w:shd w:fill="F4F8FB"/>
          </w:tcPr>
          <w:p>
            <w:r/>
            <w:r>
              <w:rPr>
                <w:b w:val="0"/>
                <w:sz w:val="17"/>
              </w:rPr>
              <w:t>EUR 620,000</w:t>
            </w:r>
          </w:p>
        </w:tc>
      </w:tr>
    </w:tbl>
    <w:p/>
    <w:p>
      <w:pPr>
        <w:pStyle w:val="Heading2"/>
      </w:pPr>
      <w:r>
        <w:t>14.3 Annual Benefits at Steady State</w:t>
      </w:r>
    </w:p>
    <w:tbl>
      <w:tblPr>
        <w:tblStyle w:val="TableGrid"/>
        <w:tblW w:type="auto" w:w="0"/>
        <w:tblLook w:firstColumn="1" w:firstRow="1" w:lastColumn="0" w:lastRow="0" w:noHBand="0" w:noVBand="1" w:val="04A0"/>
      </w:tblPr>
      <w:tblGrid>
        <w:gridCol w:w="5083"/>
        <w:gridCol w:w="5083"/>
      </w:tblGrid>
      <w:tr>
        <w:tc>
          <w:tcPr>
            <w:tcW w:type="dxa" w:w="5083"/>
            <w:shd w:fill="173A65"/>
          </w:tcPr>
          <w:p>
            <w:r/>
            <w:r>
              <w:rPr>
                <w:b/>
                <w:color w:val="FFFFFF"/>
                <w:sz w:val="17"/>
              </w:rPr>
              <w:t>Benefit Category</w:t>
            </w:r>
          </w:p>
        </w:tc>
        <w:tc>
          <w:tcPr>
            <w:tcW w:type="dxa" w:w="5083"/>
            <w:shd w:fill="173A65"/>
          </w:tcPr>
          <w:p>
            <w:r/>
            <w:r>
              <w:rPr>
                <w:b/>
                <w:color w:val="FFFFFF"/>
                <w:sz w:val="17"/>
              </w:rPr>
              <w:t>Annual Estimate</w:t>
            </w:r>
          </w:p>
        </w:tc>
      </w:tr>
      <w:tr>
        <w:tc>
          <w:tcPr>
            <w:tcW w:type="dxa" w:w="5083"/>
            <w:shd w:fill="F4F8FB"/>
          </w:tcPr>
          <w:p>
            <w:r/>
            <w:r>
              <w:rPr>
                <w:b w:val="0"/>
                <w:sz w:val="17"/>
              </w:rPr>
              <w:t>Legacy application retirement and avoided maintenance</w:t>
            </w:r>
          </w:p>
        </w:tc>
        <w:tc>
          <w:tcPr>
            <w:tcW w:type="dxa" w:w="5083"/>
            <w:shd w:fill="F4F8FB"/>
          </w:tcPr>
          <w:p>
            <w:r/>
            <w:r>
              <w:rPr>
                <w:b w:val="0"/>
                <w:sz w:val="17"/>
              </w:rPr>
              <w:t>EUR 650,000</w:t>
            </w:r>
          </w:p>
        </w:tc>
      </w:tr>
      <w:tr>
        <w:tc>
          <w:tcPr>
            <w:tcW w:type="dxa" w:w="5083"/>
          </w:tcPr>
          <w:p>
            <w:r/>
            <w:r>
              <w:rPr>
                <w:b w:val="0"/>
                <w:sz w:val="17"/>
              </w:rPr>
              <w:t>Reduced manual processing and rework</w:t>
            </w:r>
          </w:p>
        </w:tc>
        <w:tc>
          <w:tcPr>
            <w:tcW w:type="dxa" w:w="5083"/>
          </w:tcPr>
          <w:p>
            <w:r/>
            <w:r>
              <w:rPr>
                <w:b w:val="0"/>
                <w:sz w:val="17"/>
              </w:rPr>
              <w:t>EUR 460,000</w:t>
            </w:r>
          </w:p>
        </w:tc>
      </w:tr>
      <w:tr>
        <w:tc>
          <w:tcPr>
            <w:tcW w:type="dxa" w:w="5083"/>
            <w:shd w:fill="F4F8FB"/>
          </w:tcPr>
          <w:p>
            <w:r/>
            <w:r>
              <w:rPr>
                <w:b w:val="0"/>
                <w:sz w:val="17"/>
              </w:rPr>
              <w:t>Reduced compliance exposure and audit effort</w:t>
            </w:r>
          </w:p>
        </w:tc>
        <w:tc>
          <w:tcPr>
            <w:tcW w:type="dxa" w:w="5083"/>
            <w:shd w:fill="F4F8FB"/>
          </w:tcPr>
          <w:p>
            <w:r/>
            <w:r>
              <w:rPr>
                <w:b w:val="0"/>
                <w:sz w:val="17"/>
              </w:rPr>
              <w:t>EUR 240,000</w:t>
            </w:r>
          </w:p>
        </w:tc>
      </w:tr>
      <w:tr>
        <w:tc>
          <w:tcPr>
            <w:tcW w:type="dxa" w:w="5083"/>
          </w:tcPr>
          <w:p>
            <w:r/>
            <w:r>
              <w:rPr>
                <w:b w:val="0"/>
                <w:sz w:val="17"/>
              </w:rPr>
              <w:t>Faster activation and reduced customer abandonment</w:t>
            </w:r>
          </w:p>
        </w:tc>
        <w:tc>
          <w:tcPr>
            <w:tcW w:type="dxa" w:w="5083"/>
          </w:tcPr>
          <w:p>
            <w:r/>
            <w:r>
              <w:rPr>
                <w:b w:val="0"/>
                <w:sz w:val="17"/>
              </w:rPr>
              <w:t>EUR 280,000</w:t>
            </w:r>
          </w:p>
        </w:tc>
      </w:tr>
      <w:tr>
        <w:tc>
          <w:tcPr>
            <w:tcW w:type="dxa" w:w="5083"/>
            <w:shd w:fill="F4F8FB"/>
          </w:tcPr>
          <w:p>
            <w:r/>
            <w:r>
              <w:rPr>
                <w:b w:val="0"/>
                <w:sz w:val="17"/>
              </w:rPr>
              <w:t>Total annual benefit</w:t>
            </w:r>
          </w:p>
        </w:tc>
        <w:tc>
          <w:tcPr>
            <w:tcW w:type="dxa" w:w="5083"/>
            <w:shd w:fill="F4F8FB"/>
          </w:tcPr>
          <w:p>
            <w:r/>
            <w:r>
              <w:rPr>
                <w:b w:val="0"/>
                <w:sz w:val="17"/>
              </w:rPr>
              <w:t>EUR 1,630,000</w:t>
            </w:r>
          </w:p>
        </w:tc>
      </w:tr>
    </w:tbl>
    <w:p/>
    <w:p>
      <w:pPr>
        <w:pStyle w:val="Heading2"/>
      </w:pPr>
      <w:r>
        <w:t>14.4 ROI Summary</w:t>
      </w:r>
    </w:p>
    <w:p>
      <w:pPr>
        <w:pStyle w:val="ListBullet"/>
      </w:pPr>
      <w:r>
        <w:t xml:space="preserve">Steady-state annual net benefit: </w:t>
      </w:r>
      <w:r>
        <w:rPr>
          <w:b/>
        </w:rPr>
        <w:t>EUR 1,010,000</w:t>
      </w:r>
    </w:p>
    <w:p>
      <w:pPr>
        <w:pStyle w:val="ListBullet"/>
      </w:pPr>
      <w:r>
        <w:t xml:space="preserve">Estimated payback period after rollout: </w:t>
      </w:r>
      <w:r>
        <w:rPr>
          <w:b/>
        </w:rPr>
        <w:t>approximately 2.3 years</w:t>
      </w:r>
    </w:p>
    <w:p>
      <w:pPr>
        <w:pStyle w:val="ListBullet"/>
      </w:pPr>
      <w:r>
        <w:t xml:space="preserve">Three-year steady-state ROI: </w:t>
      </w:r>
      <w:r>
        <w:rPr>
          <w:b/>
        </w:rPr>
        <w:t>approximately 29%</w:t>
      </w:r>
    </w:p>
    <w:p>
      <w:r>
        <w:t>These values are decision-support estimates. Finance should validate assumptions during discovery and report realized benefits after each rollout phase.</w:t>
      </w:r>
    </w:p>
    <w:p>
      <w:pPr>
        <w:pBdr>
          <w:bottom w:val="single" w:sz="6" w:space="1" w:color="41B9BB"/>
        </w:pBdr>
      </w:pPr>
    </w:p>
    <w:p>
      <w:pPr>
        <w:pStyle w:val="Heading1"/>
        <w:pBdr>
          <w:bottom w:val="single" w:sz="6" w:space="1" w:color="41B9BB"/>
        </w:pBdr>
      </w:pPr>
      <w:r>
        <w:t>15. Sustainability and ESG</w:t>
      </w:r>
    </w:p>
    <w:p>
      <w:pPr>
        <w:pStyle w:val="Heading2"/>
      </w:pPr>
      <w:r>
        <w:t>15.1 Environmental</w:t>
      </w:r>
    </w:p>
    <w:p>
      <w:pPr>
        <w:pStyle w:val="ListBullet"/>
      </w:pPr>
      <w:r>
        <w:t>Prefer managed and autoscaling services.</w:t>
      </w:r>
    </w:p>
    <w:p>
      <w:pPr>
        <w:pStyle w:val="ListBullet"/>
      </w:pPr>
      <w:r>
        <w:t>Use event-driven processing for intermittent workloads.</w:t>
      </w:r>
    </w:p>
    <w:p>
      <w:pPr>
        <w:pStyle w:val="ListBullet"/>
      </w:pPr>
      <w:r>
        <w:t>Archive evidence according to retention rules.</w:t>
      </w:r>
    </w:p>
    <w:p>
      <w:pPr>
        <w:pStyle w:val="ListBullet"/>
      </w:pPr>
      <w:r>
        <w:t>Avoid unnecessary customer-data duplication.</w:t>
      </w:r>
    </w:p>
    <w:p>
      <w:pPr>
        <w:pStyle w:val="ListBullet"/>
      </w:pPr>
      <w:r>
        <w:t>Monitor cloud consumption and remove idle resources.</w:t>
      </w:r>
    </w:p>
    <w:p>
      <w:pPr>
        <w:pStyle w:val="Heading2"/>
      </w:pPr>
      <w:r>
        <w:t>15.2 Social</w:t>
      </w:r>
    </w:p>
    <w:p>
      <w:pPr>
        <w:pStyle w:val="ListBullet"/>
      </w:pPr>
      <w:r>
        <w:t>Reduce repetitive manual work.</w:t>
      </w:r>
    </w:p>
    <w:p>
      <w:pPr>
        <w:pStyle w:val="ListBullet"/>
      </w:pPr>
      <w:r>
        <w:t>Provide role-based training and transition support.</w:t>
      </w:r>
    </w:p>
    <w:p>
      <w:pPr>
        <w:pStyle w:val="ListBullet"/>
      </w:pPr>
      <w:r>
        <w:t>Monitor workload during migration and hypercare.</w:t>
      </w:r>
    </w:p>
    <w:p>
      <w:pPr>
        <w:pStyle w:val="ListBullet"/>
      </w:pPr>
      <w:r>
        <w:t>Maintain human accountability for sensitive compliance outcomes.</w:t>
      </w:r>
    </w:p>
    <w:p>
      <w:pPr>
        <w:pStyle w:val="ListBullet"/>
      </w:pPr>
      <w:r>
        <w:t>Assess AI fairness across FR and AU cohorts.</w:t>
      </w:r>
    </w:p>
    <w:p>
      <w:pPr>
        <w:pStyle w:val="Heading2"/>
      </w:pPr>
      <w:r>
        <w:t>15.3 Governance</w:t>
      </w:r>
    </w:p>
    <w:p>
      <w:pPr>
        <w:pStyle w:val="ListBullet"/>
      </w:pPr>
      <w:r>
        <w:t>Establish clear domain owners and data stewards.</w:t>
      </w:r>
    </w:p>
    <w:p>
      <w:pPr>
        <w:pStyle w:val="ListBullet"/>
      </w:pPr>
      <w:r>
        <w:t>Retain explainable AI outcomes.</w:t>
      </w:r>
    </w:p>
    <w:p>
      <w:pPr>
        <w:pStyle w:val="ListBullet"/>
      </w:pPr>
      <w:r>
        <w:t>Record regulated actions in immutable evidence logs.</w:t>
      </w:r>
    </w:p>
    <w:p>
      <w:pPr>
        <w:pStyle w:val="ListBullet"/>
      </w:pPr>
      <w:r>
        <w:t>Review KPIs, risks and exceptions through formal governance forums.</w:t>
      </w:r>
    </w:p>
    <w:p>
      <w:pPr>
        <w:pBdr>
          <w:bottom w:val="single" w:sz="6" w:space="1" w:color="41B9BB"/>
        </w:pBdr>
      </w:pPr>
    </w:p>
    <w:p>
      <w:pPr>
        <w:pStyle w:val="Heading1"/>
        <w:pBdr>
          <w:bottom w:val="single" w:sz="6" w:space="1" w:color="41B9BB"/>
        </w:pBdr>
      </w:pPr>
      <w:r>
        <w:t>16. Working Software Prototype</w:t>
      </w:r>
    </w:p>
    <w:p>
      <w:r>
        <w:t>The delivered prototype provides:</w:t>
      </w:r>
    </w:p>
    <w:p>
      <w:pPr>
        <w:pStyle w:val="ListBullet"/>
      </w:pPr>
      <w:r>
        <w:t>a responsive user interface tested for desktop, tablet, mobile and browser zoom;</w:t>
      </w:r>
    </w:p>
    <w:p>
      <w:pPr>
        <w:pStyle w:val="ListBullet"/>
      </w:pPr>
      <w:r>
        <w:t>Cerberus SAML-style demo authentication;</w:t>
      </w:r>
    </w:p>
    <w:p>
      <w:pPr>
        <w:pStyle w:val="ListBullet"/>
      </w:pPr>
      <w:r>
        <w:t>customer onboarding for France and Australia;</w:t>
      </w:r>
    </w:p>
    <w:p>
      <w:pPr>
        <w:pStyle w:val="ListBullet"/>
      </w:pPr>
      <w:r>
        <w:t>simulated encrypted document upload;</w:t>
      </w:r>
    </w:p>
    <w:p>
      <w:pPr>
        <w:pStyle w:val="ListBullet"/>
      </w:pPr>
      <w:r>
        <w:t>Patronum explainable risk assessment;</w:t>
      </w:r>
    </w:p>
    <w:p>
      <w:pPr>
        <w:pStyle w:val="ListBullet"/>
      </w:pPr>
      <w:r>
        <w:t>straight-through processing for standard cases;</w:t>
      </w:r>
    </w:p>
    <w:p>
      <w:pPr>
        <w:pStyle w:val="ListBullet"/>
      </w:pPr>
      <w:r>
        <w:t>a human compliance review queue;</w:t>
      </w:r>
    </w:p>
    <w:p>
      <w:pPr>
        <w:pStyle w:val="ListBullet"/>
      </w:pPr>
      <w:r>
        <w:t>persistent SQLite records;</w:t>
      </w:r>
    </w:p>
    <w:p>
      <w:pPr>
        <w:pStyle w:val="ListBullet"/>
      </w:pPr>
      <w:r>
        <w:t>REST APIs;</w:t>
      </w:r>
    </w:p>
    <w:p>
      <w:pPr>
        <w:pStyle w:val="ListBullet"/>
      </w:pPr>
      <w:r>
        <w:t>SHA-256 hash-chained audit evidence;</w:t>
      </w:r>
    </w:p>
    <w:p>
      <w:pPr>
        <w:pStyle w:val="ListBullet"/>
      </w:pPr>
      <w:r>
        <w:t>automated backend tests;</w:t>
      </w:r>
    </w:p>
    <w:p>
      <w:pPr>
        <w:pStyle w:val="ListBullet"/>
      </w:pPr>
      <w:r>
        <w:t>Docker and PowerShell startup options.</w:t>
      </w:r>
    </w:p>
    <w:p>
      <w:r>
        <w:t>The prototype intentionally uses adapters for Cerberus and Patronum because institutional credentials are not available in the local environment. The adapters create a clear production integration boundary without hiding the architectural decision.</w:t>
      </w:r>
    </w:p>
    <w:p>
      <w:pPr>
        <w:pBdr>
          <w:bottom w:val="single" w:sz="6" w:space="1" w:color="41B9BB"/>
        </w:pBdr>
      </w:pPr>
    </w:p>
    <w:p>
      <w:pPr>
        <w:pStyle w:val="Heading1"/>
        <w:pBdr>
          <w:bottom w:val="single" w:sz="6" w:space="1" w:color="41B9BB"/>
        </w:pBdr>
      </w:pPr>
      <w:r>
        <w:t>17. Risks and Trade-Offs</w:t>
      </w:r>
    </w:p>
    <w:tbl>
      <w:tblPr>
        <w:tblStyle w:val="TableGrid"/>
        <w:tblW w:type="auto" w:w="0"/>
        <w:tblLook w:firstColumn="1" w:firstRow="1" w:lastColumn="0" w:lastRow="0" w:noHBand="0" w:noVBand="1" w:val="04A0"/>
      </w:tblPr>
      <w:tblGrid>
        <w:gridCol w:w="5083"/>
        <w:gridCol w:w="5083"/>
      </w:tblGrid>
      <w:tr>
        <w:tc>
          <w:tcPr>
            <w:tcW w:type="dxa" w:w="5083"/>
            <w:shd w:fill="173A65"/>
          </w:tcPr>
          <w:p>
            <w:r/>
            <w:r>
              <w:rPr>
                <w:b/>
                <w:color w:val="FFFFFF"/>
                <w:sz w:val="17"/>
              </w:rPr>
              <w:t>Risk or Trade-Off</w:t>
            </w:r>
          </w:p>
        </w:tc>
        <w:tc>
          <w:tcPr>
            <w:tcW w:type="dxa" w:w="5083"/>
            <w:shd w:fill="173A65"/>
          </w:tcPr>
          <w:p>
            <w:r/>
            <w:r>
              <w:rPr>
                <w:b/>
                <w:color w:val="FFFFFF"/>
                <w:sz w:val="17"/>
              </w:rPr>
              <w:t>Decision</w:t>
            </w:r>
          </w:p>
        </w:tc>
      </w:tr>
      <w:tr>
        <w:tc>
          <w:tcPr>
            <w:tcW w:type="dxa" w:w="5083"/>
            <w:shd w:fill="F4F8FB"/>
          </w:tcPr>
          <w:p>
            <w:r/>
            <w:r>
              <w:rPr>
                <w:b w:val="0"/>
                <w:sz w:val="17"/>
              </w:rPr>
              <w:t>One platform versus country-specific platforms</w:t>
            </w:r>
          </w:p>
        </w:tc>
        <w:tc>
          <w:tcPr>
            <w:tcW w:type="dxa" w:w="5083"/>
            <w:shd w:fill="F4F8FB"/>
          </w:tcPr>
          <w:p>
            <w:r/>
            <w:r>
              <w:rPr>
                <w:b w:val="0"/>
                <w:sz w:val="17"/>
              </w:rPr>
              <w:t>Use one core platform with configurable FR and AU rules to reduce duplication while preserving local compliance controls.</w:t>
            </w:r>
          </w:p>
        </w:tc>
      </w:tr>
      <w:tr>
        <w:tc>
          <w:tcPr>
            <w:tcW w:type="dxa" w:w="5083"/>
          </w:tcPr>
          <w:p>
            <w:r/>
            <w:r>
              <w:rPr>
                <w:b w:val="0"/>
                <w:sz w:val="17"/>
              </w:rPr>
              <w:t>Automation versus compliance control</w:t>
            </w:r>
          </w:p>
        </w:tc>
        <w:tc>
          <w:tcPr>
            <w:tcW w:type="dxa" w:w="5083"/>
          </w:tcPr>
          <w:p>
            <w:r/>
            <w:r>
              <w:rPr>
                <w:b w:val="0"/>
                <w:sz w:val="17"/>
              </w:rPr>
              <w:t>Permit automatic activation only for approved low-risk cases. Route uncertainty to humans.</w:t>
            </w:r>
          </w:p>
        </w:tc>
      </w:tr>
      <w:tr>
        <w:tc>
          <w:tcPr>
            <w:tcW w:type="dxa" w:w="5083"/>
            <w:shd w:fill="F4F8FB"/>
          </w:tcPr>
          <w:p>
            <w:r/>
            <w:r>
              <w:rPr>
                <w:b w:val="0"/>
                <w:sz w:val="17"/>
              </w:rPr>
              <w:t>Cloud efficiency versus resilience</w:t>
            </w:r>
          </w:p>
        </w:tc>
        <w:tc>
          <w:tcPr>
            <w:tcW w:type="dxa" w:w="5083"/>
            <w:shd w:fill="F4F8FB"/>
          </w:tcPr>
          <w:p>
            <w:r/>
            <w:r>
              <w:rPr>
                <w:b w:val="0"/>
                <w:sz w:val="17"/>
              </w:rPr>
              <w:t>Start with a proportionate 99.9% SLA and multi-zone design, then increase resilience where business evidence justifies it.</w:t>
            </w:r>
          </w:p>
        </w:tc>
      </w:tr>
      <w:tr>
        <w:tc>
          <w:tcPr>
            <w:tcW w:type="dxa" w:w="5083"/>
          </w:tcPr>
          <w:p>
            <w:r/>
            <w:r>
              <w:rPr>
                <w:b w:val="0"/>
                <w:sz w:val="17"/>
              </w:rPr>
              <w:t>Fast migration versus data quality</w:t>
            </w:r>
          </w:p>
        </w:tc>
        <w:tc>
          <w:tcPr>
            <w:tcW w:type="dxa" w:w="5083"/>
          </w:tcPr>
          <w:p>
            <w:r/>
            <w:r>
              <w:rPr>
                <w:b w:val="0"/>
                <w:sz w:val="17"/>
              </w:rPr>
              <w:t>Use phased cohorts, reconciliation and read-only transition rather than a single big-bang cutover.</w:t>
            </w:r>
          </w:p>
        </w:tc>
      </w:tr>
      <w:tr>
        <w:tc>
          <w:tcPr>
            <w:tcW w:type="dxa" w:w="5083"/>
            <w:shd w:fill="F4F8FB"/>
          </w:tcPr>
          <w:p>
            <w:r/>
            <w:r>
              <w:rPr>
                <w:b w:val="0"/>
                <w:sz w:val="17"/>
              </w:rPr>
              <w:t>AI innovation versus explainability</w:t>
            </w:r>
          </w:p>
        </w:tc>
        <w:tc>
          <w:tcPr>
            <w:tcW w:type="dxa" w:w="5083"/>
            <w:shd w:fill="F4F8FB"/>
          </w:tcPr>
          <w:p>
            <w:r/>
            <w:r>
              <w:rPr>
                <w:b w:val="0"/>
                <w:sz w:val="17"/>
              </w:rPr>
              <w:t>Require structured outputs, stored reasons, model version tracking and accountable human override.</w:t>
            </w:r>
          </w:p>
        </w:tc>
      </w:tr>
    </w:tbl>
    <w:p/>
    <w:p>
      <w:pPr>
        <w:pBdr>
          <w:bottom w:val="single" w:sz="6" w:space="1" w:color="41B9BB"/>
        </w:pBdr>
      </w:pPr>
    </w:p>
    <w:p>
      <w:pPr>
        <w:pStyle w:val="Heading1"/>
        <w:pBdr>
          <w:bottom w:val="single" w:sz="6" w:space="1" w:color="41B9BB"/>
        </w:pBdr>
      </w:pPr>
      <w:r>
        <w:t>18. Final Recommendation</w:t>
      </w:r>
    </w:p>
    <w:p>
      <w:r>
        <w:t>Verita should be approved as the strategic onboarding and KYC modernization platform for Beauxbatons Energy Retail in France and Australia.</w:t>
      </w:r>
    </w:p>
    <w:p>
      <w:r>
        <w:t>The proposal balances innovation with control:</w:t>
      </w:r>
    </w:p>
    <w:p>
      <w:pPr>
        <w:pStyle w:val="ListBullet"/>
      </w:pPr>
      <w:r>
        <w:t>cloud-native delivery without unnecessary complexity;</w:t>
      </w:r>
    </w:p>
    <w:p>
      <w:pPr>
        <w:pStyle w:val="ListBullet"/>
      </w:pPr>
      <w:r>
        <w:t>automation without removing human accountability;</w:t>
      </w:r>
    </w:p>
    <w:p>
      <w:pPr>
        <w:pStyle w:val="ListBullet"/>
      </w:pPr>
      <w:r>
        <w:t>one governed customer record without uncontrolled duplication;</w:t>
      </w:r>
    </w:p>
    <w:p>
      <w:pPr>
        <w:pStyle w:val="ListBullet"/>
      </w:pPr>
      <w:r>
        <w:t>progressive legacy retirement without unacceptable business risk;</w:t>
      </w:r>
    </w:p>
    <w:p>
      <w:pPr>
        <w:pStyle w:val="ListBullet"/>
      </w:pPr>
      <w:r>
        <w:t>measurable business value with a clear operational model.</w:t>
      </w:r>
    </w:p>
    <w:p>
      <w:r>
        <w:t>The working prototype demonstrates that the proposed design is implementable. The next formal step is a two-month discovery and mobilization phase to validate the budget, regulatory assumptions, data inventory and production integration contracts.</w:t>
      </w:r>
    </w:p>
    <w:p>
      <w:pPr>
        <w:pBdr>
          <w:bottom w:val="single" w:sz="6" w:space="1" w:color="41B9BB"/>
        </w:pBdr>
      </w:pPr>
    </w:p>
    <w:p>
      <w:pPr>
        <w:pStyle w:val="Heading1"/>
        <w:pBdr>
          <w:bottom w:val="single" w:sz="6" w:space="1" w:color="41B9BB"/>
        </w:pBdr>
      </w:pPr>
      <w:r>
        <w:t>Appendix A: Prototype API Summary</w:t>
      </w:r>
    </w:p>
    <w:tbl>
      <w:tblPr>
        <w:tblStyle w:val="TableGrid"/>
        <w:tblW w:type="auto" w:w="0"/>
        <w:tblLook w:firstColumn="1" w:firstRow="1" w:lastColumn="0" w:lastRow="0" w:noHBand="0" w:noVBand="1" w:val="04A0"/>
      </w:tblPr>
      <w:tblGrid>
        <w:gridCol w:w="3389"/>
        <w:gridCol w:w="3389"/>
        <w:gridCol w:w="3389"/>
      </w:tblGrid>
      <w:tr>
        <w:tc>
          <w:tcPr>
            <w:tcW w:type="dxa" w:w="3389"/>
            <w:shd w:fill="173A65"/>
          </w:tcPr>
          <w:p>
            <w:r/>
            <w:r>
              <w:rPr>
                <w:b/>
                <w:color w:val="FFFFFF"/>
                <w:sz w:val="17"/>
              </w:rPr>
              <w:t>Method</w:t>
            </w:r>
          </w:p>
        </w:tc>
        <w:tc>
          <w:tcPr>
            <w:tcW w:type="dxa" w:w="3389"/>
            <w:shd w:fill="173A65"/>
          </w:tcPr>
          <w:p>
            <w:r/>
            <w:r>
              <w:rPr>
                <w:b/>
                <w:color w:val="FFFFFF"/>
                <w:sz w:val="17"/>
              </w:rPr>
              <w:t>Endpoint</w:t>
            </w:r>
          </w:p>
        </w:tc>
        <w:tc>
          <w:tcPr>
            <w:tcW w:type="dxa" w:w="3389"/>
            <w:shd w:fill="173A65"/>
          </w:tcPr>
          <w:p>
            <w:r/>
            <w:r>
              <w:rPr>
                <w:b/>
                <w:color w:val="FFFFFF"/>
                <w:sz w:val="17"/>
              </w:rPr>
              <w:t>Purpose</w:t>
            </w:r>
          </w:p>
        </w:tc>
      </w:tr>
      <w:tr>
        <w:tc>
          <w:tcPr>
            <w:tcW w:type="dxa" w:w="3389"/>
            <w:shd w:fill="F4F8FB"/>
          </w:tcPr>
          <w:p>
            <w:r/>
            <w:r>
              <w:rPr>
                <w:b w:val="0"/>
                <w:sz w:val="17"/>
              </w:rPr>
              <w:t>GET</w:t>
            </w:r>
          </w:p>
        </w:tc>
        <w:tc>
          <w:tcPr>
            <w:tcW w:type="dxa" w:w="3389"/>
            <w:shd w:fill="F4F8FB"/>
          </w:tcPr>
          <w:p>
            <w:r/>
            <w:r>
              <w:rPr>
                <w:b w:val="0"/>
                <w:sz w:val="17"/>
              </w:rPr>
              <w:t>/api/health</w:t>
            </w:r>
          </w:p>
        </w:tc>
        <w:tc>
          <w:tcPr>
            <w:tcW w:type="dxa" w:w="3389"/>
            <w:shd w:fill="F4F8FB"/>
          </w:tcPr>
          <w:p>
            <w:r/>
            <w:r>
              <w:rPr>
                <w:b w:val="0"/>
                <w:sz w:val="17"/>
              </w:rPr>
              <w:t>Service health probe</w:t>
            </w:r>
          </w:p>
        </w:tc>
      </w:tr>
      <w:tr>
        <w:tc>
          <w:tcPr>
            <w:tcW w:type="dxa" w:w="3389"/>
          </w:tcPr>
          <w:p>
            <w:r/>
            <w:r>
              <w:rPr>
                <w:b w:val="0"/>
                <w:sz w:val="17"/>
              </w:rPr>
              <w:t>POST</w:t>
            </w:r>
          </w:p>
        </w:tc>
        <w:tc>
          <w:tcPr>
            <w:tcW w:type="dxa" w:w="3389"/>
          </w:tcPr>
          <w:p>
            <w:r/>
            <w:r>
              <w:rPr>
                <w:b w:val="0"/>
                <w:sz w:val="17"/>
              </w:rPr>
              <w:t>/api/auth/login</w:t>
            </w:r>
          </w:p>
        </w:tc>
        <w:tc>
          <w:tcPr>
            <w:tcW w:type="dxa" w:w="3389"/>
          </w:tcPr>
          <w:p>
            <w:r/>
            <w:r>
              <w:rPr>
                <w:b w:val="0"/>
                <w:sz w:val="17"/>
              </w:rPr>
              <w:t>Create a Cerberus demo session</w:t>
            </w:r>
          </w:p>
        </w:tc>
      </w:tr>
      <w:tr>
        <w:tc>
          <w:tcPr>
            <w:tcW w:type="dxa" w:w="3389"/>
            <w:shd w:fill="F4F8FB"/>
          </w:tcPr>
          <w:p>
            <w:r/>
            <w:r>
              <w:rPr>
                <w:b w:val="0"/>
                <w:sz w:val="17"/>
              </w:rPr>
              <w:t>GET</w:t>
            </w:r>
          </w:p>
        </w:tc>
        <w:tc>
          <w:tcPr>
            <w:tcW w:type="dxa" w:w="3389"/>
            <w:shd w:fill="F4F8FB"/>
          </w:tcPr>
          <w:p>
            <w:r/>
            <w:r>
              <w:rPr>
                <w:b w:val="0"/>
                <w:sz w:val="17"/>
              </w:rPr>
              <w:t>/api/dashboard</w:t>
            </w:r>
          </w:p>
        </w:tc>
        <w:tc>
          <w:tcPr>
            <w:tcW w:type="dxa" w:w="3389"/>
            <w:shd w:fill="F4F8FB"/>
          </w:tcPr>
          <w:p>
            <w:r/>
            <w:r>
              <w:rPr>
                <w:b w:val="0"/>
                <w:sz w:val="17"/>
              </w:rPr>
              <w:t>Retrieve operational metrics</w:t>
            </w:r>
          </w:p>
        </w:tc>
      </w:tr>
      <w:tr>
        <w:tc>
          <w:tcPr>
            <w:tcW w:type="dxa" w:w="3389"/>
          </w:tcPr>
          <w:p>
            <w:r/>
            <w:r>
              <w:rPr>
                <w:b w:val="0"/>
                <w:sz w:val="17"/>
              </w:rPr>
              <w:t>GET</w:t>
            </w:r>
          </w:p>
        </w:tc>
        <w:tc>
          <w:tcPr>
            <w:tcW w:type="dxa" w:w="3389"/>
          </w:tcPr>
          <w:p>
            <w:r/>
            <w:r>
              <w:rPr>
                <w:b w:val="0"/>
                <w:sz w:val="17"/>
              </w:rPr>
              <w:t>/api/cases</w:t>
            </w:r>
          </w:p>
        </w:tc>
        <w:tc>
          <w:tcPr>
            <w:tcW w:type="dxa" w:w="3389"/>
          </w:tcPr>
          <w:p>
            <w:r/>
            <w:r>
              <w:rPr>
                <w:b w:val="0"/>
                <w:sz w:val="17"/>
              </w:rPr>
              <w:t>List onboarding cases</w:t>
            </w:r>
          </w:p>
        </w:tc>
      </w:tr>
      <w:tr>
        <w:tc>
          <w:tcPr>
            <w:tcW w:type="dxa" w:w="3389"/>
            <w:shd w:fill="F4F8FB"/>
          </w:tcPr>
          <w:p>
            <w:r/>
            <w:r>
              <w:rPr>
                <w:b w:val="0"/>
                <w:sz w:val="17"/>
              </w:rPr>
              <w:t>GET</w:t>
            </w:r>
          </w:p>
        </w:tc>
        <w:tc>
          <w:tcPr>
            <w:tcW w:type="dxa" w:w="3389"/>
            <w:shd w:fill="F4F8FB"/>
          </w:tcPr>
          <w:p>
            <w:r/>
            <w:r>
              <w:rPr>
                <w:b w:val="0"/>
                <w:sz w:val="17"/>
              </w:rPr>
              <w:t>/api/cases/{id}</w:t>
            </w:r>
          </w:p>
        </w:tc>
        <w:tc>
          <w:tcPr>
            <w:tcW w:type="dxa" w:w="3389"/>
            <w:shd w:fill="F4F8FB"/>
          </w:tcPr>
          <w:p>
            <w:r/>
            <w:r>
              <w:rPr>
                <w:b w:val="0"/>
                <w:sz w:val="17"/>
              </w:rPr>
              <w:t>Retrieve case details and evidence</w:t>
            </w:r>
          </w:p>
        </w:tc>
      </w:tr>
      <w:tr>
        <w:tc>
          <w:tcPr>
            <w:tcW w:type="dxa" w:w="3389"/>
          </w:tcPr>
          <w:p>
            <w:r/>
            <w:r>
              <w:rPr>
                <w:b w:val="0"/>
                <w:sz w:val="17"/>
              </w:rPr>
              <w:t>POST</w:t>
            </w:r>
          </w:p>
        </w:tc>
        <w:tc>
          <w:tcPr>
            <w:tcW w:type="dxa" w:w="3389"/>
          </w:tcPr>
          <w:p>
            <w:r/>
            <w:r>
              <w:rPr>
                <w:b w:val="0"/>
                <w:sz w:val="17"/>
              </w:rPr>
              <w:t>/api/cases</w:t>
            </w:r>
          </w:p>
        </w:tc>
        <w:tc>
          <w:tcPr>
            <w:tcW w:type="dxa" w:w="3389"/>
          </w:tcPr>
          <w:p>
            <w:r/>
            <w:r>
              <w:rPr>
                <w:b w:val="0"/>
                <w:sz w:val="17"/>
              </w:rPr>
              <w:t>Create a case and run Patronum</w:t>
            </w:r>
          </w:p>
        </w:tc>
      </w:tr>
      <w:tr>
        <w:tc>
          <w:tcPr>
            <w:tcW w:type="dxa" w:w="3389"/>
            <w:shd w:fill="F4F8FB"/>
          </w:tcPr>
          <w:p>
            <w:r/>
            <w:r>
              <w:rPr>
                <w:b w:val="0"/>
                <w:sz w:val="17"/>
              </w:rPr>
              <w:t>POST</w:t>
            </w:r>
          </w:p>
        </w:tc>
        <w:tc>
          <w:tcPr>
            <w:tcW w:type="dxa" w:w="3389"/>
            <w:shd w:fill="F4F8FB"/>
          </w:tcPr>
          <w:p>
            <w:r/>
            <w:r>
              <w:rPr>
                <w:b w:val="0"/>
                <w:sz w:val="17"/>
              </w:rPr>
              <w:t>/api/cases/{id}/decision</w:t>
            </w:r>
          </w:p>
        </w:tc>
        <w:tc>
          <w:tcPr>
            <w:tcW w:type="dxa" w:w="3389"/>
            <w:shd w:fill="F4F8FB"/>
          </w:tcPr>
          <w:p>
            <w:r/>
            <w:r>
              <w:rPr>
                <w:b w:val="0"/>
                <w:sz w:val="17"/>
              </w:rPr>
              <w:t>Approve or escalate a review case</w:t>
            </w:r>
          </w:p>
        </w:tc>
      </w:tr>
      <w:tr>
        <w:tc>
          <w:tcPr>
            <w:tcW w:type="dxa" w:w="3389"/>
          </w:tcPr>
          <w:p>
            <w:r/>
            <w:r>
              <w:rPr>
                <w:b w:val="0"/>
                <w:sz w:val="17"/>
              </w:rPr>
              <w:t>GET</w:t>
            </w:r>
          </w:p>
        </w:tc>
        <w:tc>
          <w:tcPr>
            <w:tcW w:type="dxa" w:w="3389"/>
          </w:tcPr>
          <w:p>
            <w:r/>
            <w:r>
              <w:rPr>
                <w:b w:val="0"/>
                <w:sz w:val="17"/>
              </w:rPr>
              <w:t>/api/governance</w:t>
            </w:r>
          </w:p>
        </w:tc>
        <w:tc>
          <w:tcPr>
            <w:tcW w:type="dxa" w:w="3389"/>
          </w:tcPr>
          <w:p>
            <w:r/>
            <w:r>
              <w:rPr>
                <w:b w:val="0"/>
                <w:sz w:val="17"/>
              </w:rPr>
              <w:t>Retrieve domain ownership and controls</w:t>
            </w:r>
          </w:p>
        </w:tc>
      </w:tr>
      <w:tr>
        <w:tc>
          <w:tcPr>
            <w:tcW w:type="dxa" w:w="3389"/>
            <w:shd w:fill="F4F8FB"/>
          </w:tcPr>
          <w:p>
            <w:r/>
            <w:r>
              <w:rPr>
                <w:b w:val="0"/>
                <w:sz w:val="17"/>
              </w:rPr>
              <w:t>GET</w:t>
            </w:r>
          </w:p>
        </w:tc>
        <w:tc>
          <w:tcPr>
            <w:tcW w:type="dxa" w:w="3389"/>
            <w:shd w:fill="F4F8FB"/>
          </w:tcPr>
          <w:p>
            <w:r/>
            <w:r>
              <w:rPr>
                <w:b w:val="0"/>
                <w:sz w:val="17"/>
              </w:rPr>
              <w:t>/api/audit</w:t>
            </w:r>
          </w:p>
        </w:tc>
        <w:tc>
          <w:tcPr>
            <w:tcW w:type="dxa" w:w="3389"/>
            <w:shd w:fill="F4F8FB"/>
          </w:tcPr>
          <w:p>
            <w:r/>
            <w:r>
              <w:rPr>
                <w:b w:val="0"/>
                <w:sz w:val="17"/>
              </w:rPr>
              <w:t>Retrieve evidence and verify the audit chain</w:t>
            </w:r>
          </w:p>
        </w:tc>
      </w:tr>
    </w:tbl>
    <w:p/>
    <w:p>
      <w:pPr>
        <w:pStyle w:val="Heading1"/>
        <w:pBdr>
          <w:bottom w:val="single" w:sz="6" w:space="1" w:color="41B9BB"/>
        </w:pBdr>
      </w:pPr>
      <w:r>
        <w:t>Appendix B: Prototype Validation Summary</w:t>
      </w:r>
    </w:p>
    <w:p>
      <w:r>
        <w:t>Automated tests cover:</w:t>
      </w:r>
    </w:p>
    <w:p>
      <w:pPr>
        <w:pStyle w:val="ListNumber"/>
      </w:pPr>
      <w:r>
        <w:t>seeded review-queue behavior;</w:t>
      </w:r>
    </w:p>
    <w:p>
      <w:pPr>
        <w:pStyle w:val="ListNumber"/>
      </w:pPr>
      <w:r>
        <w:t>standard-case auto-approval and audit evidence;</w:t>
      </w:r>
    </w:p>
    <w:p>
      <w:pPr>
        <w:pStyle w:val="ListNumber"/>
      </w:pPr>
      <w:r>
        <w:t>business-case human review;</w:t>
      </w:r>
    </w:p>
    <w:p>
      <w:pPr>
        <w:pStyle w:val="ListNumber"/>
      </w:pPr>
      <w:r>
        <w:t>persisted human decisions;</w:t>
      </w:r>
    </w:p>
    <w:p>
      <w:pPr>
        <w:pStyle w:val="ListNumber"/>
      </w:pPr>
      <w:r>
        <w:t>required-field validation.</w:t>
      </w:r>
    </w:p>
    <w:p>
      <w:r>
        <w:t>Responsive UI validation covers:</w:t>
      </w:r>
    </w:p>
    <w:p>
      <w:pPr>
        <w:pStyle w:val="ListBullet"/>
      </w:pPr>
      <w:r>
        <w:rPr>
          <w:rFonts w:ascii="Consolas" w:hAnsi="Consolas"/>
          <w:b w:val="0"/>
          <w:sz w:val="18"/>
        </w:rPr>
        <w:t>1440 × 900</w:t>
      </w:r>
      <w:r>
        <w:t xml:space="preserve"> desktop;</w:t>
      </w:r>
    </w:p>
    <w:p>
      <w:pPr>
        <w:pStyle w:val="ListBullet"/>
      </w:pPr>
      <w:r>
        <w:rPr>
          <w:rFonts w:ascii="Consolas" w:hAnsi="Consolas"/>
          <w:b w:val="0"/>
          <w:sz w:val="18"/>
        </w:rPr>
        <w:t>820 × 900</w:t>
      </w:r>
      <w:r>
        <w:t xml:space="preserve"> tablet;</w:t>
      </w:r>
    </w:p>
    <w:p>
      <w:pPr>
        <w:pStyle w:val="ListBullet"/>
      </w:pPr>
      <w:r>
        <w:rPr>
          <w:rFonts w:ascii="Consolas" w:hAnsi="Consolas"/>
          <w:b w:val="0"/>
          <w:sz w:val="18"/>
        </w:rPr>
        <w:t>390 × 844</w:t>
      </w:r>
      <w:r>
        <w:t xml:space="preserve"> mobile;</w:t>
      </w:r>
    </w:p>
    <w:p>
      <w:pPr>
        <w:pStyle w:val="ListBullet"/>
      </w:pPr>
      <w:r>
        <w:rPr>
          <w:rFonts w:ascii="Consolas" w:hAnsi="Consolas"/>
          <w:b w:val="0"/>
          <w:sz w:val="18"/>
        </w:rPr>
        <w:t>640 × 720</w:t>
      </w:r>
      <w:r>
        <w:t xml:space="preserve"> high-zoom-equivalent viewport;</w:t>
      </w:r>
    </w:p>
    <w:p>
      <w:pPr>
        <w:pStyle w:val="ListBullet"/>
      </w:pPr>
      <w:r>
        <w:rPr>
          <w:rFonts w:ascii="Consolas" w:hAnsi="Consolas"/>
          <w:b w:val="0"/>
          <w:sz w:val="18"/>
        </w:rPr>
        <w:t>1280 × 600</w:t>
      </w:r>
      <w:r>
        <w:t xml:space="preserve"> low-height desktop.</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Verita | Architecture Board Report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33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A6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A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