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widowControl/>
      </w:pPr>
      <w:r>
        <w:rPr>
          <w:rFonts w:ascii="Times New Roman" w:hAnsi="Times New Roman"/>
          <w:color w:val="000000"/>
        </w:rPr>
        <w:t xml:space="preserve">Supplementary Information</w:t>
      </w:r>
    </w:p>
    <w:p>
      <w:pPr>
        <w:pStyle w:val="Subtitle"/>
        <w:widowControl/>
      </w:pPr>
      <w:r>
        <w:rPr>
          <w:rFonts w:ascii="Times New Roman" w:hAnsi="Times New Roman"/>
          <w:color w:val="000000"/>
        </w:rPr>
        <w:t xml:space="preserve">Why can equal results lead to different scientific futures</w:t>
      </w:r>
    </w:p>
    <w:p>
      <w:pPr>
        <w:pStyle w:val="FirstParagraph"/>
        <w:widowControl/>
      </w:pPr>
      <w:r>
        <w:rPr>
          <w:i/>
          <w:iCs/>
        </w:rPr>
        <w:t xml:space="preserve">How humans and AI jointly form the conditions for further discovery</w:t>
      </w:r>
    </w:p>
    <w:bookmarkStart w:id="9" w:name="supplementary-note-1.-claim-architecture"/>
    <w:p>
      <w:pPr>
        <w:pStyle w:val="Heading2"/>
        <w:keepNext/>
        <w:pageBreakBefore w:val="0"/>
        <w:widowControl/>
      </w:pPr>
      <w:r>
        <w:rPr>
          <w:rFonts w:ascii="Times New Roman" w:hAnsi="Times New Roman"/>
          <w:b/>
          <w:color w:val="000000"/>
          <w:sz w:val="24"/>
        </w:rPr>
        <w:t xml:space="preserve">Supplementary Note 1. Claim architecture</w:t>
      </w:r>
    </w:p>
    <w:p>
      <w:pPr>
        <w:pStyle w:val="FirstParagraph"/>
        <w:widowControl/>
      </w:pPr>
      <w:r>
        <w:t xml:space="preserve">The manuscript combines a theoretical target, an analytical witness and a local recorded application. They do not supply three replications of one mechanism. The title concerns equivalence under a declared present observation and non-equivalence under a declared future regime. It does not assert that identical complete causal states yield different outcomes. “Scientific futures” includes testing, correction, question formation, method development and adaptation under specified duties, tools, permissions and resources; these components need different observations. The proof-completion pair observes local application and supplied downstream use. Separate archived coefficient studies observe actual changed-target revision and reuse; their aggregate policy effects remain unestablished.</w:t>
      </w:r>
    </w:p>
    <w:p>
      <w:pPr>
        <w:pStyle w:val="BodyText"/>
        <w:widowControl/>
      </w:pPr>
      <w:r>
        <w:t xml:space="preserve">The theory takes problem–method–evidence–division-of-work relations as an explanatory object. Some relations are instantiated by a proof interface or a parameter map; others concern responsibility and access. They can be included in a classical state model. The proposal is not an irreducible force outside such a model. Its target is the formation and reconstruction of conditions by activity, rather than assuming those conditions to be permanently supplied from outside.</w:t>
      </w:r>
    </w:p>
    <w:p>
      <w:pPr>
        <w:pStyle w:val="BodyText"/>
        <w:widowControl/>
      </w:pPr>
      <w:r>
        <w:t xml:space="preserve">A minimal evidence discipline for a relation has four parts: identify its carrier; specify the operation for which it matters; observe its actual use or specify a proof of dependence; and distinguish how it was formed from how it was handed over. Adding an omitted variable to a diagram does not establish these parts. Conversely, an intervention need not isolate every internal psychological mechanism to establish a bounded total effect. The proof-completion pair and post-selected successor traces establish particular objects, changes and uses. They do not establish a stable average benefit: the complete coefficient-study results include identical versions, empty terminal outputs and execution-dependent contrasts.</w:t>
      </w:r>
    </w:p>
    <w:p>
      <w:pPr>
        <w:pStyle w:val="BodyText"/>
        <w:keepNext/>
        <w:widowControl/>
      </w:pPr>
      <w:r>
        <w:rPr>
          <w:b/>
          <w:bCs/>
        </w:rPr>
        <w:t xml:space="preserve">Supplementary Table 1 | Evidence roles and claim boundaries.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cantSplit/>
          <w:tblHeader/>
        </w:trPr>
        <w:tc>
          <w:tcPr>
            <w:tcW w:type="dxa" w:w="2324"/>
            <w:shd w:fill="EEEEEE"/>
          </w:tcPr>
          <w:p>
            <w:pPr>
              <w:pStyle w:val="Compact"/>
              <w:spacing w:line="252" w:lineRule="auto" w:after="80" w:before="60"/>
            </w:pPr>
            <w:r>
              <w:rPr>
                <w:rFonts w:ascii="Times New Roman" w:hAnsi="Times New Roman"/>
                <w:b/>
                <w:sz w:val="18"/>
              </w:rPr>
              <w:t xml:space="preserve">Evidence object</w:t>
            </w:r>
          </w:p>
        </w:tc>
        <w:tc>
          <w:tcPr>
            <w:tcW w:type="dxa" w:w="2324"/>
            <w:shd w:fill="EEEEEE"/>
          </w:tcPr>
          <w:p>
            <w:pPr>
              <w:pStyle w:val="Compact"/>
              <w:spacing w:line="252" w:lineRule="auto" w:after="80" w:before="60"/>
            </w:pPr>
            <w:r>
              <w:rPr>
                <w:rFonts w:ascii="Times New Roman" w:hAnsi="Times New Roman"/>
                <w:b/>
                <w:sz w:val="18"/>
              </w:rPr>
              <w:t xml:space="preserve">Established content</w:t>
            </w:r>
          </w:p>
        </w:tc>
        <w:tc>
          <w:tcPr>
            <w:tcW w:type="dxa" w:w="2324"/>
            <w:shd w:fill="EEEEEE"/>
          </w:tcPr>
          <w:p>
            <w:pPr>
              <w:pStyle w:val="Compact"/>
              <w:spacing w:line="252" w:lineRule="auto" w:after="80" w:before="60"/>
            </w:pPr>
            <w:r>
              <w:rPr>
                <w:rFonts w:ascii="Times New Roman" w:hAnsi="Times New Roman"/>
                <w:b/>
                <w:sz w:val="18"/>
              </w:rPr>
              <w:t xml:space="preserve">Its precise contribution to the mother question</w:t>
            </w:r>
          </w:p>
        </w:tc>
        <w:tc>
          <w:tcPr>
            <w:tcW w:type="dxa" w:w="2324"/>
            <w:shd w:fill="EEEEEE"/>
          </w:tcPr>
          <w:p>
            <w:pPr>
              <w:pStyle w:val="Compact"/>
              <w:spacing w:line="252" w:lineRule="auto" w:after="80" w:before="60"/>
            </w:pPr>
            <w:r>
              <w:rPr>
                <w:rFonts w:ascii="Times New Roman" w:hAnsi="Times New Roman"/>
                <w:b/>
                <w:sz w:val="18"/>
              </w:rPr>
              <w:t xml:space="preserve">What it does not establish</w:t>
            </w:r>
          </w:p>
        </w:tc>
      </w:tr>
      <w:tr>
        <w:trPr>
          <w:cantSplit/>
        </w:trPr>
        <w:tc>
          <w:tcPr>
            <w:tcW w:type="dxa" w:w="2324"/>
          </w:tcPr>
          <w:p>
            <w:pPr>
              <w:pStyle w:val="Compact"/>
              <w:spacing w:line="252" w:lineRule="auto" w:after="80" w:before="60"/>
            </w:pPr>
            <w:r>
              <w:rPr>
                <w:rFonts w:ascii="Times New Roman" w:hAnsi="Times New Roman"/>
                <w:sz w:val="18"/>
              </w:rPr>
              <w:t xml:space="preserve">Coefficient witness</w:t>
            </w:r>
          </w:p>
        </w:tc>
        <w:tc>
          <w:tcPr>
            <w:tcW w:type="dxa" w:w="2324"/>
          </w:tcPr>
          <w:p>
            <w:pPr>
              <w:pStyle w:val="Compact"/>
              <w:spacing w:line="252" w:lineRule="auto" w:after="80" w:before="60"/>
            </w:pPr>
            <w:r>
              <w:rPr>
                <w:rFonts w:ascii="Times New Roman" w:hAnsi="Times New Roman"/>
                <w:sz w:val="18"/>
              </w:rPr>
              <w:t xml:space="preserve">A specified readout cannot support exact correction at two admissible inherited states; a positive minimax lower bound</w:t>
            </w:r>
          </w:p>
        </w:tc>
        <w:tc>
          <w:tcPr>
            <w:tcW w:type="dxa" w:w="2324"/>
          </w:tcPr>
          <w:p>
            <w:pPr>
              <w:pStyle w:val="Compact"/>
              <w:spacing w:line="252" w:lineRule="auto" w:after="80" w:before="60"/>
            </w:pPr>
            <w:r>
              <w:rPr>
                <w:rFonts w:ascii="Times New Roman" w:hAnsi="Times New Roman"/>
                <w:sz w:val="18"/>
              </w:rPr>
              <w:t xml:space="preserve">Shows why a retained consequence of prior action can be relevant beyond the current summary</w:t>
            </w:r>
          </w:p>
        </w:tc>
        <w:tc>
          <w:tcPr>
            <w:tcW w:type="dxa" w:w="2324"/>
          </w:tcPr>
          <w:p>
            <w:pPr>
              <w:pStyle w:val="Compact"/>
              <w:spacing w:line="252" w:lineRule="auto" w:after="80" w:before="60"/>
            </w:pPr>
            <w:r>
              <w:rPr>
                <w:rFonts w:ascii="Times New Roman" w:hAnsi="Times New Roman"/>
                <w:sz w:val="18"/>
              </w:rPr>
              <w:t xml:space="preserve">How a human or model acquired that state; equal complete current function</w:t>
            </w:r>
          </w:p>
        </w:tc>
      </w:tr>
      <w:tr>
        <w:trPr>
          <w:cantSplit/>
        </w:trPr>
        <w:tc>
          <w:tcPr>
            <w:tcW w:type="dxa" w:w="2324"/>
          </w:tcPr>
          <w:p>
            <w:pPr>
              <w:pStyle w:val="Compact"/>
              <w:spacing w:line="252" w:lineRule="auto" w:after="80" w:before="60"/>
            </w:pPr>
            <w:r>
              <w:rPr>
                <w:rFonts w:ascii="Times New Roman" w:hAnsi="Times New Roman"/>
                <w:sz w:val="18"/>
              </w:rPr>
              <w:t xml:space="preserve">Safe state-aware construction</w:t>
            </w:r>
          </w:p>
        </w:tc>
        <w:tc>
          <w:tcPr>
            <w:tcW w:type="dxa" w:w="2324"/>
          </w:tcPr>
          <w:p>
            <w:pPr>
              <w:pStyle w:val="Compact"/>
              <w:spacing w:line="252" w:lineRule="auto" w:after="80" w:before="60"/>
            </w:pPr>
            <w:r>
              <w:rPr>
                <w:rFonts w:ascii="Times New Roman" w:hAnsi="Times New Roman"/>
                <w:sz w:val="18"/>
              </w:rPr>
              <w:t xml:space="preserve">Compact information can remove that local obstruction under explicit domain assumptions</w:t>
            </w:r>
          </w:p>
        </w:tc>
        <w:tc>
          <w:tcPr>
            <w:tcW w:type="dxa" w:w="2324"/>
          </w:tcPr>
          <w:p>
            <w:pPr>
              <w:pStyle w:val="Compact"/>
              <w:spacing w:line="252" w:lineRule="auto" w:after="80" w:before="60"/>
            </w:pPr>
            <w:r>
              <w:rPr>
                <w:rFonts w:ascii="Times New Roman" w:hAnsi="Times New Roman"/>
                <w:sz w:val="18"/>
              </w:rPr>
              <w:t xml:space="preserve">Demonstrates a sufficient alternative to retaining all history</w:t>
            </w:r>
          </w:p>
        </w:tc>
        <w:tc>
          <w:tcPr>
            <w:tcW w:type="dxa" w:w="2324"/>
          </w:tcPr>
          <w:p>
            <w:pPr>
              <w:pStyle w:val="Compact"/>
              <w:spacing w:line="252" w:lineRule="auto" w:after="80" w:before="60"/>
            </w:pPr>
            <w:r>
              <w:rPr>
                <w:rFonts w:ascii="Times New Roman" w:hAnsi="Times New Roman"/>
                <w:sz w:val="18"/>
              </w:rPr>
              <w:t xml:space="preserve">Global PDE admissibility of arbitrary code; historical indispensability</w:t>
            </w:r>
          </w:p>
        </w:tc>
      </w:tr>
      <w:tr>
        <w:trPr>
          <w:cantSplit/>
        </w:trPr>
        <w:tc>
          <w:tcPr>
            <w:tcW w:type="dxa" w:w="2324"/>
          </w:tcPr>
          <w:p>
            <w:pPr>
              <w:pStyle w:val="Compact"/>
              <w:spacing w:line="252" w:lineRule="auto" w:after="80" w:before="60"/>
            </w:pPr>
            <w:r>
              <w:rPr>
                <w:rFonts w:ascii="Times New Roman" w:hAnsi="Times New Roman"/>
                <w:sz w:val="18"/>
              </w:rPr>
              <w:t xml:space="preserve">Recorded coefficient continuation</w:t>
            </w:r>
          </w:p>
        </w:tc>
        <w:tc>
          <w:tcPr>
            <w:tcW w:type="dxa" w:w="2324"/>
          </w:tcPr>
          <w:p>
            <w:pPr>
              <w:pStyle w:val="Compact"/>
              <w:spacing w:line="252" w:lineRule="auto" w:after="80" w:before="60"/>
            </w:pPr>
            <w:r>
              <w:rPr>
                <w:rFonts w:ascii="Times New Roman" w:hAnsi="Times New Roman"/>
                <w:sz w:val="18"/>
              </w:rPr>
              <w:t xml:space="preserve">Actual programmes revised after feedback, inherited fields received by later work, and renewed numerical action</w:t>
            </w:r>
          </w:p>
        </w:tc>
        <w:tc>
          <w:tcPr>
            <w:tcW w:type="dxa" w:w="2324"/>
          </w:tcPr>
          <w:p>
            <w:pPr>
              <w:pStyle w:val="Compact"/>
              <w:spacing w:line="252" w:lineRule="auto" w:after="80" w:before="60"/>
            </w:pPr>
            <w:r>
              <w:rPr>
                <w:rFonts w:ascii="Times New Roman" w:hAnsi="Times New Roman"/>
                <w:sz w:val="18"/>
              </w:rPr>
              <w:t xml:space="preserve">Observes a restricted form of reconstruction and reuse</w:t>
            </w:r>
          </w:p>
        </w:tc>
        <w:tc>
          <w:tcPr>
            <w:tcW w:type="dxa" w:w="2324"/>
          </w:tcPr>
          <w:p>
            <w:pPr>
              <w:pStyle w:val="Compact"/>
              <w:spacing w:line="252" w:lineRule="auto" w:after="80" w:before="60"/>
            </w:pPr>
            <w:r>
              <w:rPr>
                <w:rFonts w:ascii="Times New Roman" w:hAnsi="Times New Roman"/>
                <w:sz w:val="18"/>
              </w:rPr>
              <w:t xml:space="preserve">A stable average assistance/adoption benefit, a unique internal mechanism, or the full NS proof</w:t>
            </w:r>
          </w:p>
        </w:tc>
      </w:tr>
      <w:tr>
        <w:trPr>
          <w:cantSplit/>
        </w:trPr>
        <w:tc>
          <w:tcPr>
            <w:tcW w:type="dxa" w:w="2324"/>
          </w:tcPr>
          <w:p>
            <w:pPr>
              <w:pStyle w:val="Compact"/>
              <w:spacing w:line="252" w:lineRule="auto" w:after="80" w:before="60"/>
            </w:pPr>
            <w:r>
              <w:rPr>
                <w:rStyle w:val="VerbatimChar"/>
                <w:rFonts w:ascii="Times New Roman" w:hAnsi="Times New Roman"/>
                <w:sz w:val="18"/>
              </w:rPr>
              <w:t xml:space="preserve">hclose</w:t>
            </w:r>
            <w:r>
              <w:rPr>
                <w:rFonts w:ascii="Times New Roman" w:hAnsi="Times New Roman"/>
                <w:sz w:val="18"/>
              </w:rPr>
              <w:t xml:space="preserve"> </w:t>
            </w:r>
            <w:r>
              <w:rPr>
                <w:rFonts w:ascii="Times New Roman" w:hAnsi="Times New Roman"/>
                <w:sz w:val="18"/>
              </w:rPr>
              <w:t xml:space="preserve">application</w:t>
            </w:r>
          </w:p>
        </w:tc>
        <w:tc>
          <w:tcPr>
            <w:tcW w:type="dxa" w:w="2324"/>
          </w:tcPr>
          <w:p>
            <w:pPr>
              <w:pStyle w:val="Compact"/>
              <w:spacing w:line="252" w:lineRule="auto" w:after="80" w:before="60"/>
            </w:pPr>
            <w:r>
              <w:rPr>
                <w:rFonts w:ascii="Times New Roman" w:hAnsi="Times New Roman"/>
                <w:sz w:val="18"/>
              </w:rPr>
              <w:t xml:space="preserve">A particular lemma application is constructed, accepted in retained compilation and used by a fixed consumer</w:t>
            </w:r>
          </w:p>
        </w:tc>
        <w:tc>
          <w:tcPr>
            <w:tcW w:type="dxa" w:w="2324"/>
          </w:tcPr>
          <w:p>
            <w:pPr>
              <w:pStyle w:val="Compact"/>
              <w:spacing w:line="252" w:lineRule="auto" w:after="80" w:before="60"/>
            </w:pPr>
            <w:r>
              <w:rPr>
                <w:rFonts w:ascii="Times New Roman" w:hAnsi="Times New Roman"/>
                <w:sz w:val="18"/>
              </w:rPr>
              <w:t xml:space="preserve">Makes one conversion from available result to operative condition inspectable</w:t>
            </w:r>
          </w:p>
        </w:tc>
        <w:tc>
          <w:tcPr>
            <w:tcW w:type="dxa" w:w="2324"/>
          </w:tcPr>
          <w:p>
            <w:pPr>
              <w:pStyle w:val="Compact"/>
              <w:spacing w:line="252" w:lineRule="auto" w:after="80" w:before="60"/>
            </w:pPr>
            <w:r>
              <w:rPr>
                <w:rFonts w:ascii="Times New Roman" w:hAnsi="Times New Roman"/>
                <w:sz w:val="18"/>
              </w:rPr>
              <w:t xml:space="preserve">Autonomous formation of the consumer, full U3 or the complete practice cycle</w:t>
            </w:r>
          </w:p>
        </w:tc>
      </w:tr>
      <w:tr>
        <w:trPr>
          <w:cantSplit/>
        </w:trPr>
        <w:tc>
          <w:tcPr>
            <w:tcW w:type="dxa" w:w="2324"/>
          </w:tcPr>
          <w:p>
            <w:pPr>
              <w:pStyle w:val="Compact"/>
              <w:spacing w:line="252" w:lineRule="auto" w:after="80" w:before="60"/>
            </w:pPr>
            <w:r>
              <w:rPr>
                <w:rFonts w:ascii="Times New Roman" w:hAnsi="Times New Roman"/>
                <w:sz w:val="18"/>
              </w:rPr>
              <w:t xml:space="preserve">Human task revision</w:t>
            </w:r>
          </w:p>
        </w:tc>
        <w:tc>
          <w:tcPr>
            <w:tcW w:type="dxa" w:w="2324"/>
          </w:tcPr>
          <w:p>
            <w:pPr>
              <w:pStyle w:val="Compact"/>
              <w:spacing w:line="252" w:lineRule="auto" w:after="80" w:before="60"/>
            </w:pPr>
            <w:r>
              <w:rPr>
                <w:rFonts w:ascii="Times New Roman" w:hAnsi="Times New Roman"/>
                <w:sz w:val="18"/>
              </w:rPr>
              <w:t xml:space="preserve">The investigator changed scope, materials and procedure during exploration</w:t>
            </w:r>
          </w:p>
        </w:tc>
        <w:tc>
          <w:tcPr>
            <w:tcW w:type="dxa" w:w="2324"/>
          </w:tcPr>
          <w:p>
            <w:pPr>
              <w:pStyle w:val="Compact"/>
              <w:spacing w:line="252" w:lineRule="auto" w:after="80" w:before="60"/>
            </w:pPr>
            <w:r>
              <w:rPr>
                <w:rFonts w:ascii="Times New Roman" w:hAnsi="Times New Roman"/>
                <w:sz w:val="18"/>
              </w:rPr>
              <w:t xml:space="preserve">Records human organisation as part of the process</w:t>
            </w:r>
          </w:p>
        </w:tc>
        <w:tc>
          <w:tcPr>
            <w:tcW w:type="dxa" w:w="2324"/>
          </w:tcPr>
          <w:p>
            <w:pPr>
              <w:pStyle w:val="Compact"/>
              <w:spacing w:line="252" w:lineRule="auto" w:after="80" w:before="60"/>
            </w:pPr>
            <w:r>
              <w:rPr>
                <w:rFonts w:ascii="Times New Roman" w:hAnsi="Times New Roman"/>
                <w:sz w:val="18"/>
              </w:rPr>
              <w:t xml:space="preserve">An independent measure of the investigator’s understanding or its improvement</w:t>
            </w:r>
          </w:p>
        </w:tc>
      </w:tr>
      <w:tr>
        <w:trPr>
          <w:cantSplit/>
        </w:trPr>
        <w:tc>
          <w:tcPr>
            <w:tcW w:type="dxa" w:w="2324"/>
          </w:tcPr>
          <w:p>
            <w:pPr>
              <w:pStyle w:val="Compact"/>
              <w:spacing w:line="252" w:lineRule="auto" w:after="80" w:before="60"/>
            </w:pPr>
            <w:r>
              <w:rPr>
                <w:rFonts w:ascii="Times New Roman" w:hAnsi="Times New Roman"/>
                <w:sz w:val="18"/>
              </w:rPr>
              <w:t xml:space="preserve">Domain predictions</w:t>
            </w:r>
          </w:p>
        </w:tc>
        <w:tc>
          <w:tcPr>
            <w:tcW w:type="dxa" w:w="2324"/>
          </w:tcPr>
          <w:p>
            <w:pPr>
              <w:pStyle w:val="Compact"/>
              <w:spacing w:line="252" w:lineRule="auto" w:after="80" w:before="60"/>
            </w:pPr>
            <w:r>
              <w:rPr>
                <w:rFonts w:ascii="Times New Roman" w:hAnsi="Times New Roman"/>
                <w:sz w:val="18"/>
              </w:rPr>
              <w:t xml:space="preserve">Prospective conditional tests of result/continuation separation</w:t>
            </w:r>
          </w:p>
        </w:tc>
        <w:tc>
          <w:tcPr>
            <w:tcW w:type="dxa" w:w="2324"/>
          </w:tcPr>
          <w:p>
            <w:pPr>
              <w:pStyle w:val="Compact"/>
              <w:spacing w:line="252" w:lineRule="auto" w:after="80" w:before="60"/>
            </w:pPr>
            <w:r>
              <w:rPr>
                <w:rFonts w:ascii="Times New Roman" w:hAnsi="Times New Roman"/>
                <w:sz w:val="18"/>
              </w:rPr>
              <w:t xml:space="preserve">States how wider implications can be refuted or narrowed</w:t>
            </w:r>
          </w:p>
        </w:tc>
        <w:tc>
          <w:tcPr>
            <w:tcW w:type="dxa" w:w="2324"/>
          </w:tcPr>
          <w:p>
            <w:pPr>
              <w:pStyle w:val="Compact"/>
              <w:spacing w:line="252" w:lineRule="auto" w:after="80" w:before="60"/>
            </w:pPr>
            <w:r>
              <w:rPr>
                <w:rFonts w:ascii="Times New Roman" w:hAnsi="Times New Roman"/>
                <w:sz w:val="18"/>
              </w:rPr>
              <w:t xml:space="preserve">Existing evidence for all human, institutional or disciplinary claims</w:t>
            </w:r>
          </w:p>
        </w:tc>
      </w:tr>
    </w:tbl>
    <w:bookmarkEnd w:id="9"/>
    <w:bookmarkStart w:id="16" w:name="X8b8e88201ae60bd315e1bbd0c611965c8ad3851"/>
    <w:p>
      <w:pPr>
        <w:pStyle w:val="Heading2"/>
        <w:keepNext/>
        <w:widowControl/>
      </w:pPr>
      <w:r>
        <w:rPr>
          <w:rFonts w:ascii="Times New Roman" w:hAnsi="Times New Roman"/>
          <w:b/>
          <w:color w:val="000000"/>
          <w:sz w:val="24"/>
        </w:rPr>
        <w:t xml:space="preserve">Supplementary Note 2. Exact finite separation</w:t>
      </w:r>
    </w:p>
    <w:bookmarkStart w:id="10" w:name="original-comparison-and-analytical-scope"/>
    <w:p>
      <w:pPr>
        <w:pStyle w:val="Heading3"/>
        <w:keepNext/>
        <w:widowControl/>
      </w:pPr>
      <w:r>
        <w:rPr>
          <w:rFonts w:ascii="Times New Roman" w:hAnsi="Times New Roman"/>
          <w:b/>
          <w:color w:val="000000"/>
          <w:sz w:val="24"/>
        </w:rPr>
        <w:t xml:space="preserve">2.1 Original comparison and analytical scope</w:t>
      </w:r>
    </w:p>
    <w:p>
      <w:pPr>
        <w:pStyle w:val="FirstParagraph"/>
        <w:widowControl/>
      </w:pPr>
      <w:r>
        <w:t xml:space="preserve">This argument is inherited from the preserved R6 mathematical note of 18 September 2026, with its assumptions retained. The original note remains in the authors’ internal historical provenance; the complete argument and its assumptions are reproduced here and mapped to the executable checks in</w:t>
      </w:r>
      <w:r>
        <w:t xml:space="preserve"> </w:t>
      </w:r>
      <w:r>
        <w:rPr>
          <w:rStyle w:val="VerbatimChar"/>
        </w:rPr>
        <w:t xml:space="preserve">REPRODUCIBILITY/math/README.md</w:t>
      </w:r>
      <w:r>
        <w:t xml:space="preserve">. In a local covariance reduction, the actual amplitude relative to a fixed primary coefficient is</w:t>
      </w:r>
      <w:r>
        <w:t xml:space="preserve"> </w:t>
      </w:r>
      <m:oMath>
        <m:r>
          <m:t>z</m:t>
        </m:r>
      </m:oMath>
      <w:r>
        <w:t xml:space="preserve">, the target squared amplitude is</w:t>
      </w:r>
      <w:r>
        <w:t xml:space="preserve"> </w:t>
      </w:r>
      <m:oMath>
        <m:r>
          <m:t>p</m:t>
        </m:r>
      </m:oMath>
      <w:r>
        <w:t xml:space="preserve">, and the current reported residual is</w:t>
      </w:r>
      <w:r>
        <w:t xml:space="preserve"> </w:t>
      </w:r>
      <m:oMath>
        <m:r>
          <m:t>r</m:t>
        </m:r>
        <m:r>
          <m:rPr>
            <m:sty m:val="p"/>
          </m:rPr>
          <m:t>=</m:t>
        </m:r>
        <m:r>
          <m:t>p</m:t>
        </m:r>
        <m:r>
          <m:rPr>
            <m:sty m:val="p"/>
          </m:rPr>
          <m:t>−</m:t>
        </m:r>
        <m:sSup>
          <m:e>
            <m:r>
              <m:t>z</m:t>
            </m:r>
          </m:e>
          <m:sup>
            <m:r>
              <m:t>2</m:t>
            </m:r>
          </m:sup>
        </m:sSup>
      </m:oMath>
      <w:r>
        <w:t xml:space="preserve">. The update is a real increment</w:t>
      </w:r>
      <w:r>
        <w:t xml:space="preserve"> </w:t>
      </w:r>
      <m:oMath>
        <m:r>
          <m:t>g</m:t>
        </m:r>
      </m:oMath>
      <w:r>
        <w:t xml:space="preserve"> </w:t>
      </w:r>
      <w:r>
        <w:t xml:space="preserve">and the complete residual is</w:t>
      </w:r>
      <w:r>
        <w:t xml:space="preserve"> </w:t>
      </w:r>
      <m:oMath>
        <m:r>
          <m:t>E</m:t>
        </m:r>
        <m:r>
          <m:rPr>
            <m:sty m:val="p"/>
          </m:rPr>
          <m:t>=</m:t>
        </m:r>
        <m:r>
          <m:rPr>
            <m:sty m:val="p"/>
          </m:rPr>
          <m:t>(</m:t>
        </m:r>
        <m:r>
          <m:t>z</m:t>
        </m:r>
        <m:r>
          <m:rPr>
            <m:sty m:val="p"/>
          </m:rPr>
          <m:t>+</m:t>
        </m:r>
        <m:r>
          <m:t>g</m:t>
        </m:r>
        <m:sSup>
          <m:e>
            <m:r>
              <m:rPr>
                <m:sty m:val="p"/>
              </m:rPr>
              <m:t>)</m:t>
            </m:r>
          </m:e>
          <m:sup>
            <m:r>
              <m:t>2</m:t>
            </m:r>
          </m:sup>
        </m:sSup>
        <m:r>
          <m:rPr>
            <m:sty m:val="p"/>
          </m:rPr>
          <m:t>−</m:t>
        </m:r>
        <m:r>
          <m:t>p</m:t>
        </m:r>
      </m:oMath>
      <w:r>
        <w:t xml:space="preserve">. The stored or inherited state is not reset between operations. With</w:t>
      </w:r>
      <w:r>
        <w:t xml:space="preserve"> </w:t>
      </w:r>
      <m:oMath>
        <m:r>
          <m:t>u</m:t>
        </m:r>
        <m:r>
          <m:rPr>
            <m:sty m:val="p"/>
          </m:rPr>
          <m:t>=</m:t>
        </m:r>
        <m:r>
          <m:t>z</m:t>
        </m:r>
        <m:r>
          <m:rPr>
            <m:sty m:val="p"/>
          </m:rPr>
          <m:t>−</m:t>
        </m:r>
        <m:r>
          <m:t>1</m:t>
        </m:r>
      </m:oMath>
      <w:r>
        <w:t xml:space="preserve">,</w:t>
      </w:r>
    </w:p>
    <w:p>
      <w:pPr>
        <w:pStyle w:val="BodyText"/>
        <w:widowControl/>
      </w:pPr>
      <m:oMathPara>
        <m:oMathParaPr>
          <m:jc m:val="center"/>
        </m:oMathParaPr>
        <m:oMath>
          <m:r>
            <m:t>E</m:t>
          </m:r>
          <m:r>
            <m:rPr>
              <m:sty m:val="p"/>
            </m:rPr>
            <m:t>=</m:t>
          </m:r>
          <m:r>
            <m:t>2</m:t>
          </m:r>
          <m:r>
            <m:t>g</m:t>
          </m:r>
          <m:r>
            <m:rPr>
              <m:sty m:val="p"/>
            </m:rPr>
            <m:t>+</m:t>
          </m:r>
          <m:sSup>
            <m:e>
              <m:r>
                <m:t>g</m:t>
              </m:r>
            </m:e>
            <m:sup>
              <m:r>
                <m:t>2</m:t>
              </m:r>
            </m:sup>
          </m:sSup>
          <m:r>
            <m:rPr>
              <m:sty m:val="p"/>
            </m:rPr>
            <m:t>−</m:t>
          </m:r>
          <m:r>
            <m:t>r</m:t>
          </m:r>
          <m:r>
            <m:rPr>
              <m:sty m:val="p"/>
            </m:rPr>
            <m:t>+</m:t>
          </m:r>
          <m:r>
            <m:t>2</m:t>
          </m:r>
          <m:r>
            <m:t>u</m:t>
          </m:r>
          <m:r>
            <m:t>g</m:t>
          </m:r>
          <m:r>
            <m:rPr>
              <m:sty m:val="p"/>
            </m:rPr>
            <m:t>.</m:t>
          </m:r>
        </m:oMath>
      </m:oMathPara>
    </w:p>
    <w:p>
      <w:pPr>
        <w:pStyle w:val="FirstParagraph"/>
        <w:widowControl/>
      </w:pPr>
      <w:r>
        <w:t xml:space="preserve">This is an exact identity, not a behavioural model of the language model. It separates the residual of a correction at the fixed base from its cross term with the actual state already produced. The local reduction inherits a role from the source covariance construction, but it removes other components of the full PDE problem. A small value here does not prove a small velocity, pressure or full Navier–Stokes residual.</w:t>
      </w:r>
    </w:p>
    <w:bookmarkEnd w:id="10"/>
    <w:bookmarkStart w:id="11" w:name="impossibility-for-a-source-only-action"/>
    <w:p>
      <w:pPr>
        <w:pStyle w:val="Heading3"/>
        <w:keepNext/>
        <w:widowControl/>
      </w:pPr>
      <w:r>
        <w:rPr>
          <w:rFonts w:ascii="Times New Roman" w:hAnsi="Times New Roman"/>
          <w:b/>
          <w:color w:val="000000"/>
          <w:sz w:val="24"/>
        </w:rPr>
        <w:t xml:space="preserve">2.2 Impossibility for a source-only action</w:t>
      </w:r>
    </w:p>
    <w:p>
      <w:pPr>
        <w:pStyle w:val="FirstParagraph"/>
        <w:widowControl/>
      </w:pPr>
      <w:r>
        <w:t xml:space="preserve">Assume</w:t>
      </w:r>
      <w:r>
        <w:t xml:space="preserve"> </w:t>
      </w:r>
      <m:oMath>
        <m:r>
          <m:t>0</m:t>
        </m:r>
        <m:r>
          <m:rPr>
            <m:sty m:val="p"/>
          </m:rPr>
          <m:t>&lt;</m:t>
        </m:r>
        <m:r>
          <m:t>r</m:t>
        </m:r>
        <m:r>
          <m:rPr>
            <m:sty m:val="p"/>
          </m:rPr>
          <m:t>≤</m:t>
        </m:r>
        <m:r>
          <m:t>1</m:t>
        </m:r>
        <m:r>
          <m:rPr>
            <m:sty m:val="p"/>
          </m:rPr>
          <m:t>/</m:t>
        </m:r>
        <m:r>
          <m:t>4</m:t>
        </m:r>
      </m:oMath>
      <w:r>
        <w:t xml:space="preserve"> </w:t>
      </w:r>
      <w:r>
        <w:t xml:space="preserve">and</w:t>
      </w:r>
      <w:r>
        <w:t xml:space="preserve"> </w:t>
      </w:r>
      <m:oMath>
        <m:r>
          <m:t>0</m:t>
        </m:r>
        <m:r>
          <m:rPr>
            <m:sty m:val="p"/>
          </m:rPr>
          <m:t>&lt;</m:t>
        </m:r>
        <m:r>
          <m:t>v</m:t>
        </m:r>
        <m:r>
          <m:rPr>
            <m:sty m:val="p"/>
          </m:rPr>
          <m:t>≤</m:t>
        </m:r>
        <m:r>
          <m:t>1</m:t>
        </m:r>
        <m:r>
          <m:rPr>
            <m:sty m:val="p"/>
          </m:rPr>
          <m:t>/</m:t>
        </m:r>
        <m:r>
          <m:t>8</m:t>
        </m:r>
      </m:oMath>
      <w:r>
        <w:t xml:space="preserve">. Define</w:t>
      </w:r>
    </w:p>
    <w:p>
      <w:pPr>
        <w:pStyle w:val="BodyText"/>
        <w:widowControl/>
      </w:pPr>
      <m:oMathPara>
        <m:oMathParaPr>
          <m:jc m:val="center"/>
        </m:oMathParaPr>
        <m:oMath>
          <m:sSub>
            <m:e>
              <m:r>
                <m:t>z</m:t>
              </m:r>
            </m:e>
            <m:sub>
              <m:r>
                <m:rPr>
                  <m:sty m:val="p"/>
                  <m:nor/>
                </m:rPr>
                <m:t>+</m:t>
              </m:r>
            </m:sub>
          </m:sSub>
          <m:r>
            <m:rPr>
              <m:sty m:val="p"/>
            </m:rPr>
            <m:t>=</m:t>
          </m:r>
          <m:r>
            <m:t>1</m:t>
          </m:r>
          <m:r>
            <m:rPr>
              <m:sty m:val="p"/>
            </m:rPr>
            <m:t>+</m:t>
          </m:r>
          <m:r>
            <m:t>v</m:t>
          </m:r>
          <m:r>
            <m:rPr>
              <m:sty m:val="p"/>
            </m:rPr>
            <m:t>,</m:t>
          </m:r>
          <m:r>
            <m:t> </m:t>
          </m:r>
          <m:sSub>
            <m:e>
              <m:r>
                <m:t>z</m:t>
              </m:r>
            </m:e>
            <m:sub>
              <m:r>
                <m:rPr>
                  <m:sty m:val="p"/>
                  <m:nor/>
                </m:rPr>
                <m:t>−</m:t>
              </m:r>
            </m:sub>
          </m:sSub>
          <m:r>
            <m:rPr>
              <m:sty m:val="p"/>
            </m:rPr>
            <m:t>=</m:t>
          </m:r>
          <m:r>
            <m:t>1</m:t>
          </m:r>
          <m:r>
            <m:rPr>
              <m:sty m:val="p"/>
            </m:rPr>
            <m:t>−</m:t>
          </m:r>
          <m:r>
            <m:t>v</m:t>
          </m:r>
          <m:r>
            <m:rPr>
              <m:sty m:val="p"/>
            </m:rPr>
            <m:t>,</m:t>
          </m:r>
          <m:r>
            <m:t>  </m:t>
          </m:r>
          <m:sSub>
            <m:e>
              <m:r>
                <m:t>p</m:t>
              </m:r>
            </m:e>
            <m:sub>
              <m:r>
                <m:rPr>
                  <m:sty m:val="p"/>
                </m:rPr>
                <m:t>±</m:t>
              </m:r>
            </m:sub>
          </m:sSub>
          <m:r>
            <m:rPr>
              <m:sty m:val="p"/>
            </m:rPr>
            <m:t>=</m:t>
          </m:r>
          <m:sSubSup>
            <m:e>
              <m:r>
                <m:t>z</m:t>
              </m:r>
            </m:e>
            <m:sub>
              <m:r>
                <m:rPr>
                  <m:sty m:val="p"/>
                </m:rPr>
                <m:t>±</m:t>
              </m:r>
            </m:sub>
            <m:sup>
              <m:r>
                <m:t>2</m:t>
              </m:r>
            </m:sup>
          </m:sSubSup>
          <m:r>
            <m:rPr>
              <m:sty m:val="p"/>
            </m:rPr>
            <m:t>+</m:t>
          </m:r>
          <m:r>
            <m:t>r</m:t>
          </m:r>
          <m:r>
            <m:rPr>
              <m:sty m:val="p"/>
            </m:rPr>
            <m:t>.</m:t>
          </m:r>
        </m:oMath>
      </m:oMathPara>
    </w:p>
    <w:p>
      <w:pPr>
        <w:pStyle w:val="FirstParagraph"/>
        <w:widowControl/>
      </w:pPr>
      <w:r>
        <w:t xml:space="preserve">An action observing only the same</w:t>
      </w:r>
      <w:r>
        <w:t xml:space="preserve"> </w:t>
      </w:r>
      <m:oMath>
        <m:r>
          <m:t>r</m:t>
        </m:r>
      </m:oMath>
      <w:r>
        <w:t xml:space="preserve"> </w:t>
      </w:r>
      <w:r>
        <w:t xml:space="preserve">chooses the same scalar</w:t>
      </w:r>
      <w:r>
        <w:t xml:space="preserve"> </w:t>
      </w:r>
      <m:oMath>
        <m:r>
          <m:t>g</m:t>
        </m:r>
      </m:oMath>
      <w:r>
        <w:t xml:space="preserve">. It then has residuals</w:t>
      </w:r>
    </w:p>
    <w:p>
      <w:pPr>
        <w:pStyle w:val="BodyText"/>
        <w:widowControl/>
      </w:pPr>
      <m:oMathPara>
        <m:oMathParaPr>
          <m:jc m:val="center"/>
        </m:oMathParaPr>
        <m:oMath>
          <m:sSub>
            <m:e>
              <m:r>
                <m:t>E</m:t>
              </m:r>
            </m:e>
            <m:sub>
              <m:r>
                <m:rPr>
                  <m:sty m:val="p"/>
                </m:rPr>
                <m:t>±</m:t>
              </m:r>
            </m:sub>
          </m:sSub>
          <m:r>
            <m:rPr>
              <m:sty m:val="p"/>
            </m:rPr>
            <m:t>=</m:t>
          </m:r>
          <m:sSup>
            <m:e>
              <m:r>
                <m:t>g</m:t>
              </m:r>
            </m:e>
            <m:sup>
              <m:r>
                <m:t>2</m:t>
              </m:r>
            </m:sup>
          </m:sSup>
          <m:r>
            <m:rPr>
              <m:sty m:val="p"/>
            </m:rPr>
            <m:t>+</m:t>
          </m:r>
          <m:r>
            <m:t>2</m:t>
          </m:r>
          <m:r>
            <m:t>g</m:t>
          </m:r>
          <m:r>
            <m:rPr>
              <m:sty m:val="p"/>
            </m:rPr>
            <m:t>−</m:t>
          </m:r>
          <m:r>
            <m:t>r</m:t>
          </m:r>
          <m:r>
            <m:rPr>
              <m:sty m:val="p"/>
            </m:rPr>
            <m:t>±</m:t>
          </m:r>
          <m:r>
            <m:t>2</m:t>
          </m:r>
          <m:r>
            <m:t>v</m:t>
          </m:r>
          <m:r>
            <m:t>g</m:t>
          </m:r>
          <m:r>
            <m:rPr>
              <m:sty m:val="p"/>
            </m:rPr>
            <m:t>.</m:t>
          </m:r>
        </m:oMath>
      </m:oMathPara>
    </w:p>
    <w:p>
      <w:pPr>
        <w:pStyle w:val="FirstParagraph"/>
        <w:widowControl/>
      </w:pPr>
      <w:r>
        <w:t xml:space="preserve">If</w:t>
      </w:r>
      <w:r>
        <w:t xml:space="preserve"> </w:t>
      </w:r>
      <m:oMath>
        <m:sSub>
          <m:e>
            <m:r>
              <m:t>E</m:t>
            </m:r>
          </m:e>
          <m:sub>
            <m:r>
              <m:rPr>
                <m:sty m:val="p"/>
                <m:nor/>
              </m:rPr>
              <m:t>+</m:t>
            </m:r>
          </m:sub>
        </m:sSub>
        <m:r>
          <m:rPr>
            <m:sty m:val="p"/>
          </m:rPr>
          <m:t>=</m:t>
        </m:r>
        <m:sSub>
          <m:e>
            <m:r>
              <m:t>E</m:t>
            </m:r>
          </m:e>
          <m:sub>
            <m:r>
              <m:rPr>
                <m:sty m:val="p"/>
                <m:nor/>
              </m:rPr>
              <m:t>−</m:t>
            </m:r>
          </m:sub>
        </m:sSub>
        <m:r>
          <m:rPr>
            <m:sty m:val="p"/>
          </m:rPr>
          <m:t>=</m:t>
        </m:r>
        <m:r>
          <m:t>0</m:t>
        </m:r>
      </m:oMath>
      <w:r>
        <w:t xml:space="preserve">, subtraction gives</w:t>
      </w:r>
      <w:r>
        <w:t xml:space="preserve"> </w:t>
      </w:r>
      <m:oMath>
        <m:r>
          <m:t>4</m:t>
        </m:r>
        <m:r>
          <m:t>v</m:t>
        </m:r>
        <m:r>
          <m:t>g</m:t>
        </m:r>
        <m:r>
          <m:rPr>
            <m:sty m:val="p"/>
          </m:rPr>
          <m:t>=</m:t>
        </m:r>
        <m:r>
          <m:t>0</m:t>
        </m:r>
      </m:oMath>
      <w:r>
        <w:t xml:space="preserve">. As</w:t>
      </w:r>
      <w:r>
        <w:t xml:space="preserve"> </w:t>
      </w:r>
      <m:oMath>
        <m:r>
          <m:t>v</m:t>
        </m:r>
        <m:r>
          <m:rPr>
            <m:sty m:val="p"/>
          </m:rPr>
          <m:t>&gt;</m:t>
        </m:r>
        <m:r>
          <m:t>0</m:t>
        </m:r>
      </m:oMath>
      <w:r>
        <w:t xml:space="preserve">,</w:t>
      </w:r>
      <w:r>
        <w:t xml:space="preserve"> </w:t>
      </w:r>
      <m:oMath>
        <m:r>
          <m:t>g</m:t>
        </m:r>
        <m:r>
          <m:rPr>
            <m:sty m:val="p"/>
          </m:rPr>
          <m:t>=</m:t>
        </m:r>
        <m:r>
          <m:t>0</m:t>
        </m:r>
      </m:oMath>
      <w:r>
        <w:t xml:space="preserve">, which gives</w:t>
      </w:r>
      <w:r>
        <w:t xml:space="preserve"> </w:t>
      </w:r>
      <m:oMath>
        <m:sSub>
          <m:e>
            <m:r>
              <m:t>E</m:t>
            </m:r>
          </m:e>
          <m:sub>
            <m:r>
              <m:rPr>
                <m:sty m:val="p"/>
              </m:rPr>
              <m:t>±</m:t>
            </m:r>
          </m:sub>
        </m:sSub>
        <m:r>
          <m:rPr>
            <m:sty m:val="p"/>
          </m:rPr>
          <m:t>=</m:t>
        </m:r>
        <m:r>
          <m:rPr>
            <m:sty m:val="p"/>
          </m:rPr>
          <m:t>−</m:t>
        </m:r>
        <m:r>
          <m:t>r</m:t>
        </m:r>
        <m:r>
          <m:rPr>
            <m:sty m:val="p"/>
          </m:rPr>
          <m:t>≠</m:t>
        </m:r>
        <m:r>
          <m:t>0</m:t>
        </m:r>
      </m:oMath>
      <w:r>
        <w:t xml:space="preserve">, a contradiction. What is equal is the declared summary</w:t>
      </w:r>
      <w:r>
        <w:t xml:space="preserve"> </w:t>
      </w:r>
      <m:oMath>
        <m:r>
          <m:t>r</m:t>
        </m:r>
      </m:oMath>
      <w:r>
        <w:t xml:space="preserve">, not the targets</w:t>
      </w:r>
      <w:r>
        <w:t xml:space="preserve"> </w:t>
      </w:r>
      <m:oMath>
        <m:sSub>
          <m:e>
            <m:r>
              <m:t>p</m:t>
            </m:r>
          </m:e>
          <m:sub>
            <m:r>
              <m:rPr>
                <m:sty m:val="p"/>
              </m:rPr>
              <m:t>±</m:t>
            </m:r>
          </m:sub>
        </m:sSub>
      </m:oMath>
      <w:r>
        <w:t xml:space="preserve">, the actual states or the full causal conditions. The choice of a deterministic source-only action is a stated restriction, not a description inferred from model outputs.</w:t>
      </w:r>
    </w:p>
    <w:bookmarkEnd w:id="11"/>
    <w:bookmarkStart w:id="12" w:name="exact-minimax-value"/>
    <w:p>
      <w:pPr>
        <w:pStyle w:val="Heading3"/>
        <w:keepNext/>
        <w:widowControl/>
      </w:pPr>
      <w:r>
        <w:rPr>
          <w:rFonts w:ascii="Times New Roman" w:hAnsi="Times New Roman"/>
          <w:b/>
          <w:color w:val="000000"/>
          <w:sz w:val="24"/>
        </w:rPr>
        <w:t xml:space="preserve">2.3 Exact minimax value</w:t>
      </w:r>
    </w:p>
    <w:p>
      <w:pPr>
        <w:pStyle w:val="FirstParagraph"/>
        <w:widowControl/>
      </w:pPr>
      <w:r>
        <w:t xml:space="preserve">For any real numbers</w:t>
      </w:r>
      <w:r>
        <w:t xml:space="preserve"> </w:t>
      </w:r>
      <m:oMath>
        <m:r>
          <m:t>A</m:t>
        </m:r>
        <m:r>
          <m:rPr>
            <m:sty m:val="p"/>
          </m:rPr>
          <m:t>,</m:t>
        </m:r>
        <m:r>
          <m:t>B</m:t>
        </m:r>
      </m:oMath>
      <w:r>
        <w:t xml:space="preserve">,</w:t>
      </w:r>
      <w:r>
        <w:t xml:space="preserve"> </w:t>
      </w:r>
      <m:oMath>
        <m:r>
          <m:rPr>
            <m:sty m:val="p"/>
            <m:nor/>
          </m:rPr>
          <m:t>max</m:t>
        </m:r>
        <m:r>
          <m:rPr>
            <m:sty m:val="p"/>
          </m:rPr>
          <m:t>(</m:t>
        </m:r>
        <m:r>
          <m:rPr>
            <m:sty m:val="p"/>
          </m:rPr>
          <m:t>|</m:t>
        </m:r>
        <m:r>
          <m:t>A</m:t>
        </m:r>
        <m:r>
          <m:rPr>
            <m:sty m:val="p"/>
          </m:rPr>
          <m:t>+</m:t>
        </m:r>
        <m:r>
          <m:t>B</m:t>
        </m:r>
        <m:r>
          <m:rPr>
            <m:sty m:val="p"/>
          </m:rPr>
          <m:t>|</m:t>
        </m:r>
        <m:r>
          <m:rPr>
            <m:sty m:val="p"/>
          </m:rPr>
          <m:t>,</m:t>
        </m:r>
        <m:r>
          <m:rPr>
            <m:sty m:val="p"/>
          </m:rPr>
          <m:t>|</m:t>
        </m:r>
        <m:r>
          <m:t>A</m:t>
        </m:r>
        <m:r>
          <m:rPr>
            <m:sty m:val="p"/>
          </m:rPr>
          <m:t>−</m:t>
        </m:r>
        <m:r>
          <m:t>B</m:t>
        </m:r>
        <m:r>
          <m:rPr>
            <m:sty m:val="p"/>
          </m:rPr>
          <m:t>|</m:t>
        </m:r>
        <m:r>
          <m:rPr>
            <m:sty m:val="p"/>
          </m:rPr>
          <m:t>)</m:t>
        </m:r>
        <m:r>
          <m:rPr>
            <m:sty m:val="p"/>
          </m:rPr>
          <m:t>=</m:t>
        </m:r>
        <m:r>
          <m:rPr>
            <m:sty m:val="p"/>
          </m:rPr>
          <m:t>|</m:t>
        </m:r>
        <m:r>
          <m:t>A</m:t>
        </m:r>
        <m:r>
          <m:rPr>
            <m:sty m:val="p"/>
          </m:rPr>
          <m:t>|</m:t>
        </m:r>
        <m:r>
          <m:rPr>
            <m:sty m:val="p"/>
          </m:rPr>
          <m:t>+</m:t>
        </m:r>
        <m:r>
          <m:rPr>
            <m:sty m:val="p"/>
          </m:rPr>
          <m:t>|</m:t>
        </m:r>
        <m:r>
          <m:t>B</m:t>
        </m:r>
        <m:r>
          <m:rPr>
            <m:sty m:val="p"/>
          </m:rPr>
          <m:t>|</m:t>
        </m:r>
      </m:oMath>
      <w:r>
        <w:t xml:space="preserve">. Hence</w:t>
      </w:r>
    </w:p>
    <w:p>
      <w:pPr>
        <w:pStyle w:val="BodyText"/>
        <w:widowControl/>
      </w:pPr>
      <m:oMathPara>
        <m:oMathParaPr>
          <m:jc m:val="center"/>
        </m:oMathParaPr>
        <m:oMath>
          <m:r>
            <m:t>F</m:t>
          </m:r>
          <m:r>
            <m:rPr>
              <m:sty m:val="p"/>
            </m:rPr>
            <m:t>(</m:t>
          </m:r>
          <m:r>
            <m:t>g</m:t>
          </m:r>
          <m:r>
            <m:rPr>
              <m:sty m:val="p"/>
            </m:rPr>
            <m:t>)</m:t>
          </m:r>
          <m:box>
            <m:boxPr>
              <m:opEmu m:val="on"/>
            </m:boxPr>
            <m:e>
              <m:r>
                <m:rPr>
                  <m:sty m:val="p"/>
                </m:rPr>
                <m:t>:=</m:t>
              </m:r>
            </m:e>
          </m:box>
          <m:r>
            <m:rPr>
              <m:sty m:val="p"/>
              <m:nor/>
            </m:rPr>
            <m:t>max</m:t>
          </m:r>
          <m:r>
            <m:rPr>
              <m:sty m:val="p"/>
            </m:rPr>
            <m:t>(</m:t>
          </m:r>
          <m:r>
            <m:rPr>
              <m:sty m:val="p"/>
            </m:rPr>
            <m:t>|</m:t>
          </m:r>
          <m:sSub>
            <m:e>
              <m:r>
                <m:t>E</m:t>
              </m:r>
            </m:e>
            <m:sub>
              <m:r>
                <m:rPr>
                  <m:sty m:val="p"/>
                  <m:nor/>
                </m:rPr>
                <m:t>+</m:t>
              </m:r>
            </m:sub>
          </m:sSub>
          <m:r>
            <m:rPr>
              <m:sty m:val="p"/>
            </m:rPr>
            <m:t>|</m:t>
          </m:r>
          <m:r>
            <m:rPr>
              <m:sty m:val="p"/>
            </m:rPr>
            <m:t>,</m:t>
          </m:r>
          <m:r>
            <m:rPr>
              <m:sty m:val="p"/>
            </m:rPr>
            <m:t>|</m:t>
          </m:r>
          <m:sSub>
            <m:e>
              <m:r>
                <m:t>E</m:t>
              </m:r>
            </m:e>
            <m:sub>
              <m:r>
                <m:rPr>
                  <m:sty m:val="p"/>
                  <m:nor/>
                </m:rPr>
                <m:t>−</m:t>
              </m:r>
            </m:sub>
          </m:sSub>
          <m:r>
            <m:rPr>
              <m:sty m:val="p"/>
            </m:rPr>
            <m:t>|</m:t>
          </m:r>
          <m:r>
            <m:rPr>
              <m:sty m:val="p"/>
            </m:rPr>
            <m:t>)</m:t>
          </m:r>
          <m:r>
            <m:rPr>
              <m:sty m:val="p"/>
            </m:rPr>
            <m:t>=</m:t>
          </m:r>
          <m:r>
            <m:rPr>
              <m:sty m:val="p"/>
            </m:rPr>
            <m:t>|</m:t>
          </m:r>
          <m:sSup>
            <m:e>
              <m:r>
                <m:t>g</m:t>
              </m:r>
            </m:e>
            <m:sup>
              <m:r>
                <m:t>2</m:t>
              </m:r>
            </m:sup>
          </m:sSup>
          <m:r>
            <m:rPr>
              <m:sty m:val="p"/>
            </m:rPr>
            <m:t>+</m:t>
          </m:r>
          <m:r>
            <m:t>2</m:t>
          </m:r>
          <m:r>
            <m:t>g</m:t>
          </m:r>
          <m:r>
            <m:rPr>
              <m:sty m:val="p"/>
            </m:rPr>
            <m:t>−</m:t>
          </m:r>
          <m:r>
            <m:t>r</m:t>
          </m:r>
          <m:r>
            <m:rPr>
              <m:sty m:val="p"/>
            </m:rPr>
            <m:t>|</m:t>
          </m:r>
          <m:r>
            <m:rPr>
              <m:sty m:val="p"/>
            </m:rPr>
            <m:t>+</m:t>
          </m:r>
          <m:r>
            <m:t>2</m:t>
          </m:r>
          <m:r>
            <m:t>v</m:t>
          </m:r>
          <m:r>
            <m:rPr>
              <m:sty m:val="p"/>
            </m:rPr>
            <m:t>|</m:t>
          </m:r>
          <m:r>
            <m:t>g</m:t>
          </m:r>
          <m:r>
            <m:rPr>
              <m:sty m:val="p"/>
            </m:rPr>
            <m:t>|</m:t>
          </m:r>
          <m:r>
            <m:rPr>
              <m:sty m:val="p"/>
            </m:rPr>
            <m:t>.</m:t>
          </m:r>
        </m:oMath>
      </m:oMathPara>
    </w:p>
    <w:p>
      <w:pPr>
        <w:pStyle w:val="FirstParagraph"/>
        <w:widowControl/>
      </w:pPr>
      <w:r>
        <w:t xml:space="preserve">Put</w:t>
      </w:r>
      <w:r>
        <w:t xml:space="preserve"> </w:t>
      </w:r>
      <m:oMath>
        <m:sSub>
          <m:e>
            <m:r>
              <m:t>g</m:t>
            </m:r>
          </m:e>
          <m:sub>
            <m:r>
              <m:t>0</m:t>
            </m:r>
          </m:sub>
        </m:sSub>
        <m:r>
          <m:rPr>
            <m:sty m:val="p"/>
          </m:rPr>
          <m:t>=</m:t>
        </m:r>
        <m:rad>
          <m:radPr>
            <m:degHide m:val="on"/>
          </m:radPr>
          <m:deg/>
          <m:e>
            <m:r>
              <m:t>1</m:t>
            </m:r>
            <m:r>
              <m:rPr>
                <m:sty m:val="p"/>
              </m:rPr>
              <m:t>+</m:t>
            </m:r>
            <m:r>
              <m:t>r</m:t>
            </m:r>
          </m:e>
        </m:rad>
        <m:r>
          <m:rPr>
            <m:sty m:val="p"/>
          </m:rPr>
          <m:t>−</m:t>
        </m:r>
        <m:r>
          <m:t>1</m:t>
        </m:r>
        <m:r>
          <m:rPr>
            <m:sty m:val="p"/>
          </m:rPr>
          <m:t>&gt;</m:t>
        </m:r>
        <m:r>
          <m:t>0</m:t>
        </m:r>
      </m:oMath>
      <w:r>
        <w:t xml:space="preserve">. For</w:t>
      </w:r>
      <w:r>
        <w:t xml:space="preserve"> </w:t>
      </w:r>
      <m:oMath>
        <m:r>
          <m:t>g</m:t>
        </m:r>
        <m:r>
          <m:rPr>
            <m:sty m:val="p"/>
          </m:rPr>
          <m:t>≥</m:t>
        </m:r>
        <m:r>
          <m:t>0</m:t>
        </m:r>
      </m:oMath>
      <w:r>
        <w:t xml:space="preserve">, the quadratic term changes sign only at</w:t>
      </w:r>
      <w:r>
        <w:t xml:space="preserve"> </w:t>
      </w:r>
      <m:oMath>
        <m:sSub>
          <m:e>
            <m:r>
              <m:t>g</m:t>
            </m:r>
          </m:e>
          <m:sub>
            <m:r>
              <m:t>0</m:t>
            </m:r>
          </m:sub>
        </m:sSub>
      </m:oMath>
      <w:r>
        <w:t xml:space="preserve">. For</w:t>
      </w:r>
      <w:r>
        <w:t xml:space="preserve"> </w:t>
      </w:r>
      <m:oMath>
        <m:r>
          <m:t>0</m:t>
        </m:r>
        <m:r>
          <m:rPr>
            <m:sty m:val="p"/>
          </m:rPr>
          <m:t>&lt;</m:t>
        </m:r>
        <m:r>
          <m:t>g</m:t>
        </m:r>
        <m:r>
          <m:rPr>
            <m:sty m:val="p"/>
          </m:rPr>
          <m:t>&lt;</m:t>
        </m:r>
        <m:sSub>
          <m:e>
            <m:r>
              <m:t>g</m:t>
            </m:r>
          </m:e>
          <m:sub>
            <m:r>
              <m:t>0</m:t>
            </m:r>
          </m:sub>
        </m:sSub>
      </m:oMath>
      <w:r>
        <w:t xml:space="preserve">,</w:t>
      </w:r>
    </w:p>
    <w:p>
      <w:pPr>
        <w:pStyle w:val="BodyText"/>
        <w:widowControl/>
      </w:pPr>
      <m:oMathPara>
        <m:oMathParaPr>
          <m:jc m:val="center"/>
        </m:oMathParaPr>
        <m:oMath>
          <m:sSup>
            <m:e>
              <m:r>
                <m:t>F</m:t>
              </m:r>
            </m:e>
            <m:sup>
              <m:r>
                <m:rPr>
                  <m:sty m:val="p"/>
                </m:rPr>
                <m:t>′</m:t>
              </m:r>
            </m:sup>
          </m:sSup>
          <m:r>
            <m:rPr>
              <m:sty m:val="p"/>
            </m:rPr>
            <m:t>(</m:t>
          </m:r>
          <m:r>
            <m:t>g</m:t>
          </m:r>
          <m:r>
            <m:rPr>
              <m:sty m:val="p"/>
            </m:rPr>
            <m:t>)</m:t>
          </m:r>
          <m:r>
            <m:rPr>
              <m:sty m:val="p"/>
            </m:rPr>
            <m:t>=</m:t>
          </m:r>
          <m:r>
            <m:rPr>
              <m:sty m:val="p"/>
            </m:rPr>
            <m:t>−</m:t>
          </m:r>
          <m:r>
            <m:t>2</m:t>
          </m:r>
          <m:r>
            <m:t>g</m:t>
          </m:r>
          <m:r>
            <m:rPr>
              <m:sty m:val="p"/>
            </m:rPr>
            <m:t>−</m:t>
          </m:r>
          <m:r>
            <m:t>2</m:t>
          </m:r>
          <m:r>
            <m:rPr>
              <m:sty m:val="p"/>
            </m:rPr>
            <m:t>+</m:t>
          </m:r>
          <m:r>
            <m:t>2</m:t>
          </m:r>
          <m:r>
            <m:t>v</m:t>
          </m:r>
          <m:r>
            <m:rPr>
              <m:sty m:val="p"/>
            </m:rPr>
            <m:t>&lt;</m:t>
          </m:r>
          <m:r>
            <m:t>0</m:t>
          </m:r>
          <m:r>
            <m:rPr>
              <m:sty m:val="p"/>
            </m:rPr>
            <m:t>,</m:t>
          </m:r>
        </m:oMath>
      </m:oMathPara>
    </w:p>
    <w:p>
      <w:pPr>
        <w:pStyle w:val="FirstParagraph"/>
        <w:widowControl/>
      </w:pPr>
      <w:r>
        <w:t xml:space="preserve">and for</w:t>
      </w:r>
      <w:r>
        <w:t xml:space="preserve"> </w:t>
      </w:r>
      <m:oMath>
        <m:r>
          <m:t>g</m:t>
        </m:r>
        <m:r>
          <m:rPr>
            <m:sty m:val="p"/>
          </m:rPr>
          <m:t>&gt;</m:t>
        </m:r>
        <m:sSub>
          <m:e>
            <m:r>
              <m:t>g</m:t>
            </m:r>
          </m:e>
          <m:sub>
            <m:r>
              <m:t>0</m:t>
            </m:r>
          </m:sub>
        </m:sSub>
      </m:oMath>
      <w:r>
        <w:t xml:space="preserve">,</w:t>
      </w:r>
    </w:p>
    <w:p>
      <w:pPr>
        <w:pStyle w:val="BodyText"/>
        <w:widowControl/>
      </w:pPr>
      <m:oMathPara>
        <m:oMathParaPr>
          <m:jc m:val="center"/>
        </m:oMathParaPr>
        <m:oMath>
          <m:sSup>
            <m:e>
              <m:r>
                <m:t>F</m:t>
              </m:r>
            </m:e>
            <m:sup>
              <m:r>
                <m:rPr>
                  <m:sty m:val="p"/>
                </m:rPr>
                <m:t>′</m:t>
              </m:r>
            </m:sup>
          </m:sSup>
          <m:r>
            <m:rPr>
              <m:sty m:val="p"/>
            </m:rPr>
            <m:t>(</m:t>
          </m:r>
          <m:r>
            <m:t>g</m:t>
          </m:r>
          <m:r>
            <m:rPr>
              <m:sty m:val="p"/>
            </m:rPr>
            <m:t>)</m:t>
          </m:r>
          <m:r>
            <m:rPr>
              <m:sty m:val="p"/>
            </m:rPr>
            <m:t>=</m:t>
          </m:r>
          <m:r>
            <m:t>2</m:t>
          </m:r>
          <m:r>
            <m:t>g</m:t>
          </m:r>
          <m:r>
            <m:rPr>
              <m:sty m:val="p"/>
            </m:rPr>
            <m:t>+</m:t>
          </m:r>
          <m:r>
            <m:t>2</m:t>
          </m:r>
          <m:r>
            <m:rPr>
              <m:sty m:val="p"/>
            </m:rPr>
            <m:t>+</m:t>
          </m:r>
          <m:r>
            <m:t>2</m:t>
          </m:r>
          <m:r>
            <m:t>v</m:t>
          </m:r>
          <m:r>
            <m:rPr>
              <m:sty m:val="p"/>
            </m:rPr>
            <m:t>&gt;</m:t>
          </m:r>
          <m:r>
            <m:t>0</m:t>
          </m:r>
          <m:r>
            <m:rPr>
              <m:sty m:val="p"/>
            </m:rPr>
            <m:t>.</m:t>
          </m:r>
        </m:oMath>
      </m:oMathPara>
    </w:p>
    <w:p>
      <w:pPr>
        <w:pStyle w:val="FirstParagraph"/>
        <w:widowControl/>
      </w:pPr>
      <w:r>
        <w:t xml:space="preserve">Thus</w:t>
      </w:r>
      <w:r>
        <w:t xml:space="preserve"> </w:t>
      </w:r>
      <m:oMath>
        <m:r>
          <m:t>F</m:t>
        </m:r>
      </m:oMath>
      <w:r>
        <w:t xml:space="preserve"> </w:t>
      </w:r>
      <w:r>
        <w:t xml:space="preserve">is minimised on that half-line at</w:t>
      </w:r>
      <w:r>
        <w:t xml:space="preserve"> </w:t>
      </w:r>
      <m:oMath>
        <m:sSub>
          <m:e>
            <m:r>
              <m:t>g</m:t>
            </m:r>
          </m:e>
          <m:sub>
            <m:r>
              <m:t>0</m:t>
            </m:r>
          </m:sub>
        </m:sSub>
      </m:oMath>
      <w:r>
        <w:t xml:space="preserve">, with value</w:t>
      </w:r>
      <w:r>
        <w:t xml:space="preserve"> </w:t>
      </w:r>
      <m:oMath>
        <m:r>
          <m:t>2</m:t>
        </m:r>
        <m:r>
          <m:t>v</m:t>
        </m:r>
        <m:sSub>
          <m:e>
            <m:r>
              <m:t>g</m:t>
            </m:r>
          </m:e>
          <m:sub>
            <m:r>
              <m:t>0</m:t>
            </m:r>
          </m:sub>
        </m:sSub>
      </m:oMath>
      <w:r>
        <w:t xml:space="preserve">. For</w:t>
      </w:r>
      <w:r>
        <w:t xml:space="preserve"> </w:t>
      </w:r>
      <m:oMath>
        <m:r>
          <m:t>g</m:t>
        </m:r>
        <m:r>
          <m:rPr>
            <m:sty m:val="p"/>
          </m:rPr>
          <m:t>∈</m:t>
        </m:r>
        <m:r>
          <m:rPr>
            <m:sty m:val="p"/>
          </m:rPr>
          <m:t>[</m:t>
        </m:r>
        <m:r>
          <m:rPr>
            <m:sty m:val="p"/>
          </m:rPr>
          <m:t>−</m:t>
        </m:r>
        <m:r>
          <m:t>2</m:t>
        </m:r>
        <m:r>
          <m:rPr>
            <m:sty m:val="p"/>
          </m:rPr>
          <m:t>,</m:t>
        </m:r>
        <m:r>
          <m:t>0</m:t>
        </m:r>
        <m:r>
          <m:rPr>
            <m:sty m:val="p"/>
          </m:rPr>
          <m:t>]</m:t>
        </m:r>
      </m:oMath>
      <w:r>
        <w:t xml:space="preserve">,</w:t>
      </w:r>
      <w:r>
        <w:t xml:space="preserve"> </w:t>
      </w:r>
      <m:oMath>
        <m:sSup>
          <m:e>
            <m:r>
              <m:t>g</m:t>
            </m:r>
          </m:e>
          <m:sup>
            <m:r>
              <m:t>2</m:t>
            </m:r>
          </m:sup>
        </m:sSup>
        <m:r>
          <m:rPr>
            <m:sty m:val="p"/>
          </m:rPr>
          <m:t>+</m:t>
        </m:r>
        <m:r>
          <m:t>2</m:t>
        </m:r>
        <m:r>
          <m:t>g</m:t>
        </m:r>
        <m:r>
          <m:rPr>
            <m:sty m:val="p"/>
          </m:rPr>
          <m:t>≤</m:t>
        </m:r>
        <m:r>
          <m:t>0</m:t>
        </m:r>
      </m:oMath>
      <w:r>
        <w:t xml:space="preserve">, so</w:t>
      </w:r>
      <w:r>
        <w:t xml:space="preserve"> </w:t>
      </w:r>
      <m:oMath>
        <m:r>
          <m:t>F</m:t>
        </m:r>
        <m:r>
          <m:rPr>
            <m:sty m:val="p"/>
          </m:rPr>
          <m:t>(</m:t>
        </m:r>
        <m:r>
          <m:t>g</m:t>
        </m:r>
        <m:r>
          <m:rPr>
            <m:sty m:val="p"/>
          </m:rPr>
          <m:t>)</m:t>
        </m:r>
        <m:r>
          <m:rPr>
            <m:sty m:val="p"/>
          </m:rPr>
          <m:t>≥</m:t>
        </m:r>
        <m:r>
          <m:t>r</m:t>
        </m:r>
      </m:oMath>
      <w:r>
        <w:t xml:space="preserve">. Since</w:t>
      </w:r>
      <w:r>
        <w:t xml:space="preserve"> </w:t>
      </w:r>
      <m:oMath>
        <m:r>
          <m:t>r</m:t>
        </m:r>
        <m:r>
          <m:rPr>
            <m:sty m:val="p"/>
          </m:rPr>
          <m:t>=</m:t>
        </m:r>
        <m:sSub>
          <m:e>
            <m:r>
              <m:t>g</m:t>
            </m:r>
          </m:e>
          <m:sub>
            <m:r>
              <m:t>0</m:t>
            </m:r>
          </m:sub>
        </m:sSub>
        <m:r>
          <m:rPr>
            <m:sty m:val="p"/>
          </m:rPr>
          <m:t>(</m:t>
        </m:r>
        <m:sSub>
          <m:e>
            <m:r>
              <m:t>g</m:t>
            </m:r>
          </m:e>
          <m:sub>
            <m:r>
              <m:t>0</m:t>
            </m:r>
          </m:sub>
        </m:sSub>
        <m:r>
          <m:rPr>
            <m:sty m:val="p"/>
          </m:rPr>
          <m:t>+</m:t>
        </m:r>
        <m:r>
          <m:t>2</m:t>
        </m:r>
        <m:r>
          <m:rPr>
            <m:sty m:val="p"/>
          </m:rPr>
          <m:t>)</m:t>
        </m:r>
        <m:r>
          <m:rPr>
            <m:sty m:val="p"/>
          </m:rPr>
          <m:t>&gt;</m:t>
        </m:r>
        <m:r>
          <m:t>2</m:t>
        </m:r>
        <m:r>
          <m:t>v</m:t>
        </m:r>
        <m:sSub>
          <m:e>
            <m:r>
              <m:t>g</m:t>
            </m:r>
          </m:e>
          <m:sub>
            <m:r>
              <m:t>0</m:t>
            </m:r>
          </m:sub>
        </m:sSub>
      </m:oMath>
      <w:r>
        <w:t xml:space="preserve">, this interval cannot improve the minimum. For</w:t>
      </w:r>
      <w:r>
        <w:t xml:space="preserve"> </w:t>
      </w:r>
      <m:oMath>
        <m:r>
          <m:t>g</m:t>
        </m:r>
        <m:r>
          <m:rPr>
            <m:sty m:val="p"/>
          </m:rPr>
          <m:t>≤</m:t>
        </m:r>
        <m:r>
          <m:rPr>
            <m:sty m:val="p"/>
          </m:rPr>
          <m:t>−</m:t>
        </m:r>
        <m:r>
          <m:t>2</m:t>
        </m:r>
      </m:oMath>
      <w:r>
        <w:t xml:space="preserve">, write</w:t>
      </w:r>
      <w:r>
        <w:t xml:space="preserve"> </w:t>
      </w:r>
      <m:oMath>
        <m:r>
          <m:t>h</m:t>
        </m:r>
        <m:r>
          <m:rPr>
            <m:sty m:val="p"/>
          </m:rPr>
          <m:t>=</m:t>
        </m:r>
        <m:r>
          <m:rPr>
            <m:sty m:val="p"/>
          </m:rPr>
          <m:t>−</m:t>
        </m:r>
        <m:r>
          <m:t>g</m:t>
        </m:r>
        <m:r>
          <m:rPr>
            <m:sty m:val="p"/>
          </m:rPr>
          <m:t>−</m:t>
        </m:r>
        <m:r>
          <m:t>2</m:t>
        </m:r>
        <m:r>
          <m:rPr>
            <m:sty m:val="p"/>
          </m:rPr>
          <m:t>≥</m:t>
        </m:r>
        <m:r>
          <m:t>0</m:t>
        </m:r>
      </m:oMath>
      <w:r>
        <w:t xml:space="preserve">. Then</w:t>
      </w:r>
      <w:r>
        <w:t xml:space="preserve"> </w:t>
      </w:r>
      <m:oMath>
        <m:sSup>
          <m:e>
            <m:r>
              <m:t>g</m:t>
            </m:r>
          </m:e>
          <m:sup>
            <m:r>
              <m:t>2</m:t>
            </m:r>
          </m:sup>
        </m:sSup>
        <m:r>
          <m:rPr>
            <m:sty m:val="p"/>
          </m:rPr>
          <m:t>+</m:t>
        </m:r>
        <m:r>
          <m:t>2</m:t>
        </m:r>
        <m:r>
          <m:t>g</m:t>
        </m:r>
        <m:r>
          <m:rPr>
            <m:sty m:val="p"/>
          </m:rPr>
          <m:t>=</m:t>
        </m:r>
        <m:sSup>
          <m:e>
            <m:r>
              <m:t>h</m:t>
            </m:r>
          </m:e>
          <m:sup>
            <m:r>
              <m:t>2</m:t>
            </m:r>
          </m:sup>
        </m:sSup>
        <m:r>
          <m:rPr>
            <m:sty m:val="p"/>
          </m:rPr>
          <m:t>+</m:t>
        </m:r>
        <m:r>
          <m:t>2</m:t>
        </m:r>
        <m:r>
          <m:t>h</m:t>
        </m:r>
      </m:oMath>
      <w:r>
        <w:t xml:space="preserve"> </w:t>
      </w:r>
      <w:r>
        <w:t xml:space="preserve">and</w:t>
      </w:r>
    </w:p>
    <w:p>
      <w:pPr>
        <w:pStyle w:val="BodyText"/>
        <w:widowControl/>
      </w:pPr>
      <m:oMathPara>
        <m:oMathParaPr>
          <m:jc m:val="center"/>
        </m:oMathParaPr>
        <m:oMath>
          <m:r>
            <m:t>F</m:t>
          </m:r>
          <m:r>
            <m:rPr>
              <m:sty m:val="p"/>
            </m:rPr>
            <m:t>(</m:t>
          </m:r>
          <m:r>
            <m:t>g</m:t>
          </m:r>
          <m:r>
            <m:rPr>
              <m:sty m:val="p"/>
            </m:rPr>
            <m:t>)</m:t>
          </m:r>
          <m:r>
            <m:rPr>
              <m:sty m:val="p"/>
            </m:rPr>
            <m:t>=</m:t>
          </m:r>
          <m:r>
            <m:rPr>
              <m:sty m:val="p"/>
            </m:rPr>
            <m:t>|</m:t>
          </m:r>
          <m:sSup>
            <m:e>
              <m:r>
                <m:t>h</m:t>
              </m:r>
            </m:e>
            <m:sup>
              <m:r>
                <m:t>2</m:t>
              </m:r>
            </m:sup>
          </m:sSup>
          <m:r>
            <m:rPr>
              <m:sty m:val="p"/>
            </m:rPr>
            <m:t>+</m:t>
          </m:r>
          <m:r>
            <m:t>2</m:t>
          </m:r>
          <m:r>
            <m:t>h</m:t>
          </m:r>
          <m:r>
            <m:rPr>
              <m:sty m:val="p"/>
            </m:rPr>
            <m:t>−</m:t>
          </m:r>
          <m:r>
            <m:t>r</m:t>
          </m:r>
          <m:r>
            <m:rPr>
              <m:sty m:val="p"/>
            </m:rPr>
            <m:t>|</m:t>
          </m:r>
          <m:r>
            <m:rPr>
              <m:sty m:val="p"/>
            </m:rPr>
            <m:t>+</m:t>
          </m:r>
          <m:r>
            <m:t>2</m:t>
          </m:r>
          <m:r>
            <m:t>v</m:t>
          </m:r>
          <m:r>
            <m:t>h</m:t>
          </m:r>
          <m:r>
            <m:rPr>
              <m:sty m:val="p"/>
            </m:rPr>
            <m:t>+</m:t>
          </m:r>
          <m:r>
            <m:t>4</m:t>
          </m:r>
          <m:r>
            <m:t>v</m:t>
          </m:r>
          <m:r>
            <m:rPr>
              <m:sty m:val="p"/>
            </m:rPr>
            <m:t>=</m:t>
          </m:r>
          <m:r>
            <m:t>F</m:t>
          </m:r>
          <m:r>
            <m:rPr>
              <m:sty m:val="p"/>
            </m:rPr>
            <m:t>(</m:t>
          </m:r>
          <m:r>
            <m:t>h</m:t>
          </m:r>
          <m:r>
            <m:rPr>
              <m:sty m:val="p"/>
            </m:rPr>
            <m:t>)</m:t>
          </m:r>
          <m:r>
            <m:rPr>
              <m:sty m:val="p"/>
            </m:rPr>
            <m:t>+</m:t>
          </m:r>
          <m:r>
            <m:t>4</m:t>
          </m:r>
          <m:r>
            <m:t>v</m:t>
          </m:r>
          <m:r>
            <m:rPr>
              <m:sty m:val="p"/>
            </m:rPr>
            <m:t>.</m:t>
          </m:r>
        </m:oMath>
      </m:oMathPara>
    </w:p>
    <w:p>
      <w:pPr>
        <w:pStyle w:val="FirstParagraph"/>
        <w:widowControl/>
      </w:pPr>
      <w:r>
        <w:t xml:space="preserve">Consequently</w:t>
      </w:r>
    </w:p>
    <w:p>
      <w:pPr>
        <w:pStyle w:val="BodyText"/>
        <w:widowControl/>
      </w:pPr>
      <m:oMathPara>
        <m:oMathParaPr>
          <m:jc m:val="center"/>
        </m:oMathParaPr>
        <m:oMath>
          <m:limLow>
            <m:e>
              <m:r>
                <m:rPr>
                  <m:sty m:val="p"/>
                </m:rPr>
                <m:t>inf</m:t>
              </m:r>
            </m:e>
            <m:lim>
              <m:r>
                <m:t>g</m:t>
              </m:r>
              <m:r>
                <m:rPr>
                  <m:sty m:val="p"/>
                </m:rPr>
                <m:t>∈</m:t>
              </m:r>
              <m:r>
                <m:rPr>
                  <m:scr m:val="double-struck"/>
                  <m:sty m:val="p"/>
                </m:rPr>
                <m:t>R</m:t>
              </m:r>
            </m:lim>
          </m:limLow>
          <m:r>
            <m:t>F</m:t>
          </m:r>
          <m:r>
            <m:rPr>
              <m:sty m:val="p"/>
            </m:rPr>
            <m:t>(</m:t>
          </m:r>
          <m:r>
            <m:t>g</m:t>
          </m:r>
          <m:r>
            <m:rPr>
              <m:sty m:val="p"/>
            </m:rPr>
            <m:t>)</m:t>
          </m:r>
          <m:r>
            <m:rPr>
              <m:sty m:val="p"/>
            </m:rPr>
            <m:t>=</m:t>
          </m:r>
          <m:r>
            <m:t>2</m:t>
          </m:r>
          <m:r>
            <m:t>v</m:t>
          </m:r>
          <m:r>
            <m:rPr>
              <m:sty m:val="p"/>
            </m:rPr>
            <m:t>(</m:t>
          </m:r>
          <m:rad>
            <m:radPr>
              <m:degHide m:val="on"/>
            </m:radPr>
            <m:deg/>
            <m:e>
              <m:r>
                <m:t>1</m:t>
              </m:r>
              <m:r>
                <m:rPr>
                  <m:sty m:val="p"/>
                </m:rPr>
                <m:t>+</m:t>
              </m:r>
              <m:r>
                <m:t>r</m:t>
              </m:r>
            </m:e>
          </m:rad>
          <m:r>
            <m:rPr>
              <m:sty m:val="p"/>
            </m:rPr>
            <m:t>−</m:t>
          </m:r>
          <m:r>
            <m:t>1</m:t>
          </m:r>
          <m:r>
            <m:rPr>
              <m:sty m:val="p"/>
            </m:rPr>
            <m:t>)</m:t>
          </m:r>
          <m:r>
            <m:rPr>
              <m:sty m:val="p"/>
            </m:rPr>
            <m:t>.</m:t>
          </m:r>
        </m:oMath>
      </m:oMathPara>
    </w:p>
    <w:p>
      <w:pPr>
        <w:pStyle w:val="FirstParagraph"/>
        <w:widowControl/>
      </w:pPr>
      <w:r>
        <w:t xml:space="preserve">This piecewise proof establishes the whole stated range. The accompanying deterministic curve illustrates the analytical result; it is not its proof. This is elementary analysis applied to a specific continuation problem, not a claim of priority for minimax reasoning.</w:t>
      </w:r>
    </w:p>
    <w:bookmarkEnd w:id="12"/>
    <w:bookmarkStart w:id="13" w:name="X06b0da1931dc5cc6aed6be57c522033e0147088"/>
    <w:p>
      <w:pPr>
        <w:pStyle w:val="Heading3"/>
        <w:keepNext/>
        <w:widowControl/>
      </w:pPr>
      <w:r>
        <w:rPr>
          <w:rFonts w:ascii="Times New Roman" w:hAnsi="Times New Roman"/>
          <w:b/>
          <w:color w:val="000000"/>
          <w:sz w:val="24"/>
        </w:rPr>
        <w:t xml:space="preserve">2.4 Why the one-variable repair can miss a leading term</w:t>
      </w:r>
    </w:p>
    <w:p>
      <w:pPr>
        <w:pStyle w:val="FirstParagraph"/>
        <w:widowControl/>
      </w:pPr>
      <w:r>
        <w:t xml:space="preserve">Consider the earlier restricted interface</w:t>
      </w:r>
    </w:p>
    <w:p>
      <w:pPr>
        <w:pStyle w:val="BodyText"/>
        <w:widowControl/>
      </w:pPr>
      <m:oMathPara>
        <m:oMathParaPr>
          <m:jc m:val="center"/>
        </m:oMathParaPr>
        <m:oMath>
          <m:r>
            <m:t>g</m:t>
          </m:r>
          <m:r>
            <m:rPr>
              <m:sty m:val="p"/>
            </m:rPr>
            <m:t>=</m:t>
          </m:r>
          <m:r>
            <m:t>r</m:t>
          </m:r>
          <m:r>
            <m:rPr>
              <m:sty m:val="p"/>
            </m:rPr>
            <m:t>/</m:t>
          </m:r>
          <m:r>
            <m:t>2</m:t>
          </m:r>
          <m:r>
            <m:rPr>
              <m:sty m:val="p"/>
            </m:rPr>
            <m:t>+</m:t>
          </m:r>
          <m:r>
            <m:t>χ</m:t>
          </m:r>
          <m:r>
            <m:rPr>
              <m:sty m:val="p"/>
            </m:rPr>
            <m:t>(</m:t>
          </m:r>
          <m:r>
            <m:t>r</m:t>
          </m:r>
          <m:r>
            <m:rPr>
              <m:sty m:val="p"/>
            </m:rPr>
            <m:t>)</m:t>
          </m:r>
          <m:sSup>
            <m:e>
              <m:r>
                <m:t>r</m:t>
              </m:r>
            </m:e>
            <m:sup>
              <m:r>
                <m:t>2</m:t>
              </m:r>
            </m:sup>
          </m:sSup>
          <m:r>
            <m:t>B</m:t>
          </m:r>
          <m:r>
            <m:rPr>
              <m:sty m:val="p"/>
            </m:rPr>
            <m:t>(</m:t>
          </m:r>
          <m:r>
            <m:t>r</m:t>
          </m:r>
          <m:r>
            <m:rPr>
              <m:sty m:val="p"/>
            </m:rPr>
            <m:t>)</m:t>
          </m:r>
          <m:r>
            <m:rPr>
              <m:sty m:val="p"/>
            </m:rPr>
            <m:t>,</m:t>
          </m:r>
        </m:oMath>
      </m:oMathPara>
    </w:p>
    <w:p>
      <w:pPr>
        <w:pStyle w:val="FirstParagraph"/>
        <w:widowControl/>
      </w:pPr>
      <w:r>
        <w:t xml:space="preserve">where</w:t>
      </w:r>
      <w:r>
        <w:t xml:space="preserve"> </w:t>
      </w:r>
      <m:oMath>
        <m:r>
          <m:t>B</m:t>
        </m:r>
      </m:oMath>
      <w:r>
        <w:t xml:space="preserve"> </w:t>
      </w:r>
      <w:r>
        <w:t xml:space="preserve">is fixed and smooth near zero and</w:t>
      </w:r>
      <w:r>
        <w:t xml:space="preserve"> </w:t>
      </w:r>
      <m:oMath>
        <m:r>
          <m:t>χ</m:t>
        </m:r>
        <m:r>
          <m:rPr>
            <m:sty m:val="p"/>
          </m:rPr>
          <m:t>=</m:t>
        </m:r>
        <m:r>
          <m:t>1</m:t>
        </m:r>
      </m:oMath>
      <w:r>
        <w:t xml:space="preserve"> </w:t>
      </w:r>
      <w:r>
        <w:t xml:space="preserve">there. Throughout this note and Note 9, asymptotic statements are as</w:t>
      </w:r>
      <w:r>
        <w:t xml:space="preserve"> </w:t>
      </w:r>
      <m:oMath>
        <m:r>
          <m:t>τ</m:t>
        </m:r>
        <m:r>
          <m:rPr>
            <m:sty m:val="p"/>
          </m:rPr>
          <m:t>→</m:t>
        </m:r>
        <m:r>
          <m:t>0</m:t>
        </m:r>
      </m:oMath>
      <w:r>
        <w:t xml:space="preserve"> </w:t>
      </w:r>
      <w:r>
        <w:t xml:space="preserve">for fixed real coefficients</w:t>
      </w:r>
      <w:r>
        <w:t xml:space="preserve"> </w:t>
      </w:r>
      <m:oMath>
        <m:r>
          <m:t>a</m:t>
        </m:r>
        <m:r>
          <m:rPr>
            <m:sty m:val="p"/>
          </m:rPr>
          <m:t>,</m:t>
        </m:r>
        <m:r>
          <m:t>b</m:t>
        </m:r>
      </m:oMath>
      <w:r>
        <w:t xml:space="preserve"> </w:t>
      </w:r>
      <w:r>
        <w:t xml:space="preserve">and fixed displayed coefficient functions and cutoffs. Implied constants may depend on these data; no uniformity over</w:t>
      </w:r>
      <w:r>
        <w:t xml:space="preserve"> </w:t>
      </w:r>
      <m:oMath>
        <m:r>
          <m:t>a</m:t>
        </m:r>
        <m:r>
          <m:rPr>
            <m:sty m:val="p"/>
          </m:rPr>
          <m:t>,</m:t>
        </m:r>
        <m:r>
          <m:t>b</m:t>
        </m:r>
      </m:oMath>
      <w:r>
        <w:t xml:space="preserve"> </w:t>
      </w:r>
      <w:r>
        <w:t xml:space="preserve">or a class of programmes is claimed. If</w:t>
      </w:r>
      <w:r>
        <w:t xml:space="preserve"> </w:t>
      </w:r>
      <m:oMath>
        <m:r>
          <m:t>u</m:t>
        </m:r>
        <m:r>
          <m:rPr>
            <m:sty m:val="p"/>
          </m:rPr>
          <m:t>=</m:t>
        </m:r>
        <m:r>
          <m:t>a</m:t>
        </m:r>
        <m:r>
          <m:t>τ</m:t>
        </m:r>
        <m:r>
          <m:rPr>
            <m:sty m:val="p"/>
          </m:rPr>
          <m:t>+</m:t>
        </m:r>
        <m:r>
          <m:t>O</m:t>
        </m:r>
        <m:r>
          <m:rPr>
            <m:sty m:val="p"/>
          </m:rPr>
          <m:t>(</m:t>
        </m:r>
        <m:sSup>
          <m:e>
            <m:r>
              <m:t>τ</m:t>
            </m:r>
          </m:e>
          <m:sup>
            <m:r>
              <m:t>2</m:t>
            </m:r>
          </m:sup>
        </m:sSup>
        <m:r>
          <m:rPr>
            <m:sty m:val="p"/>
          </m:rPr>
          <m:t>)</m:t>
        </m:r>
      </m:oMath>
      <w:r>
        <w:t xml:space="preserve"> </w:t>
      </w:r>
      <w:r>
        <w:t xml:space="preserve">and</w:t>
      </w:r>
      <w:r>
        <w:t xml:space="preserve"> </w:t>
      </w:r>
      <m:oMath>
        <m:r>
          <m:t>r</m:t>
        </m:r>
        <m:r>
          <m:rPr>
            <m:sty m:val="p"/>
          </m:rPr>
          <m:t>=</m:t>
        </m:r>
        <m:r>
          <m:t>b</m:t>
        </m:r>
        <m:sSup>
          <m:e>
            <m:r>
              <m:t>τ</m:t>
            </m:r>
          </m:e>
          <m:sup>
            <m:r>
              <m:t>2</m:t>
            </m:r>
          </m:sup>
        </m:sSup>
        <m:r>
          <m:rPr>
            <m:sty m:val="p"/>
          </m:rPr>
          <m:t>+</m:t>
        </m:r>
        <m:r>
          <m:t>O</m:t>
        </m:r>
        <m:r>
          <m:rPr>
            <m:sty m:val="p"/>
          </m:rPr>
          <m:t>(</m:t>
        </m:r>
        <m:sSup>
          <m:e>
            <m:r>
              <m:t>τ</m:t>
            </m:r>
          </m:e>
          <m:sup>
            <m:r>
              <m:t>3</m:t>
            </m:r>
          </m:sup>
        </m:sSup>
        <m:r>
          <m:rPr>
            <m:sty m:val="p"/>
          </m:rPr>
          <m:t>)</m:t>
        </m:r>
      </m:oMath>
      <w:r>
        <w:t xml:space="preserve">, then</w:t>
      </w:r>
      <w:r>
        <w:t xml:space="preserve"> </w:t>
      </w:r>
      <m:oMath>
        <m:sSup>
          <m:e>
            <m:r>
              <m:t>r</m:t>
            </m:r>
          </m:e>
          <m:sup>
            <m:r>
              <m:t>2</m:t>
            </m:r>
          </m:sup>
        </m:sSup>
        <m:r>
          <m:t>B</m:t>
        </m:r>
        <m:r>
          <m:rPr>
            <m:sty m:val="p"/>
          </m:rPr>
          <m:t>=</m:t>
        </m:r>
        <m:r>
          <m:t>O</m:t>
        </m:r>
        <m:r>
          <m:rPr>
            <m:sty m:val="p"/>
          </m:rPr>
          <m:t>(</m:t>
        </m:r>
        <m:sSup>
          <m:e>
            <m:r>
              <m:t>τ</m:t>
            </m:r>
          </m:e>
          <m:sup>
            <m:r>
              <m:t>4</m:t>
            </m:r>
          </m:sup>
        </m:sSup>
        <m:r>
          <m:rPr>
            <m:sty m:val="p"/>
          </m:rPr>
          <m:t>)</m:t>
        </m:r>
      </m:oMath>
      <w:r>
        <w:t xml:space="preserve">, while the leading complete residual is</w:t>
      </w:r>
    </w:p>
    <w:p>
      <w:pPr>
        <w:pStyle w:val="BodyText"/>
        <w:widowControl/>
      </w:pPr>
      <m:oMathPara>
        <m:oMathParaPr>
          <m:jc m:val="center"/>
        </m:oMathParaPr>
        <m:oMath>
          <m:r>
            <m:t>E</m:t>
          </m:r>
          <m:r>
            <m:rPr>
              <m:sty m:val="p"/>
            </m:rPr>
            <m:t>=</m:t>
          </m:r>
          <m:r>
            <m:t>a</m:t>
          </m:r>
          <m:r>
            <m:t>b</m:t>
          </m:r>
          <m:sSup>
            <m:e>
              <m:r>
                <m:t>τ</m:t>
              </m:r>
            </m:e>
            <m:sup>
              <m:r>
                <m:t>3</m:t>
              </m:r>
            </m:sup>
          </m:sSup>
          <m:r>
            <m:rPr>
              <m:sty m:val="p"/>
            </m:rPr>
            <m:t>+</m:t>
          </m:r>
          <m:r>
            <m:t>O</m:t>
          </m:r>
          <m:r>
            <m:rPr>
              <m:sty m:val="p"/>
            </m:rPr>
            <m:t>(</m:t>
          </m:r>
          <m:sSup>
            <m:e>
              <m:r>
                <m:t>τ</m:t>
              </m:r>
            </m:e>
            <m:sup>
              <m:r>
                <m:t>4</m:t>
              </m:r>
            </m:sup>
          </m:sSup>
          <m:r>
            <m:rPr>
              <m:sty m:val="p"/>
            </m:rPr>
            <m:t>)</m:t>
          </m:r>
          <m:r>
            <m:rPr>
              <m:sty m:val="p"/>
            </m:rPr>
            <m:t>.</m:t>
          </m:r>
        </m:oMath>
      </m:oMathPara>
    </w:p>
    <w:p>
      <w:pPr>
        <w:pStyle w:val="FirstParagraph"/>
        <w:widowControl/>
      </w:pPr>
      <w:r>
        <w:t xml:space="preserve">The state-dependent cross term is therefore not generally removable by that fixed interface. This does not exclude</w:t>
      </w:r>
      <w:r>
        <w:t xml:space="preserve"> </w:t>
      </w:r>
      <m:oMath>
        <m:r>
          <m:t>τ</m:t>
        </m:r>
      </m:oMath>
      <w:r>
        <w:t xml:space="preserve">-dependent families, finite interpolation, other algorithms or richer state representations. It does not retroactively classify an earlier finite model answer as incorrect.</w:t>
      </w:r>
    </w:p>
    <w:bookmarkEnd w:id="13"/>
    <w:bookmarkStart w:id="14" w:name="a-compact-sufficient-repair"/>
    <w:p>
      <w:pPr>
        <w:pStyle w:val="Heading3"/>
        <w:keepNext/>
        <w:widowControl/>
      </w:pPr>
      <w:r>
        <w:rPr>
          <w:rFonts w:ascii="Times New Roman" w:hAnsi="Times New Roman"/>
          <w:b/>
          <w:color w:val="000000"/>
          <w:sz w:val="24"/>
        </w:rPr>
        <w:t xml:space="preserve">2.5 A compact sufficient repair</w:t>
      </w:r>
    </w:p>
    <w:p>
      <w:pPr>
        <w:pStyle w:val="FirstParagraph"/>
        <w:widowControl/>
      </w:pPr>
      <w:r>
        <w:t xml:space="preserve">Let</w:t>
      </w:r>
      <w:r>
        <w:t xml:space="preserve"> </w:t>
      </w:r>
      <m:oMath>
        <m:sSub>
          <m:e>
            <m:r>
              <m:t>χ</m:t>
            </m:r>
          </m:e>
          <m:sub>
            <m:r>
              <m:t>r</m:t>
            </m:r>
          </m:sub>
        </m:sSub>
      </m:oMath>
      <w:r>
        <w:t xml:space="preserve"> </w:t>
      </w:r>
      <w:r>
        <w:t xml:space="preserve">and</w:t>
      </w:r>
      <w:r>
        <w:t xml:space="preserve"> </w:t>
      </w:r>
      <m:oMath>
        <m:sSub>
          <m:e>
            <m:r>
              <m:t>χ</m:t>
            </m:r>
          </m:e>
          <m:sub>
            <m:r>
              <m:t>u</m:t>
            </m:r>
          </m:sub>
        </m:sSub>
      </m:oMath>
      <w:r>
        <w:t xml:space="preserve"> </w:t>
      </w:r>
      <w:r>
        <w:t xml:space="preserve">be fixed smooth cutoffs, with inner radii</w:t>
      </w:r>
      <w:r>
        <w:t xml:space="preserve"> </w:t>
      </w:r>
      <m:oMath>
        <m:r>
          <m:t>1</m:t>
        </m:r>
        <m:r>
          <m:rPr>
            <m:sty m:val="p"/>
          </m:rPr>
          <m:t>/</m:t>
        </m:r>
        <m:r>
          <m:t>4</m:t>
        </m:r>
      </m:oMath>
      <w:r>
        <w:t xml:space="preserve"> </w:t>
      </w:r>
      <w:r>
        <w:t xml:space="preserve">and</w:t>
      </w:r>
      <w:r>
        <w:t xml:space="preserve"> </w:t>
      </w:r>
      <m:oMath>
        <m:r>
          <m:t>1</m:t>
        </m:r>
        <m:r>
          <m:rPr>
            <m:sty m:val="p"/>
          </m:rPr>
          <m:t>/</m:t>
        </m:r>
        <m:r>
          <m:t>8</m:t>
        </m:r>
      </m:oMath>
      <w:r>
        <w:t xml:space="preserve">, and outer radii</w:t>
      </w:r>
      <w:r>
        <w:t xml:space="preserve"> </w:t>
      </w:r>
      <m:oMath>
        <m:r>
          <m:t>1</m:t>
        </m:r>
        <m:r>
          <m:rPr>
            <m:sty m:val="p"/>
          </m:rPr>
          <m:t>/</m:t>
        </m:r>
        <m:r>
          <m:t>2</m:t>
        </m:r>
      </m:oMath>
      <w:r>
        <w:t xml:space="preserve"> </w:t>
      </w:r>
      <w:r>
        <w:t xml:space="preserve">and</w:t>
      </w:r>
      <w:r>
        <w:t xml:space="preserve"> </w:t>
      </w:r>
      <m:oMath>
        <m:r>
          <m:t>1</m:t>
        </m:r>
        <m:r>
          <m:rPr>
            <m:sty m:val="p"/>
          </m:rPr>
          <m:t>/</m:t>
        </m:r>
        <m:r>
          <m:t>4</m:t>
        </m:r>
      </m:oMath>
      <w:r>
        <w:t xml:space="preserve">, respectively. Let</w:t>
      </w:r>
      <w:r>
        <w:t xml:space="preserve"> </w:t>
      </w:r>
      <m:oMath>
        <m:r>
          <m:rPr>
            <m:sty m:val="p"/>
          </m:rPr>
          <m:t>Φ</m:t>
        </m:r>
        <m:r>
          <m:rPr>
            <m:sty m:val="p"/>
          </m:rPr>
          <m:t>=</m:t>
        </m:r>
        <m:sSub>
          <m:e>
            <m:r>
              <m:t>χ</m:t>
            </m:r>
          </m:e>
          <m:sub>
            <m:r>
              <m:t>r</m:t>
            </m:r>
          </m:sub>
        </m:sSub>
        <m:sSub>
          <m:e>
            <m:r>
              <m:t>χ</m:t>
            </m:r>
          </m:e>
          <m:sub>
            <m:r>
              <m:t>u</m:t>
            </m:r>
          </m:sub>
        </m:sSub>
      </m:oMath>
      <w:r>
        <w:t xml:space="preserve"> </w:t>
      </w:r>
      <w:r>
        <w:t xml:space="preserve">and</w:t>
      </w:r>
    </w:p>
    <w:p>
      <w:pPr>
        <w:pStyle w:val="BodyText"/>
        <w:widowControl/>
      </w:pPr>
      <m:oMathPara>
        <m:oMathParaPr>
          <m:jc m:val="center"/>
        </m:oMathParaPr>
        <m:oMath>
          <m:r>
            <m:t>g</m:t>
          </m:r>
          <m:r>
            <m:rPr>
              <m:sty m:val="p"/>
            </m:rPr>
            <m:t>=</m:t>
          </m:r>
          <m:r>
            <m:t>r</m:t>
          </m:r>
          <m:r>
            <m:rPr>
              <m:sty m:val="p"/>
            </m:rPr>
            <m:t>/</m:t>
          </m:r>
          <m:r>
            <m:t>2</m:t>
          </m:r>
          <m:r>
            <m:rPr>
              <m:sty m:val="p"/>
            </m:rPr>
            <m:t>+</m:t>
          </m:r>
          <m:r>
            <m:rPr>
              <m:sty m:val="p"/>
            </m:rPr>
            <m:t>Φ</m:t>
          </m:r>
          <m:r>
            <m:rPr>
              <m:sty m:val="p"/>
            </m:rPr>
            <m:t>[</m:t>
          </m:r>
          <m:sSup>
            <m:e>
              <m:r>
                <m:t>r</m:t>
              </m:r>
            </m:e>
            <m:sup>
              <m:r>
                <m:t>2</m:t>
              </m:r>
            </m:sup>
          </m:sSup>
          <m:r>
            <m:t>B</m:t>
          </m:r>
          <m:r>
            <m:rPr>
              <m:sty m:val="p"/>
            </m:rPr>
            <m:t>(</m:t>
          </m:r>
          <m:r>
            <m:t>r</m:t>
          </m:r>
          <m:r>
            <m:rPr>
              <m:sty m:val="p"/>
            </m:rPr>
            <m:t>,</m:t>
          </m:r>
          <m:r>
            <m:t>u</m:t>
          </m:r>
          <m:r>
            <m:rPr>
              <m:sty m:val="p"/>
            </m:rPr>
            <m:t>)</m:t>
          </m:r>
          <m:r>
            <m:rPr>
              <m:sty m:val="p"/>
            </m:rPr>
            <m:t>+</m:t>
          </m:r>
          <m:r>
            <m:t>u</m:t>
          </m:r>
          <m:r>
            <m:t>r</m:t>
          </m:r>
          <m:r>
            <m:t>C</m:t>
          </m:r>
          <m:r>
            <m:rPr>
              <m:sty m:val="p"/>
            </m:rPr>
            <m:t>(</m:t>
          </m:r>
          <m:r>
            <m:t>r</m:t>
          </m:r>
          <m:r>
            <m:rPr>
              <m:sty m:val="p"/>
            </m:rPr>
            <m:t>,</m:t>
          </m:r>
          <m:r>
            <m:t>u</m:t>
          </m:r>
          <m:r>
            <m:rPr>
              <m:sty m:val="p"/>
            </m:rPr>
            <m:t>)</m:t>
          </m:r>
          <m:r>
            <m:rPr>
              <m:sty m:val="p"/>
            </m:rPr>
            <m:t>]</m:t>
          </m:r>
          <m:r>
            <m:rPr>
              <m:sty m:val="p"/>
            </m:rPr>
            <m:t>.</m:t>
          </m:r>
        </m:oMath>
      </m:oMathPara>
    </w:p>
    <w:p>
      <w:pPr>
        <w:pStyle w:val="FirstParagraph"/>
        <w:widowControl/>
      </w:pPr>
      <w:r>
        <w:t xml:space="preserve">On the closed outer rectangle,</w:t>
      </w:r>
      <w:r>
        <w:t xml:space="preserve"> </w:t>
      </w:r>
      <m:oMath>
        <m:r>
          <m:t>z</m:t>
        </m:r>
        <m:r>
          <m:rPr>
            <m:sty m:val="p"/>
          </m:rPr>
          <m:t>=</m:t>
        </m:r>
        <m:r>
          <m:t>1</m:t>
        </m:r>
        <m:r>
          <m:rPr>
            <m:sty m:val="p"/>
          </m:rPr>
          <m:t>+</m:t>
        </m:r>
        <m:r>
          <m:t>u</m:t>
        </m:r>
        <m:r>
          <m:rPr>
            <m:sty m:val="p"/>
          </m:rPr>
          <m:t>≥</m:t>
        </m:r>
        <m:r>
          <m:t>3</m:t>
        </m:r>
        <m:r>
          <m:rPr>
            <m:sty m:val="p"/>
          </m:rPr>
          <m:t>/</m:t>
        </m:r>
        <m:r>
          <m:t>4</m:t>
        </m:r>
      </m:oMath>
      <w:r>
        <w:t xml:space="preserve"> </w:t>
      </w:r>
      <w:r>
        <w:t xml:space="preserve">and</w:t>
      </w:r>
      <w:r>
        <w:t xml:space="preserve"> </w:t>
      </w:r>
      <m:oMath>
        <m:sSup>
          <m:e>
            <m:r>
              <m:t>z</m:t>
            </m:r>
          </m:e>
          <m:sup>
            <m:r>
              <m:t>2</m:t>
            </m:r>
          </m:sup>
        </m:sSup>
        <m:r>
          <m:rPr>
            <m:sty m:val="p"/>
          </m:rPr>
          <m:t>+</m:t>
        </m:r>
        <m:r>
          <m:t>r</m:t>
        </m:r>
        <m:r>
          <m:rPr>
            <m:sty m:val="p"/>
          </m:rPr>
          <m:t>≥</m:t>
        </m:r>
        <m:r>
          <m:t>1</m:t>
        </m:r>
        <m:r>
          <m:rPr>
            <m:sty m:val="p"/>
          </m:rPr>
          <m:t>/</m:t>
        </m:r>
        <m:r>
          <m:t>16</m:t>
        </m:r>
      </m:oMath>
      <w:r>
        <w:t xml:space="preserve">. Set</w:t>
      </w:r>
      <w:r>
        <w:t xml:space="preserve"> </w:t>
      </w:r>
      <m:oMath>
        <m:r>
          <m:t>w</m:t>
        </m:r>
        <m:r>
          <m:rPr>
            <m:sty m:val="p"/>
          </m:rPr>
          <m:t>=</m:t>
        </m:r>
        <m:rad>
          <m:radPr>
            <m:degHide m:val="on"/>
          </m:radPr>
          <m:deg/>
          <m:e>
            <m:sSup>
              <m:e>
                <m:r>
                  <m:t>z</m:t>
                </m:r>
              </m:e>
              <m:sup>
                <m:r>
                  <m:t>2</m:t>
                </m:r>
              </m:sup>
            </m:sSup>
            <m:r>
              <m:rPr>
                <m:sty m:val="p"/>
              </m:rPr>
              <m:t>+</m:t>
            </m:r>
            <m:r>
              <m:t>r</m:t>
            </m:r>
          </m:e>
        </m:rad>
      </m:oMath>
      <w:r>
        <w:t xml:space="preserve"> </w:t>
      </w:r>
      <w:r>
        <w:t xml:space="preserve">and</w:t>
      </w:r>
    </w:p>
    <w:p>
      <w:pPr>
        <w:pStyle w:val="BodyText"/>
        <w:widowControl/>
      </w:pPr>
      <m:oMathPara>
        <m:oMathParaPr>
          <m:jc m:val="center"/>
        </m:oMathParaPr>
        <m:oMath>
          <m:sSub>
            <m:e>
              <m:r>
                <m:t>C</m:t>
              </m:r>
            </m:e>
            <m:sub>
              <m:r>
                <m:rPr>
                  <m:sty m:val="p"/>
                  <m:nor/>
                </m:rPr>
                <m:t>*</m:t>
              </m:r>
            </m:sub>
          </m:sSub>
          <m:r>
            <m:rPr>
              <m:sty m:val="p"/>
            </m:rPr>
            <m:t>=</m:t>
          </m:r>
          <m:r>
            <m:rPr>
              <m:sty m:val="p"/>
            </m:rPr>
            <m:t>−</m:t>
          </m:r>
          <m:f>
            <m:fPr>
              <m:type m:val="bar"/>
            </m:fPr>
            <m:num>
              <m:r>
                <m:t>1</m:t>
              </m:r>
            </m:num>
            <m:den>
              <m:r>
                <m:t>2</m:t>
              </m:r>
              <m:r>
                <m:t>z</m:t>
              </m:r>
            </m:den>
          </m:f>
          <m:r>
            <m:rPr>
              <m:sty m:val="p"/>
            </m:rPr>
            <m:t>,</m:t>
          </m:r>
          <m:r>
            <m:t>  </m:t>
          </m:r>
          <m:sSub>
            <m:e>
              <m:r>
                <m:t>B</m:t>
              </m:r>
            </m:e>
            <m:sub>
              <m:r>
                <m:rPr>
                  <m:sty m:val="p"/>
                  <m:nor/>
                </m:rPr>
                <m:t>*</m:t>
              </m:r>
            </m:sub>
          </m:sSub>
          <m:r>
            <m:rPr>
              <m:sty m:val="p"/>
            </m:rPr>
            <m:t>=</m:t>
          </m:r>
          <m:r>
            <m:rPr>
              <m:sty m:val="p"/>
            </m:rPr>
            <m:t>−</m:t>
          </m:r>
          <m:f>
            <m:fPr>
              <m:type m:val="bar"/>
            </m:fPr>
            <m:num>
              <m:r>
                <m:t>1</m:t>
              </m:r>
            </m:num>
            <m:den>
              <m:r>
                <m:t>2</m:t>
              </m:r>
              <m:r>
                <m:t>z</m:t>
              </m:r>
              <m:r>
                <m:rPr>
                  <m:sty m:val="p"/>
                </m:rPr>
                <m:t>(</m:t>
              </m:r>
              <m:r>
                <m:t>w</m:t>
              </m:r>
              <m:r>
                <m:rPr>
                  <m:sty m:val="p"/>
                </m:rPr>
                <m:t>+</m:t>
              </m:r>
              <m:r>
                <m:t>z</m:t>
              </m:r>
              <m:sSup>
                <m:e>
                  <m:r>
                    <m:rPr>
                      <m:sty m:val="p"/>
                    </m:rPr>
                    <m:t>)</m:t>
                  </m:r>
                </m:e>
                <m:sup>
                  <m:r>
                    <m:t>2</m:t>
                  </m:r>
                </m:sup>
              </m:sSup>
            </m:den>
          </m:f>
          <m:r>
            <m:rPr>
              <m:sty m:val="p"/>
            </m:rPr>
            <m:t>.</m:t>
          </m:r>
        </m:oMath>
      </m:oMathPara>
    </w:p>
    <w:p>
      <w:pPr>
        <w:pStyle w:val="FirstParagraph"/>
        <w:widowControl/>
      </w:pPr>
      <w:r>
        <w:t xml:space="preserve">These functions extend analytically to a neighbourhood of the rectangle. Rationalisation gives</w:t>
      </w:r>
    </w:p>
    <w:p>
      <w:pPr>
        <w:pStyle w:val="BodyText"/>
        <w:widowControl/>
      </w:pPr>
      <m:oMathPara>
        <m:oMathParaPr>
          <m:jc m:val="center"/>
        </m:oMathParaPr>
        <m:oMath>
          <m:r>
            <m:t>w</m:t>
          </m:r>
          <m:r>
            <m:rPr>
              <m:sty m:val="p"/>
            </m:rPr>
            <m:t>−</m:t>
          </m:r>
          <m:r>
            <m:t>z</m:t>
          </m:r>
          <m:r>
            <m:rPr>
              <m:sty m:val="p"/>
            </m:rPr>
            <m:t>=</m:t>
          </m:r>
          <m:f>
            <m:fPr>
              <m:type m:val="bar"/>
            </m:fPr>
            <m:num>
              <m:r>
                <m:t>r</m:t>
              </m:r>
            </m:num>
            <m:den>
              <m:r>
                <m:t>w</m:t>
              </m:r>
              <m:r>
                <m:rPr>
                  <m:sty m:val="p"/>
                </m:rPr>
                <m:t>+</m:t>
              </m:r>
              <m:r>
                <m:t>z</m:t>
              </m:r>
            </m:den>
          </m:f>
          <m:r>
            <m:rPr>
              <m:sty m:val="p"/>
            </m:rPr>
            <m:t>=</m:t>
          </m:r>
          <m:f>
            <m:fPr>
              <m:type m:val="bar"/>
            </m:fPr>
            <m:num>
              <m:r>
                <m:t>r</m:t>
              </m:r>
            </m:num>
            <m:den>
              <m:r>
                <m:t>2</m:t>
              </m:r>
              <m:r>
                <m:t>z</m:t>
              </m:r>
            </m:den>
          </m:f>
          <m:r>
            <m:rPr>
              <m:sty m:val="p"/>
            </m:rPr>
            <m:t>−</m:t>
          </m:r>
          <m:f>
            <m:fPr>
              <m:type m:val="bar"/>
            </m:fPr>
            <m:num>
              <m:sSup>
                <m:e>
                  <m:r>
                    <m:t>r</m:t>
                  </m:r>
                </m:e>
                <m:sup>
                  <m:r>
                    <m:t>2</m:t>
                  </m:r>
                </m:sup>
              </m:sSup>
            </m:num>
            <m:den>
              <m:r>
                <m:t>2</m:t>
              </m:r>
              <m:r>
                <m:t>z</m:t>
              </m:r>
              <m:r>
                <m:rPr>
                  <m:sty m:val="p"/>
                </m:rPr>
                <m:t>(</m:t>
              </m:r>
              <m:r>
                <m:t>w</m:t>
              </m:r>
              <m:r>
                <m:rPr>
                  <m:sty m:val="p"/>
                </m:rPr>
                <m:t>+</m:t>
              </m:r>
              <m:r>
                <m:t>z</m:t>
              </m:r>
              <m:sSup>
                <m:e>
                  <m:r>
                    <m:rPr>
                      <m:sty m:val="p"/>
                    </m:rPr>
                    <m:t>)</m:t>
                  </m:r>
                </m:e>
                <m:sup>
                  <m:r>
                    <m:t>2</m:t>
                  </m:r>
                </m:sup>
              </m:sSup>
            </m:den>
          </m:f>
          <m:r>
            <m:rPr>
              <m:sty m:val="p"/>
            </m:rPr>
            <m:t>,</m:t>
          </m:r>
        </m:oMath>
      </m:oMathPara>
    </w:p>
    <w:p>
      <w:pPr>
        <w:pStyle w:val="FirstParagraph"/>
        <w:widowControl/>
      </w:pPr>
      <w:r>
        <w:t xml:space="preserve">and</w:t>
      </w:r>
      <w:r>
        <w:t xml:space="preserve"> </w:t>
      </w:r>
      <m:oMath>
        <m:r>
          <m:t>r</m:t>
        </m:r>
        <m:r>
          <m:rPr>
            <m:sty m:val="p"/>
          </m:rPr>
          <m:t>/</m:t>
        </m:r>
        <m:r>
          <m:rPr>
            <m:sty m:val="p"/>
          </m:rPr>
          <m:t>(</m:t>
        </m:r>
        <m:r>
          <m:t>2</m:t>
        </m:r>
        <m:r>
          <m:t>z</m:t>
        </m:r>
        <m:r>
          <m:rPr>
            <m:sty m:val="p"/>
          </m:rPr>
          <m:t>)</m:t>
        </m:r>
        <m:r>
          <m:rPr>
            <m:sty m:val="p"/>
          </m:rPr>
          <m:t>=</m:t>
        </m:r>
        <m:r>
          <m:t>r</m:t>
        </m:r>
        <m:r>
          <m:rPr>
            <m:sty m:val="p"/>
          </m:rPr>
          <m:t>/</m:t>
        </m:r>
        <m:r>
          <m:t>2</m:t>
        </m:r>
        <m:r>
          <m:rPr>
            <m:sty m:val="p"/>
          </m:rPr>
          <m:t>−</m:t>
        </m:r>
        <m:r>
          <m:t>u</m:t>
        </m:r>
        <m:r>
          <m:t>r</m:t>
        </m:r>
        <m:r>
          <m:rPr>
            <m:sty m:val="p"/>
          </m:rPr>
          <m:t>/</m:t>
        </m:r>
        <m:r>
          <m:rPr>
            <m:sty m:val="p"/>
          </m:rPr>
          <m:t>(</m:t>
        </m:r>
        <m:r>
          <m:t>2</m:t>
        </m:r>
        <m:r>
          <m:t>z</m:t>
        </m:r>
        <m:r>
          <m:rPr>
            <m:sty m:val="p"/>
          </m:rPr>
          <m:t>)</m:t>
        </m:r>
      </m:oMath>
      <w:r>
        <w:t xml:space="preserve">. Thus where</w:t>
      </w:r>
      <w:r>
        <w:t xml:space="preserve"> </w:t>
      </w:r>
      <m:oMath>
        <m:r>
          <m:rPr>
            <m:sty m:val="p"/>
          </m:rPr>
          <m:t>Φ</m:t>
        </m:r>
        <m:r>
          <m:rPr>
            <m:sty m:val="p"/>
          </m:rPr>
          <m:t>=</m:t>
        </m:r>
        <m:r>
          <m:t>1</m:t>
        </m:r>
      </m:oMath>
      <w:r>
        <w:t xml:space="preserve">,</w:t>
      </w:r>
      <w:r>
        <w:t xml:space="preserve"> </w:t>
      </w:r>
      <m:oMath>
        <m:r>
          <m:t>g</m:t>
        </m:r>
        <m:r>
          <m:rPr>
            <m:sty m:val="p"/>
          </m:rPr>
          <m:t>=</m:t>
        </m:r>
        <m:r>
          <m:t>w</m:t>
        </m:r>
        <m:r>
          <m:rPr>
            <m:sty m:val="p"/>
          </m:rPr>
          <m:t>−</m:t>
        </m:r>
        <m:r>
          <m:t>z</m:t>
        </m:r>
      </m:oMath>
      <w:r>
        <w:t xml:space="preserve"> </w:t>
      </w:r>
      <w:r>
        <w:t xml:space="preserve">and</w:t>
      </w:r>
      <w:r>
        <w:t xml:space="preserve"> </w:t>
      </w:r>
      <m:oMath>
        <m:r>
          <m:t>E</m:t>
        </m:r>
        <m:r>
          <m:rPr>
            <m:sty m:val="p"/>
          </m:rPr>
          <m:t>=</m:t>
        </m:r>
        <m:r>
          <m:t>0</m:t>
        </m:r>
      </m:oMath>
      <w:r>
        <w:t xml:space="preserve">. This formula supplies an actual sufficient alternative to a source-only action. The compact pair</w:t>
      </w:r>
      <w:r>
        <w:t xml:space="preserve"> </w:t>
      </w:r>
      <m:oMath>
        <m:r>
          <m:rPr>
            <m:sty m:val="p"/>
          </m:rPr>
          <m:t>(</m:t>
        </m:r>
        <m:r>
          <m:t>r</m:t>
        </m:r>
        <m:r>
          <m:rPr>
            <m:sty m:val="p"/>
          </m:rPr>
          <m:t>,</m:t>
        </m:r>
        <m:r>
          <m:t>u</m:t>
        </m:r>
        <m:r>
          <m:rPr>
            <m:sty m:val="p"/>
          </m:rPr>
          <m:t>)</m:t>
        </m:r>
      </m:oMath>
      <w:r>
        <w:t xml:space="preserve"> </w:t>
      </w:r>
      <w:r>
        <w:t xml:space="preserve">and the stated rule suffice for the local operation; an entire exploratory transcript is not mathematically necessary.</w:t>
      </w:r>
    </w:p>
    <w:p>
      <w:pPr>
        <w:pStyle w:val="BodyText"/>
        <w:widowControl/>
      </w:pPr>
      <w:r>
        <w:t xml:space="preserve">For general fixed smooth</w:t>
      </w:r>
      <w:r>
        <w:t xml:space="preserve"> </w:t>
      </w:r>
      <m:oMath>
        <m:r>
          <m:t>B</m:t>
        </m:r>
        <m:r>
          <m:rPr>
            <m:sty m:val="p"/>
          </m:rPr>
          <m:t>,</m:t>
        </m:r>
        <m:r>
          <m:t>C</m:t>
        </m:r>
      </m:oMath>
      <w:r>
        <w:t xml:space="preserve"> </w:t>
      </w:r>
      <w:r>
        <w:t xml:space="preserve">in this family, let</w:t>
      </w:r>
      <w:r>
        <w:t xml:space="preserve"> </w:t>
      </w:r>
      <m:oMath>
        <m:r>
          <m:t>h</m:t>
        </m:r>
        <m:r>
          <m:rPr>
            <m:sty m:val="p"/>
          </m:rPr>
          <m:t>=</m:t>
        </m:r>
        <m:sSup>
          <m:e>
            <m:r>
              <m:t>r</m:t>
            </m:r>
          </m:e>
          <m:sup>
            <m:r>
              <m:t>2</m:t>
            </m:r>
          </m:sup>
        </m:sSup>
        <m:r>
          <m:t>B</m:t>
        </m:r>
        <m:r>
          <m:rPr>
            <m:sty m:val="p"/>
          </m:rPr>
          <m:t>+</m:t>
        </m:r>
        <m:r>
          <m:t>u</m:t>
        </m:r>
        <m:r>
          <m:t>r</m:t>
        </m:r>
        <m:r>
          <m:t>C</m:t>
        </m:r>
      </m:oMath>
      <w:r>
        <w:t xml:space="preserve">. Then</w:t>
      </w:r>
    </w:p>
    <w:p>
      <w:pPr>
        <w:pStyle w:val="BodyText"/>
        <w:widowControl/>
      </w:pPr>
      <m:oMathPara>
        <m:oMathParaPr>
          <m:jc m:val="center"/>
        </m:oMathParaPr>
        <m:oMath>
          <m:r>
            <m:t>E</m:t>
          </m:r>
          <m:r>
            <m:rPr>
              <m:sty m:val="p"/>
            </m:rPr>
            <m:t>=</m:t>
          </m:r>
          <m:r>
            <m:t>u</m:t>
          </m:r>
          <m:r>
            <m:t>r</m:t>
          </m:r>
          <m:r>
            <m:rPr>
              <m:sty m:val="p"/>
            </m:rPr>
            <m:t>+</m:t>
          </m:r>
          <m:sSup>
            <m:e>
              <m:r>
                <m:t>r</m:t>
              </m:r>
            </m:e>
            <m:sup>
              <m:r>
                <m:t>2</m:t>
              </m:r>
            </m:sup>
          </m:sSup>
          <m:r>
            <m:rPr>
              <m:sty m:val="p"/>
            </m:rPr>
            <m:t>/</m:t>
          </m:r>
          <m:r>
            <m:t>4</m:t>
          </m:r>
          <m:r>
            <m:rPr>
              <m:sty m:val="p"/>
            </m:rPr>
            <m:t>+</m:t>
          </m:r>
          <m:r>
            <m:rPr>
              <m:sty m:val="p"/>
            </m:rPr>
            <m:t>Φ</m:t>
          </m:r>
          <m:r>
            <m:rPr>
              <m:sty m:val="p"/>
            </m:rPr>
            <m:t>(</m:t>
          </m:r>
          <m:r>
            <m:t>2</m:t>
          </m:r>
          <m:r>
            <m:rPr>
              <m:sty m:val="p"/>
            </m:rPr>
            <m:t>+</m:t>
          </m:r>
          <m:r>
            <m:t>2</m:t>
          </m:r>
          <m:r>
            <m:t>u</m:t>
          </m:r>
          <m:r>
            <m:rPr>
              <m:sty m:val="p"/>
            </m:rPr>
            <m:t>+</m:t>
          </m:r>
          <m:r>
            <m:t>r</m:t>
          </m:r>
          <m:r>
            <m:rPr>
              <m:sty m:val="p"/>
            </m:rPr>
            <m:t>)</m:t>
          </m:r>
          <m:r>
            <m:t>h</m:t>
          </m:r>
          <m:r>
            <m:rPr>
              <m:sty m:val="p"/>
            </m:rPr>
            <m:t>+</m:t>
          </m:r>
          <m:sSup>
            <m:e>
              <m:r>
                <m:rPr>
                  <m:sty m:val="p"/>
                </m:rPr>
                <m:t>Φ</m:t>
              </m:r>
            </m:e>
            <m:sup>
              <m:r>
                <m:t>2</m:t>
              </m:r>
            </m:sup>
          </m:sSup>
          <m:sSup>
            <m:e>
              <m:r>
                <m:t>h</m:t>
              </m:r>
            </m:e>
            <m:sup>
              <m:r>
                <m:t>2</m:t>
              </m:r>
            </m:sup>
          </m:sSup>
          <m:r>
            <m:rPr>
              <m:sty m:val="p"/>
            </m:rPr>
            <m:t>.</m:t>
          </m:r>
        </m:oMath>
      </m:oMathPara>
    </w:p>
    <w:p>
      <w:pPr>
        <w:pStyle w:val="FirstParagraph"/>
        <w:widowControl/>
      </w:pPr>
      <w:r>
        <w:t xml:space="preserve">Under the scaling above,</w:t>
      </w:r>
    </w:p>
    <w:p>
      <w:pPr>
        <w:pStyle w:val="BodyText"/>
        <w:widowControl/>
      </w:pPr>
      <m:oMathPara>
        <m:oMathParaPr>
          <m:jc m:val="center"/>
        </m:oMathParaPr>
        <m:oMath>
          <m:r>
            <m:t>E</m:t>
          </m:r>
          <m:r>
            <m:rPr>
              <m:sty m:val="p"/>
            </m:rPr>
            <m:t>=</m:t>
          </m:r>
          <m:r>
            <m:t>a</m:t>
          </m:r>
          <m:r>
            <m:t>b</m:t>
          </m:r>
          <m:r>
            <m:rPr>
              <m:sty m:val="p"/>
            </m:rPr>
            <m:t>[</m:t>
          </m:r>
          <m:r>
            <m:t>1</m:t>
          </m:r>
          <m:r>
            <m:rPr>
              <m:sty m:val="p"/>
            </m:rPr>
            <m:t>+</m:t>
          </m:r>
          <m:r>
            <m:t>2</m:t>
          </m:r>
          <m:r>
            <m:t>C</m:t>
          </m:r>
          <m:r>
            <m:rPr>
              <m:sty m:val="p"/>
            </m:rPr>
            <m:t>(</m:t>
          </m:r>
          <m:r>
            <m:t>0</m:t>
          </m:r>
          <m:r>
            <m:rPr>
              <m:sty m:val="p"/>
            </m:rPr>
            <m:t>,</m:t>
          </m:r>
          <m:r>
            <m:t>0</m:t>
          </m:r>
          <m:r>
            <m:rPr>
              <m:sty m:val="p"/>
            </m:rPr>
            <m:t>)</m:t>
          </m:r>
          <m:r>
            <m:rPr>
              <m:sty m:val="p"/>
            </m:rPr>
            <m:t>]</m:t>
          </m:r>
          <m:sSup>
            <m:e>
              <m:r>
                <m:t>τ</m:t>
              </m:r>
            </m:e>
            <m:sup>
              <m:r>
                <m:t>3</m:t>
              </m:r>
            </m:sup>
          </m:sSup>
          <m:r>
            <m:rPr>
              <m:sty m:val="p"/>
            </m:rPr>
            <m:t>+</m:t>
          </m:r>
          <m:r>
            <m:t>O</m:t>
          </m:r>
          <m:r>
            <m:rPr>
              <m:sty m:val="p"/>
            </m:rPr>
            <m:t>(</m:t>
          </m:r>
          <m:sSup>
            <m:e>
              <m:r>
                <m:t>τ</m:t>
              </m:r>
            </m:e>
            <m:sup>
              <m:r>
                <m:t>4</m:t>
              </m:r>
            </m:sup>
          </m:sSup>
          <m:r>
            <m:rPr>
              <m:sty m:val="p"/>
            </m:rPr>
            <m:t>)</m:t>
          </m:r>
          <m:r>
            <m:rPr>
              <m:sty m:val="p"/>
            </m:rPr>
            <m:t>.</m:t>
          </m:r>
        </m:oMath>
      </m:oMathPara>
    </w:p>
    <w:p>
      <w:pPr>
        <w:pStyle w:val="FirstParagraph"/>
        <w:widowControl/>
      </w:pPr>
      <w:r>
        <w:t xml:space="preserve">This is a conditional prediction about an explicit rule, not a claim that the experimental model learned</w:t>
      </w:r>
      <w:r>
        <w:t xml:space="preserve"> </w:t>
      </w:r>
      <m:oMath>
        <m:r>
          <m:t>C</m:t>
        </m:r>
        <m:r>
          <m:rPr>
            <m:sty m:val="p"/>
          </m:rPr>
          <m:t>(</m:t>
        </m:r>
        <m:r>
          <m:t>0</m:t>
        </m:r>
        <m:r>
          <m:rPr>
            <m:sty m:val="p"/>
          </m:rPr>
          <m:t>,</m:t>
        </m:r>
        <m:r>
          <m:t>0</m:t>
        </m:r>
        <m:r>
          <m:rPr>
            <m:sty m:val="p"/>
          </m:rPr>
          <m:t>)</m:t>
        </m:r>
        <m:r>
          <m:rPr>
            <m:sty m:val="p"/>
          </m:rPr>
          <m:t>=</m:t>
        </m:r>
        <m:r>
          <m:rPr>
            <m:sty m:val="p"/>
          </m:rPr>
          <m:t>−</m:t>
        </m:r>
        <m:r>
          <m:t>1</m:t>
        </m:r>
        <m:r>
          <m:rPr>
            <m:sty m:val="p"/>
          </m:rPr>
          <m:t>/</m:t>
        </m:r>
        <m:r>
          <m:t>2</m:t>
        </m:r>
      </m:oMath>
      <w:r>
        <w:t xml:space="preserve"> </w:t>
      </w:r>
      <w:r>
        <w:t xml:space="preserve">or that the later</w:t>
      </w:r>
      <w:r>
        <w:t xml:space="preserve"> </w:t>
      </w:r>
      <w:r>
        <w:rPr>
          <w:rStyle w:val="VerbatimChar"/>
        </w:rPr>
        <w:t xml:space="preserve">hclose</w:t>
      </w:r>
      <w:r>
        <w:t xml:space="preserve"> </w:t>
      </w:r>
      <w:r>
        <w:t xml:space="preserve">task tests this coefficient.</w:t>
      </w:r>
    </w:p>
    <w:bookmarkEnd w:id="14"/>
    <w:bookmarkStart w:id="15" w:name="boundaries-that-must-remain"/>
    <w:p>
      <w:pPr>
        <w:pStyle w:val="Heading3"/>
        <w:keepNext/>
        <w:widowControl/>
      </w:pPr>
      <w:r>
        <w:rPr>
          <w:rFonts w:ascii="Times New Roman" w:hAnsi="Times New Roman"/>
          <w:b/>
          <w:color w:val="000000"/>
          <w:sz w:val="24"/>
        </w:rPr>
        <w:t xml:space="preserve">2.6 Boundaries that must remain</w:t>
      </w:r>
    </w:p>
    <w:p>
      <w:pPr>
        <w:pStyle w:val="FirstParagraph"/>
        <w:widowControl/>
      </w:pPr>
      <w:r>
        <w:t xml:space="preserve">The state-aware core formula does not assert an improvement in every norm outside that core. The earlier counterexample</w:t>
      </w:r>
      <w:r>
        <w:t xml:space="preserve"> </w:t>
      </w:r>
      <m:oMath>
        <m:r>
          <m:t>z</m:t>
        </m:r>
        <m:r>
          <m:rPr>
            <m:sty m:val="p"/>
          </m:rPr>
          <m:t>=</m:t>
        </m:r>
        <m:r>
          <m:t>9</m:t>
        </m:r>
        <m:r>
          <m:rPr>
            <m:sty m:val="p"/>
          </m:rPr>
          <m:t>/</m:t>
        </m:r>
        <m:r>
          <m:t>10</m:t>
        </m:r>
      </m:oMath>
      <w:r>
        <w:t xml:space="preserve">,</w:t>
      </w:r>
      <w:r>
        <w:t xml:space="preserve"> </w:t>
      </w:r>
      <m:oMath>
        <m:r>
          <m:t>r</m:t>
        </m:r>
        <m:r>
          <m:rPr>
            <m:sty m:val="p"/>
          </m:rPr>
          <m:t>=</m:t>
        </m:r>
        <m:r>
          <m:t>1</m:t>
        </m:r>
        <m:r>
          <m:rPr>
            <m:sty m:val="p"/>
          </m:rPr>
          <m:t>/</m:t>
        </m:r>
        <m:r>
          <m:t>5</m:t>
        </m:r>
      </m:oMath>
      <w:r>
        <w:t xml:space="preserve"> </w:t>
      </w:r>
      <w:r>
        <w:t xml:space="preserve">gives complete residual</w:t>
      </w:r>
      <w:r>
        <w:t xml:space="preserve"> </w:t>
      </w:r>
      <m:oMath>
        <m:r>
          <m:rPr>
            <m:sty m:val="p"/>
          </m:rPr>
          <m:t>−</m:t>
        </m:r>
        <m:r>
          <m:t>1</m:t>
        </m:r>
        <m:r>
          <m:rPr>
            <m:sty m:val="p"/>
          </m:rPr>
          <m:t>/</m:t>
        </m:r>
        <m:r>
          <m:t>100</m:t>
        </m:r>
      </m:oMath>
      <w:r>
        <w:t xml:space="preserve"> </w:t>
      </w:r>
      <w:r>
        <w:t xml:space="preserve">for</w:t>
      </w:r>
      <w:r>
        <w:t xml:space="preserve"> </w:t>
      </w:r>
      <m:oMath>
        <m:r>
          <m:t>g</m:t>
        </m:r>
        <m:r>
          <m:rPr>
            <m:sty m:val="p"/>
          </m:rPr>
          <m:t>=</m:t>
        </m:r>
        <m:r>
          <m:t>r</m:t>
        </m:r>
        <m:r>
          <m:rPr>
            <m:sty m:val="p"/>
          </m:rPr>
          <m:t>/</m:t>
        </m:r>
        <m:r>
          <m:t>2</m:t>
        </m:r>
      </m:oMath>
      <w:r>
        <w:t xml:space="preserve"> </w:t>
      </w:r>
      <w:r>
        <w:t xml:space="preserve">and</w:t>
      </w:r>
      <w:r>
        <w:t xml:space="preserve"> </w:t>
      </w:r>
      <m:oMath>
        <m:r>
          <m:t>1</m:t>
        </m:r>
        <m:r>
          <m:rPr>
            <m:sty m:val="p"/>
          </m:rPr>
          <m:t>/</m:t>
        </m:r>
        <m:r>
          <m:t>5</m:t>
        </m:r>
        <m:r>
          <m:rPr>
            <m:sty m:val="p"/>
          </m:rPr>
          <m:t>−</m:t>
        </m:r>
        <m:rad>
          <m:radPr>
            <m:degHide m:val="on"/>
          </m:radPr>
          <m:deg/>
          <m:e>
            <m:r>
              <m:t>30</m:t>
            </m:r>
          </m:e>
        </m:rad>
        <m:r>
          <m:rPr>
            <m:sty m:val="p"/>
          </m:rPr>
          <m:t>/</m:t>
        </m:r>
        <m:r>
          <m:t>25</m:t>
        </m:r>
      </m:oMath>
      <w:r>
        <w:t xml:space="preserve"> </w:t>
      </w:r>
      <w:r>
        <w:t xml:space="preserve">for</w:t>
      </w:r>
      <w:r>
        <w:t xml:space="preserve"> </w:t>
      </w:r>
      <m:oMath>
        <m:r>
          <m:t>g</m:t>
        </m:r>
        <m:r>
          <m:rPr>
            <m:sty m:val="p"/>
          </m:rPr>
          <m:t>=</m:t>
        </m:r>
        <m:rad>
          <m:radPr>
            <m:degHide m:val="on"/>
          </m:radPr>
          <m:deg/>
          <m:e>
            <m:r>
              <m:t>1</m:t>
            </m:r>
            <m:r>
              <m:rPr>
                <m:sty m:val="p"/>
              </m:rPr>
              <m:t>+</m:t>
            </m:r>
            <m:r>
              <m:t>r</m:t>
            </m:r>
          </m:e>
        </m:rad>
        <m:r>
          <m:rPr>
            <m:sty m:val="p"/>
          </m:rPr>
          <m:t>−</m:t>
        </m:r>
        <m:r>
          <m:t>1</m:t>
        </m:r>
      </m:oMath>
      <w:r>
        <w:t xml:space="preserve">. The latter has zero pure residual but a larger complete absolute residual. This is an analytical counterexample already present in the supplied history, not a newly run experiment.</w:t>
      </w:r>
    </w:p>
    <w:p>
      <w:pPr>
        <w:pStyle w:val="BodyText"/>
        <w:widowControl/>
      </w:pPr>
      <w:r>
        <w:t xml:space="preserve">The source weighted extension additionally assumes fixed-stage derivative bounds, smooth cutoffs, permissible slow-variable multipliers and flat edge weights. The constants may depend on the actual chosen functions. Neither finite evaluation nor a local analytic-domain certificate validates every full-PDE condition. Earlier source-relative arguments for full-cycle compatibility are preserved as those arguments, not upgraded to external independent review in this manuscript.</w:t>
      </w:r>
    </w:p>
    <w:p>
      <w:pPr>
        <w:pStyle w:val="BodyText"/>
        <w:widowControl/>
      </w:pPr>
      <w:r>
        <w:t xml:space="preserve">Likewise, changing a legitimate representation need not change its physical action. Under a compatible positive slow rescaling of the wave basis,</w:t>
      </w:r>
    </w:p>
    <w:p>
      <w:pPr>
        <w:pStyle w:val="BodyText"/>
        <w:widowControl/>
      </w:pPr>
      <m:oMathPara>
        <m:oMathParaPr>
          <m:jc m:val="center"/>
        </m:oMathParaPr>
        <m:oMath>
          <m:sSubSup>
            <m:e>
              <m:r>
                <m:t>b</m:t>
              </m:r>
            </m:e>
            <m:sub>
              <m:r>
                <m:t>i</m:t>
              </m:r>
            </m:sub>
            <m:sup>
              <m:r>
                <m:rPr>
                  <m:sty m:val="p"/>
                </m:rPr>
                <m:t>′</m:t>
              </m:r>
            </m:sup>
          </m:sSubSup>
          <m:r>
            <m:rPr>
              <m:sty m:val="p"/>
            </m:rPr>
            <m:t>=</m:t>
          </m:r>
          <m:sSub>
            <m:e>
              <m:r>
                <m:t>λ</m:t>
              </m:r>
            </m:e>
            <m:sub>
              <m:r>
                <m:t>i</m:t>
              </m:r>
            </m:sub>
          </m:sSub>
          <m:sSub>
            <m:e>
              <m:r>
                <m:t>b</m:t>
              </m:r>
            </m:e>
            <m:sub>
              <m:r>
                <m:t>i</m:t>
              </m:r>
            </m:sub>
          </m:sSub>
          <m:r>
            <m:rPr>
              <m:sty m:val="p"/>
            </m:rPr>
            <m:t>,</m:t>
          </m:r>
          <m:r>
            <m:t> </m:t>
          </m:r>
          <m:sSup>
            <m:e>
              <m:r>
                <m:t>H</m:t>
              </m:r>
            </m:e>
            <m:sup>
              <m:r>
                <m:rPr>
                  <m:sty m:val="p"/>
                </m:rPr>
                <m:t>′</m:t>
              </m:r>
            </m:sup>
          </m:sSup>
          <m:r>
            <m:rPr>
              <m:sty m:val="p"/>
            </m:rPr>
            <m:t>=</m:t>
          </m:r>
          <m:r>
            <m:t>H</m:t>
          </m:r>
          <m:r>
            <m:rPr>
              <m:sty m:val="p"/>
            </m:rPr>
            <m:t>diag</m:t>
          </m:r>
          <m:r>
            <m:rPr>
              <m:sty m:val="p"/>
            </m:rPr>
            <m:t>(</m:t>
          </m:r>
          <m:sSup>
            <m:e>
              <m:r>
                <m:t>λ</m:t>
              </m:r>
            </m:e>
            <m:sup>
              <m:r>
                <m:t>2</m:t>
              </m:r>
            </m:sup>
          </m:sSup>
          <m:r>
            <m:rPr>
              <m:sty m:val="p"/>
            </m:rPr>
            <m:t>)</m:t>
          </m:r>
          <m:r>
            <m:rPr>
              <m:sty m:val="p"/>
            </m:rPr>
            <m:t>,</m:t>
          </m:r>
          <m:r>
            <m:t> </m:t>
          </m:r>
          <m:sSup>
            <m:e>
              <m:r>
                <m:t>y</m:t>
              </m:r>
            </m:e>
            <m:sup>
              <m:r>
                <m:rPr>
                  <m:sty m:val="p"/>
                </m:rPr>
                <m:t>′</m:t>
              </m:r>
            </m:sup>
          </m:sSup>
          <m:r>
            <m:rPr>
              <m:sty m:val="p"/>
            </m:rPr>
            <m:t>=</m:t>
          </m:r>
          <m:r>
            <m:t>y</m:t>
          </m:r>
          <m:r>
            <m:rPr>
              <m:sty m:val="p"/>
            </m:rPr>
            <m:t>/</m:t>
          </m:r>
          <m:sSup>
            <m:e>
              <m:r>
                <m:t>λ</m:t>
              </m:r>
            </m:e>
            <m:sup>
              <m:r>
                <m:t>2</m:t>
              </m:r>
            </m:sup>
          </m:sSup>
          <m:r>
            <m:rPr>
              <m:sty m:val="p"/>
            </m:rPr>
            <m:t>,</m:t>
          </m:r>
          <m:r>
            <m:t> </m:t>
          </m:r>
          <m:sSup>
            <m:e>
              <m:r>
                <m:t>d</m:t>
              </m:r>
            </m:e>
            <m:sup>
              <m:r>
                <m:rPr>
                  <m:sty m:val="p"/>
                </m:rPr>
                <m:t>′</m:t>
              </m:r>
            </m:sup>
          </m:sSup>
          <m:r>
            <m:rPr>
              <m:sty m:val="p"/>
            </m:rPr>
            <m:t>=</m:t>
          </m:r>
          <m:r>
            <m:t>d</m:t>
          </m:r>
          <m:r>
            <m:rPr>
              <m:sty m:val="p"/>
            </m:rPr>
            <m:t>/</m:t>
          </m:r>
          <m:sSup>
            <m:e>
              <m:r>
                <m:t>λ</m:t>
              </m:r>
            </m:e>
            <m:sup>
              <m:r>
                <m:t>2</m:t>
              </m:r>
            </m:sup>
          </m:sSup>
          <m:r>
            <m:rPr>
              <m:sty m:val="p"/>
            </m:rPr>
            <m:t>,</m:t>
          </m:r>
        </m:oMath>
      </m:oMathPara>
    </w:p>
    <w:p>
      <w:pPr>
        <w:pStyle w:val="FirstParagraph"/>
        <w:widowControl/>
      </w:pPr>
      <w:r>
        <w:t xml:space="preserve">the relative source</w:t>
      </w:r>
      <w:r>
        <w:t xml:space="preserve"> </w:t>
      </w:r>
      <m:oMath>
        <m:r>
          <m:t>r</m:t>
        </m:r>
        <m:r>
          <m:rPr>
            <m:sty m:val="p"/>
          </m:rPr>
          <m:t>=</m:t>
        </m:r>
        <m:r>
          <m:t>d</m:t>
        </m:r>
        <m:r>
          <m:rPr>
            <m:sty m:val="p"/>
          </m:rPr>
          <m:t>/</m:t>
        </m:r>
        <m:r>
          <m:t>y</m:t>
        </m:r>
      </m:oMath>
      <w:r>
        <w:t xml:space="preserve"> </w:t>
      </w:r>
      <w:r>
        <w:t xml:space="preserve">is unchanged. For a represented component</w:t>
      </w:r>
      <w:r>
        <w:t xml:space="preserve"> </w:t>
      </w:r>
      <m:oMath>
        <m:sSub>
          <m:e>
            <m:r>
              <m:t>a</m:t>
            </m:r>
          </m:e>
          <m:sub>
            <m:r>
              <m:t>i</m:t>
            </m:r>
          </m:sub>
        </m:sSub>
        <m:sSub>
          <m:e>
            <m:r>
              <m:t>b</m:t>
            </m:r>
          </m:e>
          <m:sub>
            <m:r>
              <m:t>i</m:t>
            </m:r>
          </m:sub>
        </m:sSub>
      </m:oMath>
      <w:r>
        <w:t xml:space="preserve">, set</w:t>
      </w:r>
      <w:r>
        <w:t xml:space="preserve"> </w:t>
      </w:r>
      <m:oMath>
        <m:sSubSup>
          <m:e>
            <m:r>
              <m:t>a</m:t>
            </m:r>
          </m:e>
          <m:sub>
            <m:r>
              <m:t>i</m:t>
            </m:r>
          </m:sub>
          <m:sup>
            <m:r>
              <m:rPr>
                <m:sty m:val="p"/>
              </m:rPr>
              <m:t>′</m:t>
            </m:r>
          </m:sup>
        </m:sSubSup>
        <m:r>
          <m:rPr>
            <m:sty m:val="p"/>
          </m:rPr>
          <m:t>=</m:t>
        </m:r>
        <m:sSub>
          <m:e>
            <m:r>
              <m:t>a</m:t>
            </m:r>
          </m:e>
          <m:sub>
            <m:r>
              <m:t>i</m:t>
            </m:r>
          </m:sub>
        </m:sSub>
        <m:r>
          <m:rPr>
            <m:sty m:val="p"/>
          </m:rPr>
          <m:t>/</m:t>
        </m:r>
        <m:sSub>
          <m:e>
            <m:r>
              <m:t>λ</m:t>
            </m:r>
          </m:e>
          <m:sub>
            <m:r>
              <m:t>i</m:t>
            </m:r>
          </m:sub>
        </m:sSub>
      </m:oMath>
      <w:r>
        <w:t xml:space="preserve"> </w:t>
      </w:r>
      <w:r>
        <w:t xml:space="preserve">with</w:t>
      </w:r>
      <w:r>
        <w:t xml:space="preserve"> </w:t>
      </w:r>
      <m:oMath>
        <m:sSub>
          <m:e>
            <m:r>
              <m:t>λ</m:t>
            </m:r>
          </m:e>
          <m:sub>
            <m:r>
              <m:t>i</m:t>
            </m:r>
          </m:sub>
        </m:sSub>
        <m:r>
          <m:rPr>
            <m:sty m:val="p"/>
          </m:rPr>
          <m:t>&gt;</m:t>
        </m:r>
        <m:r>
          <m:t>0</m:t>
        </m:r>
      </m:oMath>
      <w:r>
        <w:t xml:space="preserve">; then</w:t>
      </w:r>
      <w:r>
        <w:t xml:space="preserve"> </w:t>
      </w:r>
      <m:oMath>
        <m:sSubSup>
          <m:e>
            <m:r>
              <m:t>a</m:t>
            </m:r>
          </m:e>
          <m:sub>
            <m:r>
              <m:t>i</m:t>
            </m:r>
          </m:sub>
          <m:sup>
            <m:r>
              <m:rPr>
                <m:sty m:val="p"/>
              </m:rPr>
              <m:t>′</m:t>
            </m:r>
          </m:sup>
        </m:sSubSup>
        <m:sSubSup>
          <m:e>
            <m:r>
              <m:t>b</m:t>
            </m:r>
          </m:e>
          <m:sub>
            <m:r>
              <m:t>i</m:t>
            </m:r>
          </m:sub>
          <m:sup>
            <m:r>
              <m:rPr>
                <m:sty m:val="p"/>
              </m:rPr>
              <m:t>′</m:t>
            </m:r>
          </m:sup>
        </m:sSubSup>
        <m:r>
          <m:rPr>
            <m:sty m:val="p"/>
          </m:rPr>
          <m:t>=</m:t>
        </m:r>
        <m:sSub>
          <m:e>
            <m:r>
              <m:t>a</m:t>
            </m:r>
          </m:e>
          <m:sub>
            <m:r>
              <m:t>i</m:t>
            </m:r>
          </m:sub>
        </m:sSub>
        <m:sSub>
          <m:e>
            <m:r>
              <m:t>b</m:t>
            </m:r>
          </m:e>
          <m:sub>
            <m:r>
              <m:t>i</m:t>
            </m:r>
          </m:sub>
        </m:sSub>
      </m:oMath>
      <w:r>
        <w:t xml:space="preserve">. With</w:t>
      </w:r>
      <w:r>
        <w:t xml:space="preserve"> </w:t>
      </w:r>
      <m:oMath>
        <m:sSub>
          <m:e>
            <m:r>
              <m:t>y</m:t>
            </m:r>
          </m:e>
          <m:sub>
            <m:r>
              <m:t>i</m:t>
            </m:r>
          </m:sub>
        </m:sSub>
        <m:r>
          <m:rPr>
            <m:sty m:val="p"/>
          </m:rPr>
          <m:t>=</m:t>
        </m:r>
        <m:sSubSup>
          <m:e>
            <m:r>
              <m:t>a</m:t>
            </m:r>
          </m:e>
          <m:sub>
            <m:r>
              <m:t>i</m:t>
            </m:r>
          </m:sub>
          <m:sup>
            <m:r>
              <m:t>2</m:t>
            </m:r>
          </m:sup>
        </m:sSubSup>
      </m:oMath>
      <w:r>
        <w:t xml:space="preserve">, the displayed transformation gives</w:t>
      </w:r>
      <w:r>
        <w:t xml:space="preserve"> </w:t>
      </w:r>
      <m:oMath>
        <m:sSup>
          <m:e>
            <m:r>
              <m:t>H</m:t>
            </m:r>
          </m:e>
          <m:sup>
            <m:r>
              <m:rPr>
                <m:sty m:val="p"/>
              </m:rPr>
              <m:t>′</m:t>
            </m:r>
          </m:sup>
        </m:sSup>
        <m:sSup>
          <m:e>
            <m:r>
              <m:t>y</m:t>
            </m:r>
          </m:e>
          <m:sup>
            <m:r>
              <m:rPr>
                <m:sty m:val="p"/>
              </m:rPr>
              <m:t>′</m:t>
            </m:r>
          </m:sup>
        </m:sSup>
        <m:r>
          <m:rPr>
            <m:sty m:val="p"/>
          </m:rPr>
          <m:t>=</m:t>
        </m:r>
        <m:r>
          <m:t>H</m:t>
        </m:r>
        <m:r>
          <m:t>y</m:t>
        </m:r>
      </m:oMath>
      <w:r>
        <w:t xml:space="preserve"> </w:t>
      </w:r>
      <w:r>
        <w:t xml:space="preserve">and</w:t>
      </w:r>
      <w:r>
        <w:t xml:space="preserve"> </w:t>
      </w:r>
      <m:oMath>
        <m:sSubSup>
          <m:e>
            <m:r>
              <m:t>d</m:t>
            </m:r>
          </m:e>
          <m:sub>
            <m:r>
              <m:t>i</m:t>
            </m:r>
          </m:sub>
          <m:sup>
            <m:r>
              <m:rPr>
                <m:sty m:val="p"/>
              </m:rPr>
              <m:t>′</m:t>
            </m:r>
          </m:sup>
        </m:sSubSup>
        <m:r>
          <m:rPr>
            <m:sty m:val="p"/>
          </m:rPr>
          <m:t>/</m:t>
        </m:r>
        <m:sSubSup>
          <m:e>
            <m:r>
              <m:t>y</m:t>
            </m:r>
          </m:e>
          <m:sub>
            <m:r>
              <m:t>i</m:t>
            </m:r>
          </m:sub>
          <m:sup>
            <m:r>
              <m:rPr>
                <m:sty m:val="p"/>
              </m:rPr>
              <m:t>′</m:t>
            </m:r>
          </m:sup>
        </m:sSubSup>
        <m:r>
          <m:rPr>
            <m:sty m:val="p"/>
          </m:rPr>
          <m:t>=</m:t>
        </m:r>
        <m:sSub>
          <m:e>
            <m:r>
              <m:t>d</m:t>
            </m:r>
          </m:e>
          <m:sub>
            <m:r>
              <m:t>i</m:t>
            </m:r>
          </m:sub>
        </m:sSub>
        <m:r>
          <m:rPr>
            <m:sty m:val="p"/>
          </m:rPr>
          <m:t>/</m:t>
        </m:r>
        <m:sSub>
          <m:e>
            <m:r>
              <m:t>y</m:t>
            </m:r>
          </m:e>
          <m:sub>
            <m:r>
              <m:t>i</m:t>
            </m:r>
          </m:sub>
        </m:sSub>
      </m:oMath>
      <w:r>
        <w:t xml:space="preserve">. The required multiplier and inverse-derivative bounds are part of the statement. Arbitrary fast or unbounded rescaling is not licensed by algebra alone.</w:t>
      </w:r>
    </w:p>
    <w:bookmarkEnd w:id="15"/>
    <w:bookmarkEnd w:id="16"/>
    <w:bookmarkStart w:id="20" w:name="X38f7b9c6743790dacd0b6b4d9a968ea090374ec"/>
    <w:p>
      <w:pPr>
        <w:pStyle w:val="Heading2"/>
        <w:keepNext/>
        <w:widowControl/>
      </w:pPr>
      <w:r>
        <w:rPr>
          <w:rFonts w:ascii="Times New Roman" w:hAnsi="Times New Roman"/>
          <w:b/>
          <w:color w:val="000000"/>
          <w:sz w:val="24"/>
        </w:rPr>
        <w:t xml:space="preserve">Supplementary Note 3. Sufficient continuation</w:t>
      </w:r>
    </w:p>
    <w:bookmarkStart w:id="17" w:name="a-declared-future-regime"/>
    <w:p>
      <w:pPr>
        <w:pStyle w:val="Heading3"/>
        <w:keepNext/>
        <w:widowControl/>
      </w:pPr>
      <w:r>
        <w:rPr>
          <w:rFonts w:ascii="Times New Roman" w:hAnsi="Times New Roman"/>
          <w:b/>
          <w:color w:val="000000"/>
          <w:sz w:val="24"/>
        </w:rPr>
        <w:t xml:space="preserve">3.1 A declared future regime</w:t>
      </w:r>
    </w:p>
    <w:p>
      <w:pPr>
        <w:pStyle w:val="FirstParagraph"/>
        <w:widowControl/>
      </w:pPr>
      <w:r>
        <w:t xml:space="preserve">Write</w:t>
      </w:r>
      <w:r>
        <w:t xml:space="preserve"> </w:t>
      </w:r>
      <m:oMath>
        <m:r>
          <m:rPr>
            <m:scr m:val="script"/>
            <m:sty m:val="p"/>
          </m:rPr>
          <m:t>F</m:t>
        </m:r>
      </m:oMath>
      <w:r>
        <w:t xml:space="preserve"> </w:t>
      </w:r>
      <w:r>
        <w:t xml:space="preserve">for a declared set of future duties, tools, permissions, resource rules and admissible continuation policies. Let</w:t>
      </w:r>
      <w:r>
        <w:t xml:space="preserve"> </w:t>
      </w:r>
      <m:oMath>
        <m:r>
          <m:t>M</m:t>
        </m:r>
        <m:r>
          <m:rPr>
            <m:sty m:val="p"/>
          </m:rPr>
          <m:t>(</m:t>
        </m:r>
        <m:r>
          <m:t>x</m:t>
        </m:r>
        <m:r>
          <m:rPr>
            <m:sty m:val="p"/>
          </m:rPr>
          <m:t>)</m:t>
        </m:r>
      </m:oMath>
      <w:r>
        <w:t xml:space="preserve"> </w:t>
      </w:r>
      <w:r>
        <w:t xml:space="preserve">be the present output under comparison and</w:t>
      </w:r>
      <w:r>
        <w:t xml:space="preserve"> </w:t>
      </w:r>
      <m:oMath>
        <m:r>
          <m:t>C</m:t>
        </m:r>
        <m:r>
          <m:rPr>
            <m:sty m:val="p"/>
          </m:rPr>
          <m:t>(</m:t>
        </m:r>
        <m:r>
          <m:t>x</m:t>
        </m:r>
        <m:r>
          <m:rPr>
            <m:sty m:val="p"/>
          </m:rPr>
          <m:t>)</m:t>
        </m:r>
      </m:oMath>
      <w:r>
        <w:t xml:space="preserve"> </w:t>
      </w:r>
      <w:r>
        <w:t xml:space="preserve">a candidate compact continuation state. Product equality</w:t>
      </w:r>
      <w:r>
        <w:t xml:space="preserve"> </w:t>
      </w:r>
      <m:oMath>
        <m:r>
          <m:t>M</m:t>
        </m:r>
        <m:r>
          <m:rPr>
            <m:sty m:val="p"/>
          </m:rPr>
          <m:t>(</m:t>
        </m:r>
        <m:r>
          <m:t>x</m:t>
        </m:r>
        <m:r>
          <m:rPr>
            <m:sty m:val="p"/>
          </m:rPr>
          <m:t>)</m:t>
        </m:r>
        <m:r>
          <m:rPr>
            <m:sty m:val="p"/>
          </m:rPr>
          <m:t>=</m:t>
        </m:r>
        <m:r>
          <m:t>M</m:t>
        </m:r>
        <m:r>
          <m:rPr>
            <m:sty m:val="p"/>
          </m:rPr>
          <m:t>(</m:t>
        </m:r>
        <m:sSup>
          <m:e>
            <m:r>
              <m:t>x</m:t>
            </m:r>
          </m:e>
          <m:sup>
            <m:r>
              <m:rPr>
                <m:sty m:val="p"/>
              </m:rPr>
              <m:t>′</m:t>
            </m:r>
          </m:sup>
        </m:sSup>
        <m:r>
          <m:rPr>
            <m:sty m:val="p"/>
          </m:rPr>
          <m:t>)</m:t>
        </m:r>
      </m:oMath>
      <w:r>
        <w:t xml:space="preserve"> </w:t>
      </w:r>
      <w:r>
        <w:t xml:space="preserve">does not by definition impose equality of</w:t>
      </w:r>
      <w:r>
        <w:t xml:space="preserve"> </w:t>
      </w:r>
      <m:oMath>
        <m:r>
          <m:t>C</m:t>
        </m:r>
      </m:oMath>
      <w:r>
        <w:t xml:space="preserve"> </w:t>
      </w:r>
      <w:r>
        <w:t xml:space="preserve">or of future trajectories. Conversely, complete causal-state equality with identical transition and randomness laws gives the same future law. “History” explains a present difference only through a carrier or a boundary condition included in the model.</w:t>
      </w:r>
    </w:p>
    <w:p>
      <w:pPr>
        <w:pStyle w:val="BodyText"/>
        <w:widowControl/>
      </w:pPr>
      <w:r>
        <w:t xml:space="preserve">The theoretical use of “scientific future” here is deliberately conditional. It can include a new verification duty, a changed assumption, an opportunity to formulate a problem, or a method-reconstruction task. Equality on one finite set of tests does not prove equality on all future science. In particular, psychological understanding and the quality of generated scientific questions require their own operationalisations; they are not read out by the current compiler.</w:t>
      </w:r>
    </w:p>
    <w:bookmarkEnd w:id="17"/>
    <w:bookmarkStart w:id="18" w:name="conditional-sufficiency-proposition"/>
    <w:p>
      <w:pPr>
        <w:pStyle w:val="Heading3"/>
        <w:keepNext/>
        <w:widowControl/>
      </w:pPr>
      <w:r>
        <w:rPr>
          <w:rFonts w:ascii="Times New Roman" w:hAnsi="Times New Roman"/>
          <w:b/>
          <w:color w:val="000000"/>
          <w:sz w:val="24"/>
        </w:rPr>
        <w:t xml:space="preserve">3.2 Conditional sufficiency proposition</w:t>
      </w:r>
    </w:p>
    <w:p>
      <w:pPr>
        <w:pStyle w:val="FirstParagraph"/>
        <w:widowControl/>
      </w:pPr>
      <w:r>
        <w:t xml:space="preserve">Fix common standard Borel spaces for inputs, actions, observations, costs and compact states, and a finite horizon covered by</w:t>
      </w:r>
      <w:r>
        <w:t xml:space="preserve"> </w:t>
      </w:r>
      <m:oMath>
        <m:r>
          <m:rPr>
            <m:scr m:val="script"/>
            <m:sty m:val="p"/>
          </m:rPr>
          <m:t>F</m:t>
        </m:r>
      </m:oMath>
      <w:r>
        <w:t xml:space="preserve">. Suppose that (i) conditional on the compact state and policy-visible history, both systems use the same measurable exogenous-input kernel and policy kernel; (ii) conditional on the compact state, visible history, input and action, both use the same measurable joint kernel for the next observation, cost and compact state, with no remaining dependence on the hidden state</w:t>
      </w:r>
      <w:r>
        <w:t xml:space="preserve"> </w:t>
      </w:r>
      <m:oMath>
        <m:r>
          <m:t>x</m:t>
        </m:r>
      </m:oMath>
      <w:r>
        <w:t xml:space="preserve">. Assume equal initial compact states and equal initial policy-visible histories. Alternatively, initial visible histories may differ if every kernel above factors through the compact state, so no residual dependence on those histories remains. Then the systems have the same joint law of future inputs, actions, observations, costs and compact successor states over that horizon.</w:t>
      </w:r>
    </w:p>
    <w:p>
      <w:pPr>
        <w:pStyle w:val="BodyText"/>
        <w:widowControl/>
      </w:pPr>
      <w:r>
        <w:rPr>
          <w:b/>
          <w:bCs/>
        </w:rPr>
        <w:t xml:space="preserve">Proof.</w:t>
      </w:r>
      <w:r>
        <w:t xml:space="preserve"> </w:t>
      </w:r>
      <w:r>
        <w:t xml:space="preserve">The initial compact state and visible history coincide, or all kernels are independent of the potentially different prior histories. At the first step, integrating the common input kernel, policy kernel and joint observation-cost-successor kernel gives the same joint law. Conditional on each resulting finite history and compact state, the same kernels determine the next joint extension. Induction gives equality of the joint laws at every step up to the fixed horizon. In the alternative case, the same argument applies using the compact state alone. The statement is a standard sufficient-state composition principle, not a new result in probability or control theory.</w:t>
      </w:r>
    </w:p>
    <w:p>
      <w:pPr>
        <w:pStyle w:val="BodyText"/>
        <w:widowControl/>
      </w:pPr>
      <w:r>
        <w:t xml:space="preserve">The assumptions include the updates, not merely the prediction of the next answer. If duty changes reveal information not represented by</w:t>
      </w:r>
      <w:r>
        <w:t xml:space="preserve"> </w:t>
      </w:r>
      <m:oMath>
        <m:r>
          <m:t>C</m:t>
        </m:r>
      </m:oMath>
      <w:r>
        <w:t xml:space="preserve">, the assumptions may cease to hold. If a decoder or a rederivation procedure reconstructs the required state but uses extra time or queries, outcome sufficiency may hold while budget-constrained equivalence does not. A claim of cost equivalence therefore includes construction, retrieval, compaction and restoration costs. Unobserved failure or missing events cannot be inserted as zero-cost steps.</w:t>
      </w:r>
    </w:p>
    <w:bookmarkEnd w:id="18"/>
    <w:bookmarkStart w:id="19" w:name="relation-to-a-proof-interface"/>
    <w:p>
      <w:pPr>
        <w:pStyle w:val="Heading3"/>
        <w:keepNext/>
        <w:widowControl/>
      </w:pPr>
      <w:r>
        <w:rPr>
          <w:rFonts w:ascii="Times New Roman" w:hAnsi="Times New Roman"/>
          <w:b/>
          <w:color w:val="000000"/>
          <w:sz w:val="24"/>
        </w:rPr>
        <w:t xml:space="preserve">3.3 Relation to a proof interface</w:t>
      </w:r>
    </w:p>
    <w:p>
      <w:pPr>
        <w:pStyle w:val="FirstParagraph"/>
        <w:widowControl/>
      </w:pPr>
      <w:r>
        <w:t xml:space="preserve">If an existing result has type</w:t>
      </w:r>
      <w:r>
        <w:t xml:space="preserve"> </w:t>
      </w:r>
      <m:oMath>
        <m:r>
          <m:t>L</m:t>
        </m:r>
        <m:r>
          <m:rPr>
            <m:sty m:val="p"/>
          </m:rPr>
          <m:t>:</m:t>
        </m:r>
        <m:r>
          <m:rPr>
            <m:sty m:val="p"/>
          </m:rPr>
          <m:t>∀</m:t>
        </m:r>
        <m:r>
          <m:t>θ</m:t>
        </m:r>
        <m:r>
          <m:rPr>
            <m:sty m:val="p"/>
          </m:rPr>
          <m:t>,</m:t>
        </m:r>
        <m:r>
          <m:t> </m:t>
        </m:r>
        <m:r>
          <m:t>A</m:t>
        </m:r>
        <m:r>
          <m:rPr>
            <m:sty m:val="p"/>
          </m:rPr>
          <m:t>(</m:t>
        </m:r>
        <m:r>
          <m:t>θ</m:t>
        </m:r>
        <m:r>
          <m:rPr>
            <m:sty m:val="p"/>
          </m:rPr>
          <m:t>)</m:t>
        </m:r>
        <m:r>
          <m:rPr>
            <m:sty m:val="p"/>
          </m:rPr>
          <m:t>→</m:t>
        </m:r>
        <m:r>
          <m:t>C</m:t>
        </m:r>
        <m:r>
          <m:rPr>
            <m:sty m:val="p"/>
          </m:rPr>
          <m:t>(</m:t>
        </m:r>
        <m:r>
          <m:t>θ</m:t>
        </m:r>
        <m:r>
          <m:rPr>
            <m:sty m:val="p"/>
          </m:rPr>
          <m:t>)</m:t>
        </m:r>
      </m:oMath>
      <w:r>
        <w:t xml:space="preserve"> </w:t>
      </w:r>
      <w:r>
        <w:t xml:space="preserve">and a continuation consumes</w:t>
      </w:r>
      <w:r>
        <w:t xml:space="preserve"> </w:t>
      </w:r>
      <m:oMath>
        <m:r>
          <m:t>I</m:t>
        </m:r>
      </m:oMath>
      <w:r>
        <w:t xml:space="preserve">, it is sufficient to preserve or reconstruct a valid parameter choice, a proof of its assumptions and a valid map from the resulting conclusion to</w:t>
      </w:r>
      <w:r>
        <w:t xml:space="preserve"> </w:t>
      </w:r>
      <m:oMath>
        <m:r>
          <m:t>I</m:t>
        </m:r>
      </m:oMath>
      <w:r>
        <w:t xml:space="preserve">. Preserving the whole historical conversation is one possible carrier, not a logical requirement. The policy may also find another legitimate route to</w:t>
      </w:r>
      <w:r>
        <w:t xml:space="preserve"> </w:t>
      </w:r>
      <m:oMath>
        <m:r>
          <m:t>I</m:t>
        </m:r>
      </m:oMath>
      <w:r>
        <w:t xml:space="preserve">. This statement describes an ordinary interface of proof composition; it does not explain by itself how that interface was learned, selected or socially allocated.</w:t>
      </w:r>
    </w:p>
    <w:p>
      <w:pPr>
        <w:pStyle w:val="BodyText"/>
        <w:widowControl/>
      </w:pPr>
      <w:r>
        <w:t xml:space="preserve">The mother question becomes empirical when those application relations, state records, checking responsibilities or reconstruction procedures are themselves outcomes of preceding activity. Their causal attribution requires real formation and use records, plus an appropriate comparison. The analytical witness specifies one dependency; actual coefficient programmes instantiate its whole-residual algebra in continuation records. The</w:t>
      </w:r>
      <w:r>
        <w:t xml:space="preserve"> </w:t>
      </w:r>
      <w:r>
        <w:rPr>
          <w:rStyle w:val="VerbatimChar"/>
        </w:rPr>
        <w:t xml:space="preserve">hclose</w:t>
      </w:r>
      <w:r>
        <w:t xml:space="preserve"> </w:t>
      </w:r>
      <w:r>
        <w:t xml:space="preserve">case concerns a different application interface. No equality between their latent mechanisms is asserted.</w:t>
      </w:r>
    </w:p>
    <w:bookmarkEnd w:id="19"/>
    <w:bookmarkEnd w:id="20"/>
    <w:bookmarkStart w:id="25" w:name="X11fb4c17aedd7cccb4070e4fd1865f4ae563dce"/>
    <w:p>
      <w:pPr>
        <w:pStyle w:val="Heading2"/>
        <w:keepNext/>
        <w:widowControl/>
      </w:pPr>
      <w:r>
        <w:rPr>
          <w:rFonts w:ascii="Times New Roman" w:hAnsi="Times New Roman"/>
          <w:b/>
          <w:color w:val="000000"/>
          <w:sz w:val="24"/>
        </w:rPr>
        <w:t xml:space="preserve">Supplementary Note 4. The hclose mathematics</w:t>
      </w:r>
    </w:p>
    <w:bookmarkStart w:id="21" w:name="identity-and-notation"/>
    <w:p>
      <w:pPr>
        <w:pStyle w:val="Heading3"/>
        <w:keepNext/>
        <w:widowControl/>
      </w:pPr>
      <w:r>
        <w:rPr>
          <w:rFonts w:ascii="Times New Roman" w:hAnsi="Times New Roman"/>
          <w:b/>
          <w:color w:val="000000"/>
          <w:sz w:val="24"/>
        </w:rPr>
        <w:t xml:space="preserve">4.1 Identity and notation</w:t>
      </w:r>
    </w:p>
    <w:p>
      <w:pPr>
        <w:pStyle w:val="FirstParagraph"/>
        <w:widowControl/>
      </w:pPr>
      <w:r>
        <w:t xml:space="preserve">The experimental source is a retained copy of</w:t>
      </w:r>
      <w:r>
        <w:t xml:space="preserve"> </w:t>
      </w:r>
      <w:r>
        <w:rPr>
          <w:rStyle w:val="VerbatimChar"/>
        </w:rPr>
        <w:t xml:space="preserve">NavierStokes/PrimaryCovarianceBounds.lean</w:t>
      </w:r>
      <w:r>
        <w:t xml:space="preserve"> </w:t>
      </w:r>
      <w:r>
        <w:t xml:space="preserve">from the stated OpenAI commit. The larger source result concerns a forced three-dimensional incompressible Navier–Stokes construction. This manuscript does not independently validate its complete global theorem, nor claim the unforced regularity problem has been re-proved here. The empirical endpoint is the enclosing local type</w:t>
      </w:r>
      <w:r>
        <w:t xml:space="preserve"> </w:t>
      </w:r>
      <w:r>
        <w:rPr>
          <w:rStyle w:val="VerbatimChar"/>
        </w:rPr>
        <w:t xml:space="preserve">checkpoint_bridge_goal</w:t>
      </w:r>
      <w:r>
        <w:t xml:space="preserve"> </w:t>
      </w:r>
      <w:r>
        <w:t xml:space="preserve">after insertion of the</w:t>
      </w:r>
      <w:r>
        <w:t xml:space="preserve"> </w:t>
      </w:r>
      <w:r>
        <w:rPr>
          <w:rStyle w:val="VerbatimChar"/>
        </w:rPr>
        <w:t xml:space="preserve">hclose</w:t>
      </w:r>
      <w:r>
        <w:t xml:space="preserve"> </w:t>
      </w:r>
      <w:r>
        <w:t xml:space="preserve">proof body.</w:t>
      </w:r>
    </w:p>
    <w:p>
      <w:pPr>
        <w:pStyle w:val="BodyText"/>
        <w:keepNext/>
        <w:widowControl/>
      </w:pPr>
      <w:r>
        <w:rPr>
          <w:b/>
          <w:bCs/>
        </w:rPr>
        <w:t xml:space="preserve">Supplementary Table 2 | Notation and source identifiers.</w:t>
      </w:r>
    </w:p>
    <w:tbl>
      <w:tblPr>
        <w:tblStyle w:val="Table"/>
        <w:tblW w:type="pct" w:w="5000"/>
        <w:tblLayout w:type="fixed"/>
        <w:tblLook w:firstRow="1" w:lastRow="0" w:firstColumn="0" w:lastColumn="0" w:noHBand="0" w:noVBand="0" w:val="0020"/>
      </w:tblPr>
      <w:tblGrid>
        <w:gridCol w:w="3960"/>
        <w:gridCol w:w="3960"/>
      </w:tblGrid>
      <w:tr>
        <w:trPr>
          <w:tblHeader w:val="on"/>
          <w:cantSplit/>
          <w:tblHeader/>
        </w:trPr>
        <w:tc>
          <w:tcPr>
            <w:tcW w:type="dxa" w:w="2608"/>
            <w:shd w:fill="EEEEEE"/>
          </w:tcPr>
          <w:p>
            <w:pPr>
              <w:pStyle w:val="Compact"/>
              <w:spacing w:line="252" w:lineRule="auto" w:after="80" w:before="60"/>
            </w:pPr>
            <w:r>
              <w:rPr>
                <w:rFonts w:ascii="Times New Roman" w:hAnsi="Times New Roman"/>
                <w:b/>
                <w:sz w:val="18"/>
              </w:rPr>
              <w:t xml:space="preserve">Manuscript notation</w:t>
            </w:r>
          </w:p>
        </w:tc>
        <w:tc>
          <w:tcPr>
            <w:tcW w:type="dxa" w:w="6690"/>
            <w:shd w:fill="EEEEEE"/>
          </w:tcPr>
          <w:p>
            <w:pPr>
              <w:pStyle w:val="Compact"/>
              <w:spacing w:line="252" w:lineRule="auto" w:after="80" w:before="60"/>
            </w:pPr>
            <w:r>
              <w:rPr>
                <w:rFonts w:ascii="Times New Roman" w:hAnsi="Times New Roman"/>
                <w:b/>
                <w:sz w:val="18"/>
              </w:rPr>
              <w:t xml:space="preserve">Original identifier or meaning</w:t>
            </w:r>
          </w:p>
        </w:tc>
      </w:tr>
      <w:tr>
        <w:trPr>
          <w:cantSplit/>
        </w:trPr>
        <w:tc>
          <w:tcPr>
            <w:tcW w:type="dxa" w:w="2608"/>
          </w:tcPr>
          <w:p>
            <w:pPr>
              <w:pStyle w:val="Compact"/>
              <w:spacing w:line="252" w:lineRule="auto" w:after="80" w:before="60"/>
            </w:pPr>
            <m:oMath>
              <m:sSub>
                <m:e>
                  <m:r>
                    <m:t>R</m:t>
                  </m:r>
                </m:e>
                <m:sub>
                  <m:r>
                    <m:t>n</m:t>
                  </m:r>
                </m:sub>
              </m:sSub>
            </m:oMath>
          </w:p>
        </w:tc>
        <w:tc>
          <w:tcPr>
            <w:tcW w:type="dxa" w:w="6690"/>
          </w:tcPr>
          <w:p>
            <w:pPr>
              <w:pStyle w:val="Compact"/>
              <w:spacing w:line="252" w:lineRule="auto" w:after="80" w:before="60"/>
            </w:pPr>
            <w:r>
              <w:rPr>
                <w:rStyle w:val="VerbatimChar"/>
                <w:rFonts w:ascii="Times New Roman" w:hAnsi="Times New Roman"/>
                <w:sz w:val="18"/>
              </w:rPr>
              <w:t xml:space="preserve">slotRadius r0 h n</w:t>
            </w:r>
          </w:p>
        </w:tc>
      </w:tr>
      <w:tr>
        <w:trPr>
          <w:cantSplit/>
        </w:trPr>
        <w:tc>
          <w:tcPr>
            <w:tcW w:type="dxa" w:w="2608"/>
          </w:tcPr>
          <w:p>
            <w:pPr>
              <w:pStyle w:val="Compact"/>
              <w:spacing w:line="252" w:lineRule="auto" w:after="80" w:before="60"/>
            </w:pPr>
            <m:oMath>
              <m:sSub>
                <m:e>
                  <m:r>
                    <m:t>L</m:t>
                  </m:r>
                </m:e>
                <m:sub>
                  <m:r>
                    <m:t>n</m:t>
                  </m:r>
                </m:sub>
              </m:sSub>
            </m:oMath>
          </w:p>
        </w:tc>
        <w:tc>
          <w:tcPr>
            <w:tcW w:type="dxa" w:w="6690"/>
          </w:tcPr>
          <w:p>
            <w:pPr>
              <w:pStyle w:val="Compact"/>
              <w:spacing w:line="252" w:lineRule="auto" w:after="80" w:before="60"/>
            </w:pPr>
            <w:r>
              <w:rPr>
                <w:rStyle w:val="VerbatimChar"/>
                <w:rFonts w:ascii="Times New Roman" w:hAnsi="Times New Roman"/>
                <w:sz w:val="18"/>
              </w:rPr>
              <w:t xml:space="preserve">ChartScales.slotLength r0 h n</w:t>
            </w:r>
          </w:p>
        </w:tc>
      </w:tr>
      <w:tr>
        <w:trPr>
          <w:cantSplit/>
        </w:trPr>
        <w:tc>
          <w:tcPr>
            <w:tcW w:type="dxa" w:w="2608"/>
          </w:tcPr>
          <w:p>
            <w:pPr>
              <w:pStyle w:val="Compact"/>
              <w:spacing w:line="252" w:lineRule="auto" w:after="80" w:before="60"/>
            </w:pPr>
            <m:oMath>
              <m:bar>
                <m:barPr>
                  <m:pos m:val="top"/>
                </m:barPr>
                <m:e>
                  <m:r>
                    <m:t>H</m:t>
                  </m:r>
                </m:e>
              </m:bar>
              <m:r>
                <m:rPr>
                  <m:sty m:val="p"/>
                </m:rPr>
                <m:t>(</m:t>
              </m:r>
              <m:r>
                <m:t>P</m:t>
              </m:r>
              <m:r>
                <m:rPr>
                  <m:sty m:val="p"/>
                </m:rPr>
                <m:t>)</m:t>
              </m:r>
            </m:oMath>
          </w:p>
        </w:tc>
        <w:tc>
          <w:tcPr>
            <w:tcW w:type="dxa" w:w="6690"/>
          </w:tcPr>
          <w:p>
            <w:pPr>
              <w:pStyle w:val="Compact"/>
              <w:spacing w:line="252" w:lineRule="auto" w:after="80" w:before="60"/>
            </w:pPr>
            <w:r>
              <w:rPr>
                <w:rStyle w:val="VerbatimChar"/>
                <w:rFonts w:ascii="Times New Roman" w:hAnsi="Times New Roman"/>
                <w:sz w:val="18"/>
              </w:rPr>
              <w:t xml:space="preserve">normalizedPair P</w:t>
            </w:r>
          </w:p>
        </w:tc>
      </w:tr>
      <w:tr>
        <w:trPr>
          <w:cantSplit/>
        </w:trPr>
        <w:tc>
          <w:tcPr>
            <w:tcW w:type="dxa" w:w="2608"/>
          </w:tcPr>
          <w:p>
            <w:pPr>
              <w:pStyle w:val="Compact"/>
              <w:spacing w:line="252" w:lineRule="auto" w:after="80" w:before="60"/>
            </w:pPr>
            <m:oMath>
              <m:sSub>
                <m:e>
                  <m:r>
                    <m:t>H</m:t>
                  </m:r>
                </m:e>
                <m:sub>
                  <m:r>
                    <m:t>0</m:t>
                  </m:r>
                </m:sub>
              </m:sSub>
              <m:r>
                <m:rPr>
                  <m:sty m:val="p"/>
                </m:rPr>
                <m:t>(</m:t>
              </m:r>
              <m:r>
                <m:t>ξ</m:t>
              </m:r>
              <m:r>
                <m:rPr>
                  <m:sty m:val="p"/>
                </m:rPr>
                <m:t>)</m:t>
              </m:r>
              <m:r>
                <m:rPr>
                  <m:sty m:val="p"/>
                </m:rPr>
                <m:t>,</m:t>
              </m:r>
              <m:sSub>
                <m:e>
                  <m:r>
                    <m:t>T</m:t>
                  </m:r>
                </m:e>
                <m:sub>
                  <m:r>
                    <m:t>0</m:t>
                  </m:r>
                </m:sub>
              </m:sSub>
              <m:r>
                <m:rPr>
                  <m:sty m:val="p"/>
                </m:rPr>
                <m:t>(</m:t>
              </m:r>
              <m:r>
                <m:t>ξ</m:t>
              </m:r>
              <m:r>
                <m:rPr>
                  <m:sty m:val="p"/>
                </m:rPr>
                <m:t>)</m:t>
              </m:r>
            </m:oMath>
          </w:p>
        </w:tc>
        <w:tc>
          <w:tcPr>
            <w:tcW w:type="dxa" w:w="6690"/>
          </w:tcPr>
          <w:p>
            <w:pPr>
              <w:pStyle w:val="Compact"/>
              <w:spacing w:line="252" w:lineRule="auto" w:after="80" w:before="60"/>
            </w:pPr>
            <w:r>
              <w:rPr>
                <w:rFonts w:ascii="Times New Roman" w:hAnsi="Times New Roman"/>
                <w:sz w:val="18"/>
              </w:rPr>
              <w:t xml:space="preserve">Reference matrix and target; original parameter name</w:t>
            </w:r>
            <w:r>
              <w:rPr>
                <w:rFonts w:ascii="Times New Roman" w:hAnsi="Times New Roman"/>
                <w:sz w:val="18"/>
              </w:rPr>
              <w:t xml:space="preserve"> </w:t>
            </w:r>
            <w:r>
              <w:rPr>
                <w:rStyle w:val="VerbatimChar"/>
                <w:rFonts w:ascii="Times New Roman" w:hAnsi="Times New Roman"/>
                <w:sz w:val="18"/>
              </w:rPr>
              <w:t xml:space="preserve">p</w:t>
            </w:r>
          </w:p>
        </w:tc>
      </w:tr>
      <w:tr>
        <w:trPr>
          <w:cantSplit/>
        </w:trPr>
        <w:tc>
          <w:tcPr>
            <w:tcW w:type="dxa" w:w="2608"/>
          </w:tcPr>
          <w:p>
            <w:pPr>
              <w:pStyle w:val="Compact"/>
              <w:spacing w:line="252" w:lineRule="auto" w:after="80" w:before="60"/>
            </w:pPr>
            <m:oMath>
              <m:r>
                <m:t>e</m:t>
              </m:r>
              <m:r>
                <m:rPr>
                  <m:sty m:val="p"/>
                </m:rPr>
                <m:t>,</m:t>
              </m:r>
              <m:r>
                <m:t>d</m:t>
              </m:r>
            </m:oMath>
          </w:p>
        </w:tc>
        <w:tc>
          <w:tcPr>
            <w:tcW w:type="dxa" w:w="6690"/>
          </w:tcPr>
          <w:p>
            <w:pPr>
              <w:pStyle w:val="Compact"/>
              <w:spacing w:line="252" w:lineRule="auto" w:after="80" w:before="60"/>
            </w:pPr>
            <w:r>
              <w:rPr>
                <w:rFonts w:ascii="Times New Roman" w:hAnsi="Times New Roman"/>
                <w:sz w:val="18"/>
              </w:rPr>
              <w:t xml:space="preserve">Source coefficients</w:t>
            </w:r>
            <w:r>
              <w:rPr>
                <w:rFonts w:ascii="Times New Roman" w:hAnsi="Times New Roman"/>
                <w:sz w:val="18"/>
              </w:rPr>
              <w:t xml:space="preserve"> </w:t>
            </w:r>
            <w:r>
              <w:rPr>
                <w:rStyle w:val="VerbatimChar"/>
                <w:rFonts w:ascii="Times New Roman" w:hAnsi="Times New Roman"/>
                <w:sz w:val="18"/>
              </w:rPr>
              <w:t xml:space="preserve">E,D</w:t>
            </w:r>
            <w:r>
              <w:rPr>
                <w:rFonts w:ascii="Times New Roman" w:hAnsi="Times New Roman"/>
                <w:sz w:val="18"/>
              </w:rPr>
              <w:t xml:space="preserve">, both non-negative</w:t>
            </w:r>
          </w:p>
        </w:tc>
      </w:tr>
      <w:tr>
        <w:trPr>
          <w:cantSplit/>
        </w:trPr>
        <w:tc>
          <w:tcPr>
            <w:tcW w:type="dxa" w:w="2608"/>
          </w:tcPr>
          <w:p>
            <w:pPr>
              <w:pStyle w:val="Compact"/>
              <w:spacing w:line="252" w:lineRule="auto" w:after="80" w:before="60"/>
            </w:pPr>
            <m:oMath>
              <m:r>
                <m:t>c</m:t>
              </m:r>
            </m:oMath>
          </w:p>
        </w:tc>
        <w:tc>
          <w:tcPr>
            <w:tcW w:type="dxa" w:w="6690"/>
          </w:tcPr>
          <w:p>
            <w:pPr>
              <w:pStyle w:val="Compact"/>
              <w:spacing w:line="252" w:lineRule="auto" w:after="80" w:before="60"/>
            </w:pPr>
            <w:r>
              <w:rPr>
                <w:rStyle w:val="VerbatimChar"/>
                <w:rFonts w:ascii="Times New Roman" w:hAnsi="Times New Roman"/>
                <w:sz w:val="18"/>
              </w:rPr>
              <w:t xml:space="preserve">PulseCovariance.concentrationConstant a A b B</w:t>
            </w:r>
          </w:p>
        </w:tc>
      </w:tr>
      <w:tr>
        <w:trPr>
          <w:cantSplit/>
        </w:trPr>
        <w:tc>
          <w:tcPr>
            <w:tcW w:type="dxa" w:w="2608"/>
          </w:tcPr>
          <w:p>
            <w:pPr>
              <w:pStyle w:val="Compact"/>
              <w:spacing w:line="252" w:lineRule="auto" w:after="80" w:before="60"/>
            </w:pPr>
            <m:oMath>
              <m:r>
                <m:t>Q</m:t>
              </m:r>
            </m:oMath>
          </w:p>
        </w:tc>
        <w:tc>
          <w:tcPr>
            <w:tcW w:type="dxa" w:w="6690"/>
          </w:tcPr>
          <w:p>
            <w:pPr>
              <w:pStyle w:val="Compact"/>
              <w:spacing w:line="252" w:lineRule="auto" w:after="80" w:before="60"/>
            </w:pPr>
            <w:r>
              <w:rPr>
                <w:rStyle w:val="VerbatimChar"/>
                <w:rFonts w:ascii="Times New Roman" w:hAnsi="Times New Roman"/>
                <w:sz w:val="18"/>
              </w:rPr>
              <w:t xml:space="preserve">E + D * abs c</w:t>
            </w:r>
          </w:p>
        </w:tc>
      </w:tr>
      <w:tr>
        <w:trPr>
          <w:cantSplit/>
        </w:trPr>
        <w:tc>
          <w:tcPr>
            <w:tcW w:type="dxa" w:w="2608"/>
          </w:tcPr>
          <w:p>
            <w:pPr>
              <w:pStyle w:val="Compact"/>
              <w:spacing w:line="252" w:lineRule="auto" w:after="80" w:before="60"/>
            </w:pPr>
            <m:oMath>
              <m:r>
                <m:t>ρ</m:t>
              </m:r>
              <m:r>
                <m:rPr>
                  <m:sty m:val="p"/>
                </m:rPr>
                <m:t>,</m:t>
              </m:r>
              <m:r>
                <m:t>δ</m:t>
              </m:r>
              <m:r>
                <m:rPr>
                  <m:sty m:val="p"/>
                </m:rPr>
                <m:t>,</m:t>
              </m:r>
              <m:r>
                <m:t>M</m:t>
              </m:r>
            </m:oMath>
          </w:p>
        </w:tc>
        <w:tc>
          <w:tcPr>
            <w:tcW w:type="dxa" w:w="6690"/>
          </w:tcPr>
          <w:p>
            <w:pPr>
              <w:pStyle w:val="Compact"/>
              <w:spacing w:line="252" w:lineRule="auto" w:after="80" w:before="60"/>
            </w:pPr>
            <w:r>
              <w:rPr>
                <w:rFonts w:ascii="Times New Roman" w:hAnsi="Times New Roman"/>
                <w:sz w:val="18"/>
              </w:rPr>
              <w:t xml:space="preserve">Uniform tolerance, positive margin and entry bound from the supplied compactness result</w:t>
            </w:r>
          </w:p>
        </w:tc>
      </w:tr>
      <w:tr>
        <w:trPr>
          <w:cantSplit/>
        </w:trPr>
        <w:tc>
          <w:tcPr>
            <w:tcW w:type="dxa" w:w="2608"/>
          </w:tcPr>
          <w:p>
            <w:pPr>
              <w:pStyle w:val="Compact"/>
              <w:spacing w:line="252" w:lineRule="auto" w:after="80" w:before="60"/>
            </w:pPr>
            <m:oMath>
              <m:sSub>
                <m:e>
                  <m:r>
                    <m:t>s</m:t>
                  </m:r>
                </m:e>
                <m:sub>
                  <m:r>
                    <m:t>n</m:t>
                  </m:r>
                </m:sub>
              </m:sSub>
            </m:oMath>
          </w:p>
        </w:tc>
        <w:tc>
          <w:tcPr>
            <w:tcW w:type="dxa" w:w="6690"/>
          </w:tcPr>
          <w:p>
            <w:pPr>
              <w:pStyle w:val="Compact"/>
              <w:spacing w:line="252" w:lineRule="auto" w:after="80" w:before="60"/>
            </w:pPr>
            <w:r>
              <w:rPr>
                <w:rStyle w:val="VerbatimChar"/>
                <w:rFonts w:ascii="Times New Roman" w:hAnsi="Times New Roman"/>
                <w:sz w:val="18"/>
              </w:rPr>
              <w:t xml:space="preserve">Real.sqrt (ChartScales.S n)</w:t>
            </w:r>
          </w:p>
        </w:tc>
      </w:tr>
      <w:tr>
        <w:trPr>
          <w:cantSplit/>
        </w:trPr>
        <w:tc>
          <w:tcPr>
            <w:tcW w:type="dxa" w:w="2608"/>
          </w:tcPr>
          <w:p>
            <w:pPr>
              <w:pStyle w:val="Compact"/>
              <w:spacing w:line="252" w:lineRule="auto" w:after="80" w:before="60"/>
            </w:pPr>
            <m:oMath>
              <m:sSub>
                <m:e>
                  <m:r>
                    <m:t>c</m:t>
                  </m:r>
                </m:e>
                <m:sub>
                  <m:r>
                    <m:t>j</m:t>
                  </m:r>
                </m:sub>
              </m:sSub>
            </m:oMath>
          </w:p>
        </w:tc>
        <w:tc>
          <w:tcPr>
            <w:tcW w:type="dxa" w:w="6690"/>
          </w:tcPr>
          <w:p>
            <w:pPr>
              <w:pStyle w:val="Compact"/>
              <w:spacing w:line="252" w:lineRule="auto" w:after="80" w:before="60"/>
            </w:pPr>
            <w:r>
              <w:rPr>
                <w:rFonts w:ascii="Times New Roman" w:hAnsi="Times New Roman"/>
                <w:sz w:val="18"/>
              </w:rPr>
              <w:t xml:space="preserve">Positive column-mass factors, distinct from</w:t>
            </w:r>
            <w:r>
              <w:rPr>
                <w:rFonts w:ascii="Times New Roman" w:hAnsi="Times New Roman"/>
                <w:sz w:val="18"/>
              </w:rPr>
              <w:t xml:space="preserve"> </w:t>
            </w:r>
            <m:oMath>
              <m:r>
                <m:t>c</m:t>
              </m:r>
            </m:oMath>
          </w:p>
        </w:tc>
      </w:tr>
    </w:tbl>
    <w:bookmarkEnd w:id="21"/>
    <w:bookmarkStart w:id="22" w:name="complete-transport-of-the-premise"/>
    <w:p>
      <w:pPr>
        <w:pStyle w:val="Heading3"/>
        <w:keepNext/>
        <w:widowControl/>
      </w:pPr>
      <w:r>
        <w:rPr>
          <w:rFonts w:ascii="Times New Roman" w:hAnsi="Times New Roman"/>
          <w:b/>
          <w:color w:val="000000"/>
          <w:sz w:val="24"/>
        </w:rPr>
        <w:t xml:space="preserve">4.2 Complete transport of the premise</w:t>
      </w:r>
    </w:p>
    <w:p>
      <w:pPr>
        <w:pStyle w:val="FirstParagraph"/>
        <w:widowControl/>
      </w:pPr>
      <w:r>
        <w:t xml:space="preserve">The available local hypothesis is</w:t>
      </w:r>
    </w:p>
    <w:p>
      <w:pPr>
        <w:pStyle w:val="BodyText"/>
        <w:widowControl/>
      </w:pPr>
      <m:oMathPara>
        <m:oMathParaPr>
          <m:jc m:val="center"/>
        </m:oMathParaPr>
        <m:oMath>
          <m:d>
            <m:dPr>
              <m:begChr m:val="|"/>
              <m:sepChr m:val=""/>
              <m:endChr m:val="|"/>
              <m:grow/>
            </m:dPr>
            <m:e>
              <m:f>
                <m:fPr>
                  <m:type m:val="bar"/>
                </m:fPr>
                <m:num>
                  <m:sSubSup>
                    <m:e>
                      <m:r>
                        <m:t>P</m:t>
                      </m:r>
                    </m:e>
                    <m:sub>
                      <m:r>
                        <m:t>j</m:t>
                      </m:r>
                    </m:sub>
                    <m:sup>
                      <m:r>
                        <m:t>t</m:t>
                      </m:r>
                    </m:sup>
                  </m:sSubSup>
                  <m:r>
                    <m:rPr>
                      <m:sty m:val="p"/>
                    </m:rPr>
                    <m:t>(</m:t>
                  </m:r>
                  <m:r>
                    <m:t>v</m:t>
                  </m:r>
                  <m:sSub>
                    <m:e>
                      <m:r>
                        <m:rPr>
                          <m:sty m:val="p"/>
                        </m:rPr>
                        <m:t>)</m:t>
                      </m:r>
                    </m:e>
                    <m:sub>
                      <m:r>
                        <m:t>i</m:t>
                      </m:r>
                    </m:sub>
                  </m:sSub>
                </m:num>
                <m:den>
                  <m:sSubSup>
                    <m:e>
                      <m:r>
                        <m:t>P</m:t>
                      </m:r>
                    </m:e>
                    <m:sub>
                      <m:r>
                        <m:t>j</m:t>
                      </m:r>
                    </m:sub>
                    <m:sup>
                      <m:r>
                        <m:t>x</m:t>
                      </m:r>
                    </m:sup>
                  </m:sSubSup>
                  <m:r>
                    <m:rPr>
                      <m:sty m:val="p"/>
                    </m:rPr>
                    <m:t>(</m:t>
                  </m:r>
                  <m:r>
                    <m:t>v</m:t>
                  </m:r>
                  <m:r>
                    <m:rPr>
                      <m:sty m:val="p"/>
                    </m:rPr>
                    <m:t>)</m:t>
                  </m:r>
                </m:den>
              </m:f>
              <m:r>
                <m:rPr>
                  <m:sty m:val="p"/>
                </m:rPr>
                <m:t>−</m:t>
              </m:r>
              <m:sSub>
                <m:e>
                  <m:r>
                    <m:t>H</m:t>
                  </m:r>
                </m:e>
                <m:sub>
                  <m:r>
                    <m:t>0</m:t>
                  </m:r>
                </m:sub>
              </m:sSub>
              <m:r>
                <m:rPr>
                  <m:sty m:val="p"/>
                </m:rPr>
                <m:t>(</m:t>
              </m:r>
              <m:r>
                <m:t>ξ</m:t>
              </m:r>
              <m:sSub>
                <m:e>
                  <m:r>
                    <m:rPr>
                      <m:sty m:val="p"/>
                    </m:rPr>
                    <m:t>)</m:t>
                  </m:r>
                </m:e>
                <m:sub>
                  <m:r>
                    <m:t>i</m:t>
                  </m:r>
                  <m:r>
                    <m:t>j</m:t>
                  </m:r>
                </m:sub>
              </m:sSub>
            </m:e>
          </m:d>
          <m:r>
            <m:rPr>
              <m:sty m:val="p"/>
            </m:rPr>
            <m:t>≤</m:t>
          </m:r>
          <m:f>
            <m:fPr>
              <m:type m:val="bar"/>
            </m:fPr>
            <m:num>
              <m:r>
                <m:t>e</m:t>
              </m:r>
            </m:num>
            <m:den>
              <m:sSub>
                <m:e>
                  <m:r>
                    <m:t>L</m:t>
                  </m:r>
                </m:e>
                <m:sub>
                  <m:r>
                    <m:t>n</m:t>
                  </m:r>
                </m:sub>
              </m:sSub>
            </m:den>
          </m:f>
          <m:r>
            <m:rPr>
              <m:sty m:val="p"/>
            </m:rPr>
            <m:t>+</m:t>
          </m:r>
          <m:r>
            <m:t>d</m:t>
          </m:r>
          <m:f>
            <m:fPr>
              <m:type m:val="bar"/>
            </m:fPr>
            <m:num>
              <m:r>
                <m:rPr>
                  <m:sty m:val="p"/>
                </m:rPr>
                <m:t>|</m:t>
              </m:r>
              <m:r>
                <m:t>v</m:t>
              </m:r>
              <m:r>
                <m:rPr>
                  <m:sty m:val="p"/>
                </m:rPr>
                <m:t>−</m:t>
              </m:r>
              <m:sSub>
                <m:e>
                  <m:r>
                    <m:t>L</m:t>
                  </m:r>
                </m:e>
                <m:sub>
                  <m:r>
                    <m:t>n</m:t>
                  </m:r>
                </m:sub>
              </m:sSub>
              <m:r>
                <m:rPr>
                  <m:sty m:val="p"/>
                </m:rPr>
                <m:t>/</m:t>
              </m:r>
              <m:r>
                <m:t>2</m:t>
              </m:r>
              <m:r>
                <m:rPr>
                  <m:sty m:val="p"/>
                </m:rPr>
                <m:t>|</m:t>
              </m:r>
            </m:num>
            <m:den>
              <m:sSub>
                <m:e>
                  <m:r>
                    <m:t>L</m:t>
                  </m:r>
                </m:e>
                <m:sub>
                  <m:r>
                    <m:t>n</m:t>
                  </m:r>
                </m:sub>
              </m:sSub>
            </m:den>
          </m:f>
          <m:r>
            <m:rPr>
              <m:sty m:val="p"/>
            </m:rPr>
            <m:t>,</m:t>
          </m:r>
          <m:r>
            <m:t>  </m:t>
          </m:r>
          <m:r>
            <m:t>v</m:t>
          </m:r>
          <m:r>
            <m:rPr>
              <m:sty m:val="p"/>
            </m:rPr>
            <m:t>∈</m:t>
          </m:r>
          <m:r>
            <m:rPr>
              <m:sty m:val="p"/>
            </m:rPr>
            <m:t>[</m:t>
          </m:r>
          <m:r>
            <m:t>0</m:t>
          </m:r>
          <m:r>
            <m:rPr>
              <m:sty m:val="p"/>
            </m:rPr>
            <m:t>,</m:t>
          </m:r>
          <m:sSub>
            <m:e>
              <m:r>
                <m:t>L</m:t>
              </m:r>
            </m:e>
            <m:sub>
              <m:r>
                <m:t>n</m:t>
              </m:r>
            </m:sub>
          </m:sSub>
          <m:r>
            <m:rPr>
              <m:sty m:val="p"/>
            </m:rPr>
            <m:t>]</m:t>
          </m:r>
          <m:r>
            <m:rPr>
              <m:sty m:val="p"/>
            </m:rPr>
            <m:t>.</m:t>
          </m:r>
        </m:oMath>
      </m:oMathPara>
    </w:p>
    <w:p>
      <w:pPr>
        <w:pStyle w:val="FirstParagraph"/>
        <w:widowControl/>
      </w:pPr>
      <w:r>
        <w:t xml:space="preserve">The integral estimate expects the same assertion with</w:t>
      </w:r>
      <w:r>
        <w:t xml:space="preserve"> </w:t>
      </w:r>
      <m:oMath>
        <m:sSubSup>
          <m:e>
            <m:r>
              <m:t>R</m:t>
            </m:r>
          </m:e>
          <m:sub>
            <m:r>
              <m:t>n</m:t>
            </m:r>
          </m:sub>
          <m:sup>
            <m:r>
              <m:t>2</m:t>
            </m:r>
          </m:sup>
        </m:sSubSup>
      </m:oMath>
      <w:r>
        <w:t xml:space="preserve"> </w:t>
      </w:r>
      <w:r>
        <w:t xml:space="preserve">everywhere in place of</w:t>
      </w:r>
      <w:r>
        <w:t xml:space="preserve"> </w:t>
      </w:r>
      <m:oMath>
        <m:sSub>
          <m:e>
            <m:r>
              <m:t>L</m:t>
            </m:r>
          </m:e>
          <m:sub>
            <m:r>
              <m:t>n</m:t>
            </m:r>
          </m:sub>
        </m:sSub>
      </m:oMath>
      <w:r>
        <w:t xml:space="preserve">. The provided</w:t>
      </w:r>
      <w:r>
        <w:t xml:space="preserve"> </w:t>
      </w:r>
      <w:r>
        <w:rPr>
          <w:rStyle w:val="VerbatimChar"/>
        </w:rPr>
        <w:t xml:space="preserve">slotRadius_sq</w:t>
      </w:r>
      <w:r>
        <w:t xml:space="preserve"> </w:t>
      </w:r>
      <w:r>
        <w:t xml:space="preserve">establishes their equality. For a given</w:t>
      </w:r>
      <w:r>
        <w:t xml:space="preserve"> </w:t>
      </w:r>
      <m:oMath>
        <m:r>
          <m:t>v</m:t>
        </m:r>
        <m:r>
          <m:rPr>
            <m:sty m:val="p"/>
          </m:rPr>
          <m:t>∈</m:t>
        </m:r>
        <m:r>
          <m:rPr>
            <m:sty m:val="p"/>
          </m:rPr>
          <m:t>[</m:t>
        </m:r>
        <m:r>
          <m:t>0</m:t>
        </m:r>
        <m:r>
          <m:rPr>
            <m:sty m:val="p"/>
          </m:rPr>
          <m:t>,</m:t>
        </m:r>
        <m:sSubSup>
          <m:e>
            <m:r>
              <m:t>R</m:t>
            </m:r>
          </m:e>
          <m:sub>
            <m:r>
              <m:t>n</m:t>
            </m:r>
          </m:sub>
          <m:sup>
            <m:r>
              <m:t>2</m:t>
            </m:r>
          </m:sup>
        </m:sSubSup>
        <m:r>
          <m:rPr>
            <m:sty m:val="p"/>
          </m:rPr>
          <m:t>]</m:t>
        </m:r>
      </m:oMath>
      <w:r>
        <w:t xml:space="preserve">, first transport membership to</w:t>
      </w:r>
      <w:r>
        <w:t xml:space="preserve"> </w:t>
      </w:r>
      <m:oMath>
        <m:r>
          <m:rPr>
            <m:sty m:val="p"/>
          </m:rPr>
          <m:t>[</m:t>
        </m:r>
        <m:r>
          <m:t>0</m:t>
        </m:r>
        <m:r>
          <m:rPr>
            <m:sty m:val="p"/>
          </m:rPr>
          <m:t>,</m:t>
        </m:r>
        <m:sSub>
          <m:e>
            <m:r>
              <m:t>L</m:t>
            </m:r>
          </m:e>
          <m:sub>
            <m:r>
              <m:t>n</m:t>
            </m:r>
          </m:sub>
        </m:sSub>
        <m:r>
          <m:rPr>
            <m:sty m:val="p"/>
          </m:rPr>
          <m:t>]</m:t>
        </m:r>
      </m:oMath>
      <w:r>
        <w:t xml:space="preserve">, apply the hypothesis, and then transport the resulting inequality—including its denominators and centre—back to the expected form. The second transport is logically distinct from the first because the local predicate depends on the scale expression.</w:t>
      </w:r>
    </w:p>
    <w:p>
      <w:pPr>
        <w:pStyle w:val="BodyText"/>
        <w:widowControl/>
      </w:pPr>
      <w:r>
        <w:t xml:space="preserve">The recorded successful proof performs both operations. The last declarations-only candidate performs the membership transport and then returns the unchanged conclusion of</w:t>
      </w:r>
      <w:r>
        <w:t xml:space="preserve"> </w:t>
      </w:r>
      <w:r>
        <w:rPr>
          <w:rStyle w:val="VerbatimChar"/>
        </w:rPr>
        <w:t xml:space="preserve">hratio</w:t>
      </w:r>
      <w:r>
        <w:t xml:space="preserve">, whose displayed type still contains</w:t>
      </w:r>
      <w:r>
        <w:t xml:space="preserve"> </w:t>
      </w:r>
      <m:oMath>
        <m:sSub>
          <m:e>
            <m:r>
              <m:t>L</m:t>
            </m:r>
          </m:e>
          <m:sub>
            <m:r>
              <m:t>n</m:t>
            </m:r>
          </m:sub>
        </m:sSub>
      </m:oMath>
      <w:r>
        <w:t xml:space="preserve">. Its retained compiler message identifies the resulting mismatch. Both invoke the two relevant lemmas. The evidence therefore concerns application and representation alignment, not simple absence of premise retrieval.</w:t>
      </w:r>
    </w:p>
    <w:bookmarkEnd w:id="22"/>
    <w:bookmarkStart w:id="23" w:name="scalar-closure-and-supplied-consumer"/>
    <w:p>
      <w:pPr>
        <w:pStyle w:val="Heading3"/>
        <w:keepNext/>
        <w:widowControl/>
      </w:pPr>
      <w:r>
        <w:rPr>
          <w:rFonts w:ascii="Times New Roman" w:hAnsi="Times New Roman"/>
          <w:b/>
          <w:color w:val="000000"/>
          <w:sz w:val="24"/>
        </w:rPr>
        <w:t xml:space="preserve">4.3 Scalar closure and supplied consumer</w:t>
      </w:r>
    </w:p>
    <w:p>
      <w:pPr>
        <w:pStyle w:val="FirstParagraph"/>
        <w:widowControl/>
      </w:pPr>
      <w:r>
        <w:t xml:space="preserve">With the transported hypothesis, the provided integral theorem gives</w:t>
      </w:r>
    </w:p>
    <w:p>
      <w:pPr>
        <w:pStyle w:val="BodyText"/>
        <w:widowControl/>
      </w:pPr>
      <m:oMathPara>
        <m:oMathParaPr>
          <m:jc m:val="center"/>
        </m:oMathParaPr>
        <m:oMath>
          <m:sSub>
            <m:e>
              <m:r>
                <m:t>d</m:t>
              </m:r>
            </m:e>
            <m:sub>
              <m:r>
                <m:t>i</m:t>
              </m:r>
              <m:r>
                <m:t>j</m:t>
              </m:r>
            </m:sub>
          </m:sSub>
          <m:box>
            <m:boxPr>
              <m:opEmu m:val="on"/>
            </m:boxPr>
            <m:e>
              <m:r>
                <m:rPr>
                  <m:sty m:val="p"/>
                </m:rPr>
                <m:t>:=</m:t>
              </m:r>
            </m:e>
          </m:box>
          <m:r>
            <m:rPr>
              <m:sty m:val="p"/>
            </m:rPr>
            <m:t>|</m:t>
          </m:r>
          <m:bar>
            <m:barPr>
              <m:pos m:val="top"/>
            </m:barPr>
            <m:e>
              <m:r>
                <m:t>H</m:t>
              </m:r>
            </m:e>
          </m:bar>
          <m:r>
            <m:rPr>
              <m:sty m:val="p"/>
            </m:rPr>
            <m:t>(</m:t>
          </m:r>
          <m:r>
            <m:t>P</m:t>
          </m:r>
          <m:sSub>
            <m:e>
              <m:r>
                <m:rPr>
                  <m:sty m:val="p"/>
                </m:rPr>
                <m:t>)</m:t>
              </m:r>
            </m:e>
            <m:sub>
              <m:r>
                <m:t>i</m:t>
              </m:r>
              <m:r>
                <m:t>j</m:t>
              </m:r>
            </m:sub>
          </m:sSub>
          <m:r>
            <m:rPr>
              <m:sty m:val="p"/>
            </m:rPr>
            <m:t>−</m:t>
          </m:r>
          <m:sSub>
            <m:e>
              <m:r>
                <m:t>H</m:t>
              </m:r>
            </m:e>
            <m:sub>
              <m:r>
                <m:t>0</m:t>
              </m:r>
            </m:sub>
          </m:sSub>
          <m:r>
            <m:rPr>
              <m:sty m:val="p"/>
            </m:rPr>
            <m:t>(</m:t>
          </m:r>
          <m:r>
            <m:t>ξ</m:t>
          </m:r>
          <m:sSub>
            <m:e>
              <m:r>
                <m:rPr>
                  <m:sty m:val="p"/>
                </m:rPr>
                <m:t>)</m:t>
              </m:r>
            </m:e>
            <m:sub>
              <m:r>
                <m:t>i</m:t>
              </m:r>
              <m:r>
                <m:t>j</m:t>
              </m:r>
            </m:sub>
          </m:sSub>
          <m:r>
            <m:rPr>
              <m:sty m:val="p"/>
            </m:rPr>
            <m:t>|</m:t>
          </m:r>
          <m:r>
            <m:rPr>
              <m:sty m:val="p"/>
            </m:rPr>
            <m:t>≤</m:t>
          </m:r>
          <m:r>
            <m:rPr>
              <m:sty m:val="p"/>
            </m:rPr>
            <m:t>(</m:t>
          </m:r>
          <m:r>
            <m:t>e</m:t>
          </m:r>
          <m:r>
            <m:rPr>
              <m:sty m:val="p"/>
            </m:rPr>
            <m:t>+</m:t>
          </m:r>
          <m:r>
            <m:t>d</m:t>
          </m:r>
          <m:r>
            <m:t>c</m:t>
          </m:r>
          <m:r>
            <m:rPr>
              <m:sty m:val="p"/>
            </m:rPr>
            <m:t>)</m:t>
          </m:r>
          <m:r>
            <m:rPr>
              <m:sty m:val="p"/>
            </m:rPr>
            <m:t>/</m:t>
          </m:r>
          <m:sSub>
            <m:e>
              <m:r>
                <m:t>R</m:t>
              </m:r>
            </m:e>
            <m:sub>
              <m:r>
                <m:t>n</m:t>
              </m:r>
            </m:sub>
          </m:sSub>
          <m:r>
            <m:rPr>
              <m:sty m:val="p"/>
            </m:rPr>
            <m:t>.</m:t>
          </m:r>
        </m:oMath>
      </m:oMathPara>
    </w:p>
    <w:p>
      <w:pPr>
        <w:pStyle w:val="FirstParagraph"/>
        <w:widowControl/>
      </w:pPr>
      <w:r>
        <w:t xml:space="preserve">Since</w:t>
      </w:r>
      <w:r>
        <w:t xml:space="preserve"> </w:t>
      </w:r>
      <m:oMath>
        <m:r>
          <m:t>d</m:t>
        </m:r>
        <m:r>
          <m:rPr>
            <m:sty m:val="p"/>
          </m:rPr>
          <m:t>≥</m:t>
        </m:r>
        <m:r>
          <m:t>0</m:t>
        </m:r>
      </m:oMath>
      <w:r>
        <w:t xml:space="preserve">,</w:t>
      </w:r>
      <w:r>
        <w:t xml:space="preserve"> </w:t>
      </w:r>
      <m:oMath>
        <m:r>
          <m:t>c</m:t>
        </m:r>
        <m:r>
          <m:rPr>
            <m:sty m:val="p"/>
          </m:rPr>
          <m:t>≤</m:t>
        </m:r>
        <m:r>
          <m:rPr>
            <m:sty m:val="p"/>
          </m:rPr>
          <m:t>|</m:t>
        </m:r>
        <m:r>
          <m:t>c</m:t>
        </m:r>
        <m:r>
          <m:rPr>
            <m:sty m:val="p"/>
          </m:rPr>
          <m:t>|</m:t>
        </m:r>
      </m:oMath>
      <w:r>
        <w:t xml:space="preserve"> </w:t>
      </w:r>
      <w:r>
        <w:t xml:space="preserve">gives</w:t>
      </w:r>
      <w:r>
        <w:t xml:space="preserve"> </w:t>
      </w:r>
      <m:oMath>
        <m:r>
          <m:t>e</m:t>
        </m:r>
        <m:r>
          <m:rPr>
            <m:sty m:val="p"/>
          </m:rPr>
          <m:t>+</m:t>
        </m:r>
        <m:r>
          <m:t>d</m:t>
        </m:r>
        <m:r>
          <m:t>c</m:t>
        </m:r>
        <m:r>
          <m:rPr>
            <m:sty m:val="p"/>
          </m:rPr>
          <m:t>≤</m:t>
        </m:r>
        <m:r>
          <m:t>e</m:t>
        </m:r>
        <m:r>
          <m:rPr>
            <m:sty m:val="p"/>
          </m:rPr>
          <m:t>+</m:t>
        </m:r>
        <m:r>
          <m:t>d</m:t>
        </m:r>
        <m:r>
          <m:rPr>
            <m:sty m:val="p"/>
          </m:rPr>
          <m:t>|</m:t>
        </m:r>
        <m:r>
          <m:t>c</m:t>
        </m:r>
        <m:r>
          <m:rPr>
            <m:sty m:val="p"/>
          </m:rPr>
          <m:t>|</m:t>
        </m:r>
      </m:oMath>
      <w:r>
        <w:t xml:space="preserve">. Division by</w:t>
      </w:r>
      <w:r>
        <w:t xml:space="preserve"> </w:t>
      </w:r>
      <m:oMath>
        <m:sSub>
          <m:e>
            <m:r>
              <m:t>R</m:t>
            </m:r>
          </m:e>
          <m:sub>
            <m:r>
              <m:t>n</m:t>
            </m:r>
          </m:sub>
        </m:sSub>
        <m:r>
          <m:rPr>
            <m:sty m:val="p"/>
          </m:rPr>
          <m:t>&gt;</m:t>
        </m:r>
        <m:r>
          <m:t>0</m:t>
        </m:r>
      </m:oMath>
      <w:r>
        <w:t xml:space="preserve"> </w:t>
      </w:r>
      <w:r>
        <w:t xml:space="preserve">preserves the inequality. With</w:t>
      </w:r>
      <w:r>
        <w:t xml:space="preserve"> </w:t>
      </w:r>
      <m:oMath>
        <m:r>
          <m:t>Q</m:t>
        </m:r>
        <m:r>
          <m:rPr>
            <m:sty m:val="p"/>
          </m:rPr>
          <m:t>=</m:t>
        </m:r>
        <m:r>
          <m:t>e</m:t>
        </m:r>
        <m:r>
          <m:rPr>
            <m:sty m:val="p"/>
          </m:rPr>
          <m:t>+</m:t>
        </m:r>
        <m:r>
          <m:t>d</m:t>
        </m:r>
        <m:r>
          <m:rPr>
            <m:sty m:val="p"/>
          </m:rPr>
          <m:t>|</m:t>
        </m:r>
        <m:r>
          <m:t>c</m:t>
        </m:r>
        <m:r>
          <m:rPr>
            <m:sty m:val="p"/>
          </m:rPr>
          <m:t>|</m:t>
        </m:r>
      </m:oMath>
      <w:r>
        <w:t xml:space="preserve"> </w:t>
      </w:r>
      <w:r>
        <w:t xml:space="preserve">and the supplied</w:t>
      </w:r>
      <w:r>
        <w:t xml:space="preserve"> </w:t>
      </w:r>
      <w:r>
        <w:rPr>
          <w:rStyle w:val="VerbatimChar"/>
        </w:rPr>
        <w:t xml:space="preserve">hsmall</w:t>
      </w:r>
      <w:r>
        <w:t xml:space="preserve">,</w:t>
      </w:r>
    </w:p>
    <w:p>
      <w:pPr>
        <w:pStyle w:val="BodyText"/>
        <w:widowControl/>
      </w:pPr>
      <m:oMathPara>
        <m:oMathParaPr>
          <m:jc m:val="center"/>
        </m:oMathParaPr>
        <m:oMath>
          <m:sSub>
            <m:e>
              <m:r>
                <m:t>d</m:t>
              </m:r>
            </m:e>
            <m:sub>
              <m:r>
                <m:t>i</m:t>
              </m:r>
              <m:r>
                <m:t>j</m:t>
              </m:r>
            </m:sub>
          </m:sSub>
          <m:r>
            <m:rPr>
              <m:sty m:val="p"/>
            </m:rPr>
            <m:t>≤</m:t>
          </m:r>
          <m:r>
            <m:rPr>
              <m:sty m:val="p"/>
            </m:rPr>
            <m:t>(</m:t>
          </m:r>
          <m:r>
            <m:t>e</m:t>
          </m:r>
          <m:r>
            <m:rPr>
              <m:sty m:val="p"/>
            </m:rPr>
            <m:t>+</m:t>
          </m:r>
          <m:r>
            <m:t>d</m:t>
          </m:r>
          <m:r>
            <m:t>c</m:t>
          </m:r>
          <m:r>
            <m:rPr>
              <m:sty m:val="p"/>
            </m:rPr>
            <m:t>)</m:t>
          </m:r>
          <m:r>
            <m:rPr>
              <m:sty m:val="p"/>
            </m:rPr>
            <m:t>/</m:t>
          </m:r>
          <m:sSub>
            <m:e>
              <m:r>
                <m:t>R</m:t>
              </m:r>
            </m:e>
            <m:sub>
              <m:r>
                <m:t>n</m:t>
              </m:r>
            </m:sub>
          </m:sSub>
          <m:r>
            <m:rPr>
              <m:sty m:val="p"/>
            </m:rPr>
            <m:t>≤</m:t>
          </m:r>
          <m:r>
            <m:t>Q</m:t>
          </m:r>
          <m:r>
            <m:rPr>
              <m:sty m:val="p"/>
            </m:rPr>
            <m:t>/</m:t>
          </m:r>
          <m:sSub>
            <m:e>
              <m:r>
                <m:t>R</m:t>
              </m:r>
            </m:e>
            <m:sub>
              <m:r>
                <m:t>n</m:t>
              </m:r>
            </m:sub>
          </m:sSub>
          <m:r>
            <m:rPr>
              <m:sty m:val="p"/>
            </m:rPr>
            <m:t>≤</m:t>
          </m:r>
          <m:r>
            <m:t>ρ</m:t>
          </m:r>
          <m:r>
            <m:rPr>
              <m:sty m:val="p"/>
            </m:rPr>
            <m:t>.</m:t>
          </m:r>
        </m:oMath>
      </m:oMathPara>
    </w:p>
    <w:p>
      <w:pPr>
        <w:pStyle w:val="FirstParagraph"/>
        <w:widowControl/>
      </w:pPr>
      <w:r>
        <w:t xml:space="preserve">No assertion that</w:t>
      </w:r>
      <w:r>
        <w:t xml:space="preserve"> </w:t>
      </w:r>
      <m:oMath>
        <m:r>
          <m:t>c</m:t>
        </m:r>
        <m:r>
          <m:rPr>
            <m:sty m:val="p"/>
          </m:rPr>
          <m:t>&gt;</m:t>
        </m:r>
        <m:r>
          <m:t>0</m:t>
        </m:r>
      </m:oMath>
      <w:r>
        <w:t xml:space="preserve"> </w:t>
      </w:r>
      <w:r>
        <w:t xml:space="preserve">or</w:t>
      </w:r>
      <w:r>
        <w:t xml:space="preserve"> </w:t>
      </w:r>
      <m:oMath>
        <m:r>
          <m:t>Q</m:t>
        </m:r>
        <m:r>
          <m:rPr>
            <m:sty m:val="p"/>
          </m:rPr>
          <m:t>&gt;</m:t>
        </m:r>
        <m:r>
          <m:t>0</m:t>
        </m:r>
      </m:oMath>
      <w:r>
        <w:t xml:space="preserve"> </w:t>
      </w:r>
      <w:r>
        <w:t xml:space="preserve">is needed. The uniform constants and threshold are chosen before the chart parameter, pulse, scale index and multiplier in the enclosing theorem; a finite set of numerical values cannot replace that quantifier order.</w:t>
      </w:r>
    </w:p>
    <w:p>
      <w:pPr>
        <w:pStyle w:val="BodyText"/>
        <w:widowControl/>
      </w:pPr>
      <w:r>
        <w:t xml:space="preserve">The fixed line</w:t>
      </w:r>
    </w:p>
    <w:p>
      <w:pPr>
        <w:pStyle w:val="SourceCode"/>
        <w:keepNext w:val="0"/>
        <w:widowControl/>
        <w:ind w:left="113" w:right="57"/>
      </w:pPr>
      <w:r>
        <w:rPr>
          <w:rStyle w:val="VerbatimChar"/>
          <w:rFonts w:ascii="DejaVu Sans Mono" w:hAnsi="DejaVu Sans Mono"/>
          <w:sz w:val="15"/>
        </w:rPr>
        <w:t xml:space="preserve">obtain ⟨hd, hw, he⟩ :=</w:t>
      </w:r>
      <w:r>
        <w:rPr>
          <w:rFonts w:ascii="DejaVu Sans Mono" w:hAnsi="DejaVu Sans Mono"/>
          <w:sz w:val="15"/>
        </w:rPr>
        <w:br/>
      </w:r>
      <w:r>
        <w:rPr>
          <w:rStyle w:val="VerbatimChar"/>
          <w:rFonts w:ascii="DejaVu Sans Mono" w:hAnsi="DejaVu Sans Mono"/>
          <w:sz w:val="15"/>
        </w:rPr>
        <w:t xml:space="preserve">  hmargin p hp (normalizedPair P) hclose</w:t>
      </w:r>
    </w:p>
    <w:p>
      <w:pPr>
        <w:pStyle w:val="FirstParagraph"/>
        <w:widowControl/>
      </w:pPr>
      <w:r>
        <w:t xml:space="preserve">then consumes the generated proof. The remaining fixed code invokes</w:t>
      </w:r>
      <w:r>
        <w:t xml:space="preserve"> </w:t>
      </w:r>
      <w:r>
        <w:rPr>
          <w:rStyle w:val="VerbatimChar"/>
        </w:rPr>
        <w:t xml:space="preserve">column_scale_bounds</w:t>
      </w:r>
      <w:r>
        <w:t xml:space="preserve"> </w:t>
      </w:r>
      <w:r>
        <w:t xml:space="preserve">and completes</w:t>
      </w:r>
      <w:r>
        <w:t xml:space="preserve"> </w:t>
      </w:r>
      <w:r>
        <w:rPr>
          <w:rStyle w:val="VerbatimChar"/>
        </w:rPr>
        <w:t xml:space="preserve">ZeroOrderBounds</w:t>
      </w:r>
      <w:r>
        <w:t xml:space="preserve">. Thus the accepted object serves as an actual premise of the next operation, but the downstream organisation was already supplied.</w:t>
      </w:r>
    </w:p>
    <w:p>
      <w:pPr>
        <w:pStyle w:val="BodyText"/>
        <w:widowControl/>
      </w:pPr>
      <w:r>
        <w:t xml:space="preserve">For clarity, the supplied algebra has the form</w:t>
      </w:r>
      <w:r>
        <w:t xml:space="preserve"> </w:t>
      </w:r>
      <m:oMath>
        <m:r>
          <m:t>A</m:t>
        </m:r>
        <m:r>
          <m:rPr>
            <m:sty m:val="p"/>
          </m:rPr>
          <m:t>=</m:t>
        </m:r>
        <m:r>
          <m:t>B</m:t>
        </m:r>
        <m:r>
          <m:rPr>
            <m:sty m:val="p"/>
          </m:rPr>
          <m:t>diag</m:t>
        </m:r>
        <m:r>
          <m:rPr>
            <m:sty m:val="p"/>
          </m:rPr>
          <m:t>(</m:t>
        </m:r>
        <m:sSub>
          <m:e>
            <m:r>
              <m:t>c</m:t>
            </m:r>
          </m:e>
          <m:sub>
            <m:r>
              <m:t>0</m:t>
            </m:r>
          </m:sub>
        </m:sSub>
        <m:r>
          <m:rPr>
            <m:sty m:val="p"/>
          </m:rPr>
          <m:t>,</m:t>
        </m:r>
        <m:sSub>
          <m:e>
            <m:r>
              <m:t>c</m:t>
            </m:r>
          </m:e>
          <m:sub>
            <m:r>
              <m:t>1</m:t>
            </m:r>
          </m:sub>
        </m:sSub>
        <m:r>
          <m:rPr>
            <m:sty m:val="p"/>
          </m:rPr>
          <m:t>)</m:t>
        </m:r>
      </m:oMath>
      <w:r>
        <w:t xml:space="preserve"> </w:t>
      </w:r>
      <w:r>
        <w:t xml:space="preserve">with</w:t>
      </w:r>
      <w:r>
        <w:t xml:space="preserve"> </w:t>
      </w:r>
      <m:oMath>
        <m:sSub>
          <m:e>
            <m:r>
              <m:t>s</m:t>
            </m:r>
          </m:e>
          <m:sub>
            <m:r>
              <m:t>n</m:t>
            </m:r>
          </m:sub>
        </m:sSub>
        <m:r>
          <m:rPr>
            <m:sty m:val="p"/>
          </m:rPr>
          <m:t>&gt;</m:t>
        </m:r>
        <m:r>
          <m:t>0</m:t>
        </m:r>
      </m:oMath>
      <w:r>
        <w:t xml:space="preserve">,</w:t>
      </w:r>
      <w:r>
        <w:t xml:space="preserve"> </w:t>
      </w:r>
      <m:oMath>
        <m:r>
          <m:t>0</m:t>
        </m:r>
        <m:r>
          <m:rPr>
            <m:sty m:val="p"/>
          </m:rPr>
          <m:t>&lt;</m:t>
        </m:r>
        <m:r>
          <m:t>ℓ</m:t>
        </m:r>
        <m:r>
          <m:rPr>
            <m:sty m:val="p"/>
          </m:rPr>
          <m:t>≤</m:t>
        </m:r>
        <m:sSub>
          <m:e>
            <m:r>
              <m:t>s</m:t>
            </m:r>
          </m:e>
          <m:sub>
            <m:r>
              <m:t>n</m:t>
            </m:r>
          </m:sub>
        </m:sSub>
        <m:sSub>
          <m:e>
            <m:r>
              <m:t>c</m:t>
            </m:r>
          </m:e>
          <m:sub>
            <m:r>
              <m:t>j</m:t>
            </m:r>
          </m:sub>
        </m:sSub>
        <m:r>
          <m:rPr>
            <m:sty m:val="p"/>
          </m:rPr>
          <m:t>≤</m:t>
        </m:r>
        <m:r>
          <m:t>v</m:t>
        </m:r>
      </m:oMath>
      <w:r>
        <w:t xml:space="preserve">,</w:t>
      </w:r>
      <w:r>
        <w:t xml:space="preserve"> </w:t>
      </w:r>
      <m:oMath>
        <m:r>
          <m:rPr>
            <m:sty m:val="p"/>
          </m:rPr>
          <m:t>|</m:t>
        </m:r>
        <m:r>
          <m:rPr>
            <m:sty m:val="p"/>
          </m:rPr>
          <m:t>det</m:t>
        </m:r>
        <m:r>
          <m:t>B</m:t>
        </m:r>
        <m:r>
          <m:rPr>
            <m:sty m:val="p"/>
          </m:rPr>
          <m:t>|</m:t>
        </m:r>
        <m:r>
          <m:rPr>
            <m:sty m:val="p"/>
          </m:rPr>
          <m:t>≥</m:t>
        </m:r>
        <m:r>
          <m:t>δ</m:t>
        </m:r>
      </m:oMath>
      <w:r>
        <w:t xml:space="preserve">,</w:t>
      </w:r>
      <w:r>
        <w:t xml:space="preserve"> </w:t>
      </w:r>
      <m:oMath>
        <m:r>
          <m:rPr>
            <m:sty m:val="p"/>
          </m:rPr>
          <m:t>|</m:t>
        </m:r>
        <m:sSub>
          <m:e>
            <m:r>
              <m:t>B</m:t>
            </m:r>
          </m:e>
          <m:sub>
            <m:r>
              <m:t>i</m:t>
            </m:r>
            <m:r>
              <m:t>j</m:t>
            </m:r>
          </m:sub>
        </m:sSub>
        <m:r>
          <m:rPr>
            <m:sty m:val="p"/>
          </m:rPr>
          <m:t>|</m:t>
        </m:r>
        <m:r>
          <m:rPr>
            <m:sty m:val="p"/>
          </m:rPr>
          <m:t>≤</m:t>
        </m:r>
        <m:r>
          <m:t>M</m:t>
        </m:r>
      </m:oMath>
      <w:r>
        <w:t xml:space="preserve"> </w:t>
      </w:r>
      <w:r>
        <w:t xml:space="preserve">and</w:t>
      </w:r>
      <w:r>
        <w:t xml:space="preserve"> </w:t>
      </w:r>
      <m:oMath>
        <m:r>
          <m:rPr>
            <m:sty m:val="p"/>
          </m:rPr>
          <m:t>(</m:t>
        </m:r>
        <m:sSup>
          <m:e>
            <m:r>
              <m:t>B</m:t>
            </m:r>
          </m:e>
          <m:sup>
            <m:r>
              <m:rPr>
                <m:sty m:val="p"/>
              </m:rPr>
              <m:t>−</m:t>
            </m:r>
            <m:r>
              <m:t>1</m:t>
            </m:r>
          </m:sup>
        </m:sSup>
        <m:sSub>
          <m:e>
            <m:r>
              <m:t>T</m:t>
            </m:r>
          </m:e>
          <m:sub>
            <m:r>
              <m:t>0</m:t>
            </m:r>
          </m:sub>
        </m:sSub>
        <m:sSub>
          <m:e>
            <m:r>
              <m:rPr>
                <m:sty m:val="p"/>
              </m:rPr>
              <m:t>)</m:t>
            </m:r>
          </m:e>
          <m:sub>
            <m:r>
              <m:t>j</m:t>
            </m:r>
          </m:sub>
        </m:sSub>
        <m:r>
          <m:rPr>
            <m:sty m:val="p"/>
          </m:rPr>
          <m:t>≥</m:t>
        </m:r>
        <m:r>
          <m:t>δ</m:t>
        </m:r>
      </m:oMath>
      <w:r>
        <w:t xml:space="preserve">. For</w:t>
      </w:r>
      <w:r>
        <w:t xml:space="preserve"> </w:t>
      </w:r>
      <m:oMath>
        <m:r>
          <m:t>ζ</m:t>
        </m:r>
        <m:r>
          <m:rPr>
            <m:sty m:val="p"/>
          </m:rPr>
          <m:t>≥</m:t>
        </m:r>
        <m:r>
          <m:t>0</m:t>
        </m:r>
      </m:oMath>
      <w:r>
        <w:t xml:space="preserve">,</w:t>
      </w:r>
    </w:p>
    <w:p>
      <w:pPr>
        <w:pStyle w:val="BodyText"/>
        <w:widowControl/>
      </w:pPr>
      <m:oMathPara>
        <m:oMathParaPr>
          <m:jc m:val="center"/>
        </m:oMathParaPr>
        <m:oMath>
          <m:r>
            <m:rPr>
              <m:sty m:val="p"/>
            </m:rPr>
            <m:t>|</m:t>
          </m:r>
          <m:r>
            <m:rPr>
              <m:sty m:val="p"/>
            </m:rPr>
            <m:t>det</m:t>
          </m:r>
          <m:r>
            <m:rPr>
              <m:sty m:val="p"/>
            </m:rPr>
            <m:t>(</m:t>
          </m:r>
          <m:sSub>
            <m:e>
              <m:r>
                <m:t>s</m:t>
              </m:r>
            </m:e>
            <m:sub>
              <m:r>
                <m:t>n</m:t>
              </m:r>
            </m:sub>
          </m:sSub>
          <m:r>
            <m:t>A</m:t>
          </m:r>
          <m:r>
            <m:rPr>
              <m:sty m:val="p"/>
            </m:rPr>
            <m:t>)</m:t>
          </m:r>
          <m:r>
            <m:rPr>
              <m:sty m:val="p"/>
            </m:rPr>
            <m:t>|</m:t>
          </m:r>
          <m:r>
            <m:rPr>
              <m:sty m:val="p"/>
            </m:rPr>
            <m:t>≥</m:t>
          </m:r>
          <m:sSup>
            <m:e>
              <m:r>
                <m:t>ℓ</m:t>
              </m:r>
            </m:e>
            <m:sup>
              <m:r>
                <m:t>2</m:t>
              </m:r>
            </m:sup>
          </m:sSup>
          <m:r>
            <m:t>δ</m:t>
          </m:r>
          <m:r>
            <m:rPr>
              <m:sty m:val="p"/>
            </m:rPr>
            <m:t>,</m:t>
          </m:r>
          <m:r>
            <m:t>  </m:t>
          </m:r>
          <m:r>
            <m:rPr>
              <m:sty m:val="p"/>
            </m:rPr>
            <m:t>|</m:t>
          </m:r>
          <m:r>
            <m:rPr>
              <m:sty m:val="p"/>
            </m:rPr>
            <m:t>(</m:t>
          </m:r>
          <m:sSub>
            <m:e>
              <m:r>
                <m:t>s</m:t>
              </m:r>
            </m:e>
            <m:sub>
              <m:r>
                <m:t>n</m:t>
              </m:r>
            </m:sub>
          </m:sSub>
          <m:r>
            <m:t>A</m:t>
          </m:r>
          <m:sSub>
            <m:e>
              <m:r>
                <m:rPr>
                  <m:sty m:val="p"/>
                </m:rPr>
                <m:t>)</m:t>
              </m:r>
            </m:e>
            <m:sub>
              <m:r>
                <m:t>i</m:t>
              </m:r>
              <m:r>
                <m:t>j</m:t>
              </m:r>
            </m:sub>
          </m:sSub>
          <m:r>
            <m:rPr>
              <m:sty m:val="p"/>
            </m:rPr>
            <m:t>|</m:t>
          </m:r>
          <m:r>
            <m:rPr>
              <m:sty m:val="p"/>
            </m:rPr>
            <m:t>≤</m:t>
          </m:r>
          <m:r>
            <m:t>v</m:t>
          </m:r>
          <m:r>
            <m:t>M</m:t>
          </m:r>
          <m:r>
            <m:rPr>
              <m:sty m:val="p"/>
            </m:rPr>
            <m:t>,</m:t>
          </m:r>
        </m:oMath>
      </m:oMathPara>
    </w:p>
    <w:p>
      <w:pPr>
        <w:pStyle w:val="FirstParagraph"/>
        <w:widowControl/>
      </w:pPr>
      <m:oMathPara>
        <m:oMathParaPr>
          <m:jc m:val="center"/>
        </m:oMathParaPr>
        <m:oMath>
          <m:r>
            <m:rPr>
              <m:sty m:val="p"/>
            </m:rPr>
            <m:t>[</m:t>
          </m:r>
          <m:sSup>
            <m:e>
              <m:r>
                <m:t>A</m:t>
              </m:r>
            </m:e>
            <m:sup>
              <m:r>
                <m:rPr>
                  <m:sty m:val="p"/>
                </m:rPr>
                <m:t>−</m:t>
              </m:r>
              <m:r>
                <m:t>1</m:t>
              </m:r>
            </m:sup>
          </m:sSup>
          <m:r>
            <m:rPr>
              <m:sty m:val="p"/>
            </m:rPr>
            <m:t>(</m:t>
          </m:r>
          <m:r>
            <m:t>ζ</m:t>
          </m:r>
          <m:sSub>
            <m:e>
              <m:r>
                <m:t>T</m:t>
              </m:r>
            </m:e>
            <m:sub>
              <m:r>
                <m:t>0</m:t>
              </m:r>
            </m:sub>
          </m:sSub>
          <m:r>
            <m:rPr>
              <m:sty m:val="p"/>
            </m:rPr>
            <m:t>)</m:t>
          </m:r>
          <m:sSub>
            <m:e>
              <m:r>
                <m:rPr>
                  <m:sty m:val="p"/>
                </m:rPr>
                <m:t>]</m:t>
              </m:r>
            </m:e>
            <m:sub>
              <m:r>
                <m:t>j</m:t>
              </m:r>
            </m:sub>
          </m:sSub>
          <m:r>
            <m:rPr>
              <m:sty m:val="p"/>
            </m:rPr>
            <m:t>≥</m:t>
          </m:r>
          <m:r>
            <m:rPr>
              <m:sty m:val="p"/>
            </m:rPr>
            <m:t>(</m:t>
          </m:r>
          <m:r>
            <m:t>δ</m:t>
          </m:r>
          <m:r>
            <m:rPr>
              <m:sty m:val="p"/>
            </m:rPr>
            <m:t>/</m:t>
          </m:r>
          <m:r>
            <m:t>v</m:t>
          </m:r>
          <m:r>
            <m:rPr>
              <m:sty m:val="p"/>
            </m:rPr>
            <m:t>)</m:t>
          </m:r>
          <m:sSub>
            <m:e>
              <m:r>
                <m:t>s</m:t>
              </m:r>
            </m:e>
            <m:sub>
              <m:r>
                <m:t>n</m:t>
              </m:r>
            </m:sub>
          </m:sSub>
          <m:r>
            <m:t>ζ</m:t>
          </m:r>
          <m:r>
            <m:rPr>
              <m:sty m:val="p"/>
            </m:rPr>
            <m:t>.</m:t>
          </m:r>
        </m:oMath>
      </m:oMathPara>
    </w:p>
    <w:p>
      <w:pPr>
        <w:pStyle w:val="FirstParagraph"/>
        <w:widowControl/>
      </w:pPr>
      <w:r>
        <w:t xml:space="preserve">Positive column masses follow from the assumptions. The last lower bound is zero when</w:t>
      </w:r>
      <w:r>
        <w:t xml:space="preserve"> </w:t>
      </w:r>
      <m:oMath>
        <m:r>
          <m:t>ζ</m:t>
        </m:r>
        <m:r>
          <m:rPr>
            <m:sty m:val="p"/>
          </m:rPr>
          <m:t>=</m:t>
        </m:r>
        <m:r>
          <m:t>0</m:t>
        </m:r>
      </m:oMath>
      <w:r>
        <w:t xml:space="preserve">. These are the kinds of zero-order margins required by the supplied result, not independent new bounds discovered in the experiment. All broader pulse, pressure, derivative, energy and global-singularity obligations remain outside its endpoint.</w:t>
      </w:r>
    </w:p>
    <w:bookmarkEnd w:id="23"/>
    <w:bookmarkStart w:id="24" w:name="X9c69fe525752eece89cec894b1c6d5c87ffb389"/>
    <w:p>
      <w:pPr>
        <w:pStyle w:val="Heading3"/>
        <w:keepNext/>
        <w:widowControl/>
      </w:pPr>
      <w:r>
        <w:rPr>
          <w:rFonts w:ascii="Times New Roman" w:hAnsi="Times New Roman"/>
          <w:b/>
          <w:color w:val="000000"/>
          <w:sz w:val="24"/>
        </w:rPr>
        <w:t xml:space="preserve">4.4 What links to the early witness, and what does not</w:t>
      </w:r>
    </w:p>
    <w:p>
      <w:pPr>
        <w:pStyle w:val="FirstParagraph"/>
        <w:widowControl/>
      </w:pPr>
      <w:r>
        <w:t xml:space="preserve">The residual example shows failure of a selected state summary to determine all corrective actions. The</w:t>
      </w:r>
      <w:r>
        <w:t xml:space="preserve"> </w:t>
      </w:r>
      <w:r>
        <w:rPr>
          <w:rStyle w:val="VerbatimChar"/>
        </w:rPr>
        <w:t xml:space="preserve">hclose</w:t>
      </w:r>
      <w:r>
        <w:t xml:space="preserve"> </w:t>
      </w:r>
      <w:r>
        <w:t xml:space="preserve">example shows that a logically available result still has to be instantiated and transported to the type a consumer requires. Both distinguish an available result from the operative conditions of its next use. They act on different mathematical objects and were not jointly randomised. The accepted</w:t>
      </w:r>
      <w:r>
        <w:t xml:space="preserve"> </w:t>
      </w:r>
      <w:r>
        <w:rPr>
          <w:rStyle w:val="VerbatimChar"/>
        </w:rPr>
        <w:t xml:space="preserve">hclose</w:t>
      </w:r>
      <w:r>
        <w:t xml:space="preserve"> </w:t>
      </w:r>
      <w:r>
        <w:t xml:space="preserve">does not demonstrate the minimax lower bound experimentally; the bound does not prove the cause of the guided completion. Their relation is a carefully specified theoretical correspondence, not an already closed empirical mediation chain.</w:t>
      </w:r>
    </w:p>
    <w:bookmarkEnd w:id="24"/>
    <w:bookmarkEnd w:id="25"/>
    <w:bookmarkStart w:id="36" w:name="X6ea0b65b886803b510451609cd95fdadc49394c"/>
    <w:p>
      <w:pPr>
        <w:pStyle w:val="Heading2"/>
        <w:keepNext/>
        <w:pageBreakBefore/>
        <w:widowControl/>
      </w:pPr>
      <w:r>
        <w:rPr>
          <w:rFonts w:ascii="Times New Roman" w:hAnsi="Times New Roman"/>
          <w:b/>
          <w:color w:val="000000"/>
          <w:sz w:val="24"/>
        </w:rPr>
        <w:t xml:space="preserve">Supplementary Note 5. The actual comparison</w:t>
      </w:r>
    </w:p>
    <w:p>
      <w:pPr>
        <w:pStyle w:val="FirstParagraph"/>
        <w:widowControl/>
      </w:pPr>
      <w:r>
        <w:t xml:space="preserve">The primary record is the retained handoff</w:t>
      </w:r>
      <w:r>
        <w:t xml:space="preserve"> </w:t>
      </w:r>
      <w:r>
        <w:rPr>
          <w:rStyle w:val="VerbatimChar"/>
        </w:rPr>
        <w:t xml:space="preserve">MAOFIELD_NS_HCLOSE_PRO_HANDOFF_20260920.zip</w:t>
      </w:r>
      <w:r>
        <w:t xml:space="preserve">. The prior draft’s analysis reported 859 payload members and checked raw response, candidate and compiler identities. The current analysis rereads and checks the retained streams, templates and compiler records in a fresh output directory. It does not generate new answers. A subsequent offline ordinary Lean replay recompiles the five unchanged saved candidates under the pinned 4.34.0-rc2 environment and reproduces one acceptance and four rejections; independent-kernel validation remains unexecuted. Recomputed tables are compared with the preserved tables. The unmodified retained scientific records are archived at https://doi.org/10.5281/zenodo.22904604; prior analyses retain their separate version identities. Source-mapped review copies are supplied directly, with transformations explicitly identified.</w:t>
      </w:r>
    </w:p>
    <w:p>
      <w:pPr>
        <w:pStyle w:val="BodyText"/>
        <w:keepNext/>
        <w:widowControl/>
      </w:pPr>
      <w:r>
        <w:rPr>
          <w:b/>
          <w:bCs/>
        </w:rPr>
        <w:t xml:space="preserve">Supplementary Table 3 | The paired request sequence.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cantSplit/>
          <w:tblHeader/>
        </w:trPr>
        <w:tc>
          <w:tcPr>
            <w:tcW w:type="dxa" w:w="2324"/>
            <w:shd w:fill="EEEEEE"/>
          </w:tcPr>
          <w:p>
            <w:pPr>
              <w:pStyle w:val="Compact"/>
              <w:spacing w:line="252" w:lineRule="auto" w:after="80" w:before="60"/>
            </w:pPr>
            <w:r>
              <w:rPr>
                <w:rFonts w:ascii="Times New Roman" w:hAnsi="Times New Roman"/>
                <w:b/>
                <w:sz w:val="18"/>
              </w:rPr>
              <w:t xml:space="preserve">Condition</w:t>
            </w:r>
          </w:p>
        </w:tc>
        <w:tc>
          <w:tcPr>
            <w:tcW w:type="dxa" w:w="2324"/>
            <w:shd w:fill="EEEEEE"/>
          </w:tcPr>
          <w:p>
            <w:pPr>
              <w:pStyle w:val="Compact"/>
              <w:spacing w:line="252" w:lineRule="auto" w:after="80" w:before="60"/>
            </w:pPr>
            <w:r>
              <w:rPr>
                <w:rFonts w:ascii="Times New Roman" w:hAnsi="Times New Roman"/>
                <w:b/>
                <w:sz w:val="18"/>
              </w:rPr>
              <w:t xml:space="preserve">Request 1</w:t>
            </w:r>
          </w:p>
        </w:tc>
        <w:tc>
          <w:tcPr>
            <w:tcW w:type="dxa" w:w="2324"/>
            <w:shd w:fill="EEEEEE"/>
          </w:tcPr>
          <w:p>
            <w:pPr>
              <w:pStyle w:val="Compact"/>
              <w:spacing w:line="252" w:lineRule="auto" w:after="80" w:before="60"/>
            </w:pPr>
            <w:r>
              <w:rPr>
                <w:rFonts w:ascii="Times New Roman" w:hAnsi="Times New Roman"/>
                <w:b/>
                <w:sz w:val="18"/>
              </w:rPr>
              <w:t xml:space="preserve">Request 2</w:t>
            </w:r>
          </w:p>
        </w:tc>
        <w:tc>
          <w:tcPr>
            <w:tcW w:type="dxa" w:w="2324"/>
            <w:shd w:fill="EEEEEE"/>
          </w:tcPr>
          <w:p>
            <w:pPr>
              <w:pStyle w:val="Compact"/>
              <w:spacing w:line="252" w:lineRule="auto" w:after="80" w:before="60"/>
            </w:pPr>
            <w:r>
              <w:rPr>
                <w:rFonts w:ascii="Times New Roman" w:hAnsi="Times New Roman"/>
                <w:b/>
                <w:sz w:val="18"/>
              </w:rPr>
              <w:t xml:space="preserve">Request 3</w:t>
            </w:r>
          </w:p>
        </w:tc>
      </w:tr>
      <w:tr>
        <w:trPr>
          <w:cantSplit/>
        </w:trPr>
        <w:tc>
          <w:tcPr>
            <w:tcW w:type="dxa" w:w="2324"/>
          </w:tcPr>
          <w:p>
            <w:pPr>
              <w:pStyle w:val="Compact"/>
              <w:spacing w:line="252" w:lineRule="auto" w:after="80" w:before="60"/>
            </w:pPr>
            <w:r>
              <w:rPr>
                <w:rFonts w:ascii="Times New Roman" w:hAnsi="Times New Roman"/>
                <w:sz w:val="18"/>
              </w:rPr>
              <w:t xml:space="preserve">Applicability-guided (raw label HISTORY)</w:t>
            </w:r>
          </w:p>
        </w:tc>
        <w:tc>
          <w:tcPr>
            <w:tcW w:type="dxa" w:w="2324"/>
          </w:tcPr>
          <w:p>
            <w:pPr>
              <w:pStyle w:val="Compact"/>
              <w:spacing w:line="252" w:lineRule="auto" w:after="80" w:before="60"/>
            </w:pPr>
            <w:r>
              <w:rPr>
                <w:rFonts w:ascii="Times New Roman" w:hAnsi="Times New Roman"/>
                <w:sz w:val="18"/>
              </w:rPr>
              <w:t xml:space="preserve">Rejected candidate; 6,230 output tokens</w:t>
            </w:r>
          </w:p>
        </w:tc>
        <w:tc>
          <w:tcPr>
            <w:tcW w:type="dxa" w:w="2324"/>
          </w:tcPr>
          <w:p>
            <w:pPr>
              <w:pStyle w:val="Compact"/>
              <w:spacing w:line="252" w:lineRule="auto" w:after="80" w:before="60"/>
            </w:pPr>
            <w:r>
              <w:rPr>
                <w:rFonts w:ascii="Times New Roman" w:hAnsi="Times New Roman"/>
                <w:sz w:val="18"/>
              </w:rPr>
              <w:t xml:space="preserve">Rejected candidate; 6,225</w:t>
            </w:r>
          </w:p>
        </w:tc>
        <w:tc>
          <w:tcPr>
            <w:tcW w:type="dxa" w:w="2324"/>
          </w:tcPr>
          <w:p>
            <w:pPr>
              <w:pStyle w:val="Compact"/>
              <w:spacing w:line="252" w:lineRule="auto" w:after="80" w:before="60"/>
            </w:pPr>
            <w:r>
              <w:rPr>
                <w:rFonts w:ascii="Times New Roman" w:hAnsi="Times New Roman"/>
                <w:sz w:val="18"/>
              </w:rPr>
              <w:t xml:space="preserve">Accepted candidate; 8,326</w:t>
            </w:r>
          </w:p>
        </w:tc>
      </w:tr>
      <w:tr>
        <w:trPr>
          <w:cantSplit/>
        </w:trPr>
        <w:tc>
          <w:tcPr>
            <w:tcW w:type="dxa" w:w="2324"/>
          </w:tcPr>
          <w:p>
            <w:pPr>
              <w:pStyle w:val="Compact"/>
              <w:spacing w:line="252" w:lineRule="auto" w:after="80" w:before="60"/>
            </w:pPr>
            <w:r>
              <w:rPr>
                <w:rFonts w:ascii="Times New Roman" w:hAnsi="Times New Roman"/>
                <w:sz w:val="18"/>
              </w:rPr>
              <w:t xml:space="preserve">Declarations-only (raw label STANDARD)</w:t>
            </w:r>
          </w:p>
        </w:tc>
        <w:tc>
          <w:tcPr>
            <w:tcW w:type="dxa" w:w="2324"/>
          </w:tcPr>
          <w:p>
            <w:pPr>
              <w:pStyle w:val="Compact"/>
              <w:spacing w:line="252" w:lineRule="auto" w:after="80" w:before="60"/>
            </w:pPr>
            <w:r>
              <w:rPr>
                <w:rFonts w:ascii="Times New Roman" w:hAnsi="Times New Roman"/>
                <w:sz w:val="18"/>
              </w:rPr>
              <w:t xml:space="preserve">Length limit; 32,768; no visible body, no compilation</w:t>
            </w:r>
          </w:p>
        </w:tc>
        <w:tc>
          <w:tcPr>
            <w:tcW w:type="dxa" w:w="2324"/>
          </w:tcPr>
          <w:p>
            <w:pPr>
              <w:pStyle w:val="Compact"/>
              <w:spacing w:line="252" w:lineRule="auto" w:after="80" w:before="60"/>
            </w:pPr>
            <w:r>
              <w:rPr>
                <w:rFonts w:ascii="Times New Roman" w:hAnsi="Times New Roman"/>
                <w:sz w:val="18"/>
              </w:rPr>
              <w:t xml:space="preserve">Rejected candidate; 3,181</w:t>
            </w:r>
          </w:p>
        </w:tc>
        <w:tc>
          <w:tcPr>
            <w:tcW w:type="dxa" w:w="2324"/>
          </w:tcPr>
          <w:p>
            <w:pPr>
              <w:pStyle w:val="Compact"/>
              <w:spacing w:line="252" w:lineRule="auto" w:after="80" w:before="60"/>
            </w:pPr>
            <w:r>
              <w:rPr>
                <w:rFonts w:ascii="Times New Roman" w:hAnsi="Times New Roman"/>
                <w:sz w:val="18"/>
              </w:rPr>
              <w:t xml:space="preserve">Rejected candidate; 5,060</w:t>
            </w:r>
          </w:p>
        </w:tc>
      </w:tr>
    </w:tbl>
    <w:p>
      <w:pPr>
        <w:pStyle w:val="BodyText"/>
        <w:widowControl/>
      </w:pPr>
      <w:r>
        <w:t xml:space="preserve">Input totals are 25,757 and 12,124, and output totals are 20,781 and 41,009, respectively. The comparison has a single selected target and seed block. Neither three attempts nor five compiles is a set of independent participants. All compiler failures, the initial truncation and the reported successful type/axiom record remain visible. Source-table plots describe these observations without success-rate percentages or significance markings.</w:t>
      </w:r>
    </w:p>
    <w:p>
      <w:pPr>
        <w:pStyle w:val="BodyText"/>
        <w:widowControl/>
      </w:pPr>
      <w:r>
        <w:t xml:space="preserve">The condition-specific instruction is an investigator-written strategy. It adds the prescription to use the scale equality across the needed representations, then the integral bound and a scalar comparison. It was not produced by a blind historical summariser; the final model did not perform history retrieval. Both conditions had the same actual lemma declarations and outer theorem, but not the same information or subsequent feedback. Ordinary prompt exposition, context use, stochasticity and unequal realised effort are not isolated from the observed contrast.</w:t>
      </w:r>
    </w:p>
    <w:bookmarkStart w:id="26" w:name="evidence-files"/>
    <w:p>
      <w:pPr>
        <w:pStyle w:val="Heading3"/>
        <w:keepNext/>
        <w:widowControl/>
      </w:pPr>
      <w:r>
        <w:rPr>
          <w:rFonts w:ascii="Times New Roman" w:hAnsi="Times New Roman"/>
          <w:b/>
          <w:color w:val="000000"/>
          <w:sz w:val="24"/>
        </w:rPr>
        <w:t xml:space="preserve">5.1 Evidence files</w:t>
      </w:r>
    </w:p>
    <w:p>
      <w:pPr>
        <w:pStyle w:val="FirstParagraph"/>
        <w:widowControl/>
      </w:pPr>
      <w:r>
        <w:t xml:space="preserve">The following identifiers index unchanged original excerpts in the authors’ internal</w:t>
      </w:r>
      <w:r>
        <w:t xml:space="preserve"> </w:t>
      </w:r>
      <w:r>
        <w:rPr>
          <w:rStyle w:val="VerbatimChar"/>
        </w:rPr>
        <w:t xml:space="preserve">EVIDENCE/ORIGINAL_EXCERPTS/</w:t>
      </w:r>
      <w:r>
        <w:t xml:space="preserve"> </w:t>
      </w:r>
      <w:r>
        <w:t xml:space="preserve">collection. Mathematical inputs, the six requests, five candidate bodies and compiler records required for reproduction are supplied separately in the review-support archive, with their provenance and any minimal transformations documented in</w:t>
      </w:r>
      <w:r>
        <w:t xml:space="preserve"> </w:t>
      </w:r>
      <w:r>
        <w:rPr>
          <w:rStyle w:val="VerbatimChar"/>
        </w:rPr>
        <w:t xml:space="preserve">PROVENANCE_MAP.json</w:t>
      </w:r>
      <w:r>
        <w:t xml:space="preserve">. Private investigator communications and unrelated machine records are not automatically included in that archive.</w:t>
      </w:r>
    </w:p>
    <w:p>
      <w:pPr>
        <w:pStyle w:val="BodyText"/>
        <w:keepNext/>
        <w:widowControl/>
      </w:pPr>
      <w:r>
        <w:rPr>
          <w:b/>
          <w:bCs/>
        </w:rPr>
        <w:t xml:space="preserve">Supplementary Table 4 | Source locations and their roles.</w:t>
      </w:r>
    </w:p>
    <w:tbl>
      <w:tblPr>
        <w:tblStyle w:val="Table"/>
        <w:tblW w:type="pct" w:w="5000"/>
        <w:tblLayout w:type="fixed"/>
        <w:tblLook w:firstRow="1" w:lastRow="0" w:firstColumn="0" w:lastColumn="0" w:noHBand="0" w:noVBand="0" w:val="0020"/>
      </w:tblPr>
      <w:tblGrid>
        <w:gridCol w:w="3960"/>
        <w:gridCol w:w="3960"/>
      </w:tblGrid>
      <w:tr>
        <w:trPr>
          <w:tblHeader w:val="on"/>
          <w:cantSplit/>
          <w:tblHeader/>
        </w:trPr>
        <w:tc>
          <w:tcPr>
            <w:tcW w:type="dxa" w:w="2608"/>
            <w:shd w:fill="EEEEEE"/>
          </w:tcPr>
          <w:p>
            <w:pPr>
              <w:pStyle w:val="Compact"/>
              <w:spacing w:line="252" w:lineRule="auto" w:after="80" w:before="60"/>
            </w:pPr>
            <w:r>
              <w:rPr>
                <w:rFonts w:ascii="Times New Roman" w:hAnsi="Times New Roman"/>
                <w:b/>
                <w:sz w:val="18"/>
              </w:rPr>
              <w:t xml:space="preserve">Evidence IDs</w:t>
            </w:r>
          </w:p>
        </w:tc>
        <w:tc>
          <w:tcPr>
            <w:tcW w:type="dxa" w:w="6690"/>
            <w:shd w:fill="EEEEEE"/>
          </w:tcPr>
          <w:p>
            <w:pPr>
              <w:pStyle w:val="Compact"/>
              <w:spacing w:line="252" w:lineRule="auto" w:after="80" w:before="60"/>
            </w:pPr>
            <w:r>
              <w:rPr>
                <w:rFonts w:ascii="Times New Roman" w:hAnsi="Times New Roman"/>
                <w:b/>
                <w:sz w:val="18"/>
              </w:rPr>
              <w:t xml:space="preserve">Role</w:t>
            </w:r>
          </w:p>
        </w:tc>
      </w:tr>
      <w:tr>
        <w:trPr>
          <w:cantSplit/>
        </w:trPr>
        <w:tc>
          <w:tcPr>
            <w:tcW w:type="dxa" w:w="2608"/>
          </w:tcPr>
          <w:p>
            <w:pPr>
              <w:pStyle w:val="Compact"/>
              <w:spacing w:line="252" w:lineRule="auto" w:after="80" w:before="60"/>
            </w:pPr>
            <w:r>
              <w:rPr>
                <w:rFonts w:ascii="Times New Roman" w:hAnsi="Times New Roman"/>
                <w:sz w:val="18"/>
              </w:rPr>
              <w:t xml:space="preserve">E01–E05</w:t>
            </w:r>
          </w:p>
        </w:tc>
        <w:tc>
          <w:tcPr>
            <w:tcW w:type="dxa" w:w="6690"/>
          </w:tcPr>
          <w:p>
            <w:pPr>
              <w:pStyle w:val="Compact"/>
              <w:spacing w:line="252" w:lineRule="auto" w:after="80" w:before="60"/>
            </w:pPr>
            <w:r>
              <w:rPr>
                <w:rFonts w:ascii="Times New Roman" w:hAnsi="Times New Roman"/>
                <w:sz w:val="18"/>
              </w:rPr>
              <w:t xml:space="preserve">Scope, PI instruction, result boundary, parameters and exploratory design evolution</w:t>
            </w:r>
          </w:p>
        </w:tc>
      </w:tr>
      <w:tr>
        <w:trPr>
          <w:cantSplit/>
        </w:trPr>
        <w:tc>
          <w:tcPr>
            <w:tcW w:type="dxa" w:w="2608"/>
          </w:tcPr>
          <w:p>
            <w:pPr>
              <w:pStyle w:val="Compact"/>
              <w:spacing w:line="252" w:lineRule="auto" w:after="80" w:before="60"/>
            </w:pPr>
            <w:r>
              <w:rPr>
                <w:rFonts w:ascii="Times New Roman" w:hAnsi="Times New Roman"/>
                <w:sz w:val="18"/>
              </w:rPr>
              <w:t xml:space="preserve">E06–E08</w:t>
            </w:r>
          </w:p>
        </w:tc>
        <w:tc>
          <w:tcPr>
            <w:tcW w:type="dxa" w:w="6690"/>
          </w:tcPr>
          <w:p>
            <w:pPr>
              <w:pStyle w:val="Compact"/>
              <w:spacing w:line="252" w:lineRule="auto" w:after="80" w:before="60"/>
            </w:pPr>
            <w:r>
              <w:rPr>
                <w:rFonts w:ascii="Times New Roman" w:hAnsi="Times New Roman"/>
                <w:sz w:val="18"/>
              </w:rPr>
              <w:t xml:space="preserve">Exact shared outer template, common declarations and extra applicability instruction</w:t>
            </w:r>
          </w:p>
        </w:tc>
      </w:tr>
      <w:tr>
        <w:trPr>
          <w:cantSplit/>
        </w:trPr>
        <w:tc>
          <w:tcPr>
            <w:tcW w:type="dxa" w:w="2608"/>
          </w:tcPr>
          <w:p>
            <w:pPr>
              <w:pStyle w:val="Compact"/>
              <w:spacing w:line="252" w:lineRule="auto" w:after="80" w:before="60"/>
            </w:pPr>
            <w:r>
              <w:rPr>
                <w:rFonts w:ascii="Times New Roman" w:hAnsi="Times New Roman"/>
                <w:sz w:val="18"/>
              </w:rPr>
              <w:t xml:space="preserve">E09–E11</w:t>
            </w:r>
          </w:p>
        </w:tc>
        <w:tc>
          <w:tcPr>
            <w:tcW w:type="dxa" w:w="6690"/>
          </w:tcPr>
          <w:p>
            <w:pPr>
              <w:pStyle w:val="Compact"/>
              <w:spacing w:line="252" w:lineRule="auto" w:after="80" w:before="60"/>
            </w:pPr>
            <w:r>
              <w:rPr>
                <w:rFonts w:ascii="Times New Roman" w:hAnsi="Times New Roman"/>
                <w:sz w:val="18"/>
              </w:rPr>
              <w:t xml:space="preserve">Accepted generated body, result record and compiler output</w:t>
            </w:r>
          </w:p>
        </w:tc>
      </w:tr>
      <w:tr>
        <w:trPr>
          <w:cantSplit/>
        </w:trPr>
        <w:tc>
          <w:tcPr>
            <w:tcW w:type="dxa" w:w="2608"/>
          </w:tcPr>
          <w:p>
            <w:pPr>
              <w:pStyle w:val="Compact"/>
              <w:spacing w:line="252" w:lineRule="auto" w:after="80" w:before="60"/>
            </w:pPr>
            <w:r>
              <w:rPr>
                <w:rFonts w:ascii="Times New Roman" w:hAnsi="Times New Roman"/>
                <w:sz w:val="18"/>
              </w:rPr>
              <w:t xml:space="preserve">E12–E14</w:t>
            </w:r>
          </w:p>
        </w:tc>
        <w:tc>
          <w:tcPr>
            <w:tcW w:type="dxa" w:w="6690"/>
          </w:tcPr>
          <w:p>
            <w:pPr>
              <w:pStyle w:val="Compact"/>
              <w:spacing w:line="252" w:lineRule="auto" w:after="80" w:before="60"/>
            </w:pPr>
            <w:r>
              <w:rPr>
                <w:rFonts w:ascii="Times New Roman" w:hAnsi="Times New Roman"/>
                <w:sz w:val="18"/>
              </w:rPr>
              <w:t xml:space="preserve">Final comparison body and error output; first truncated response receipt</w:t>
            </w:r>
          </w:p>
        </w:tc>
      </w:tr>
      <w:tr>
        <w:trPr>
          <w:cantSplit/>
        </w:trPr>
        <w:tc>
          <w:tcPr>
            <w:tcW w:type="dxa" w:w="2608"/>
          </w:tcPr>
          <w:p>
            <w:pPr>
              <w:pStyle w:val="Compact"/>
              <w:spacing w:line="252" w:lineRule="auto" w:after="80" w:before="60"/>
            </w:pPr>
            <w:r>
              <w:rPr>
                <w:rFonts w:ascii="Times New Roman" w:hAnsi="Times New Roman"/>
                <w:sz w:val="18"/>
              </w:rPr>
              <w:t xml:space="preserve">E15</w:t>
            </w:r>
          </w:p>
        </w:tc>
        <w:tc>
          <w:tcPr>
            <w:tcW w:type="dxa" w:w="6690"/>
          </w:tcPr>
          <w:p>
            <w:pPr>
              <w:pStyle w:val="Compact"/>
              <w:spacing w:line="252" w:lineRule="auto" w:after="80" w:before="60"/>
            </w:pPr>
            <w:r>
              <w:rPr>
                <w:rFonts w:ascii="Times New Roman" w:hAnsi="Times New Roman"/>
                <w:sz w:val="18"/>
              </w:rPr>
              <w:t xml:space="preserve">Recorded plan, seeds and arm order</w:t>
            </w:r>
          </w:p>
        </w:tc>
      </w:tr>
      <w:tr>
        <w:trPr>
          <w:cantSplit/>
        </w:trPr>
        <w:tc>
          <w:tcPr>
            <w:tcW w:type="dxa" w:w="2608"/>
          </w:tcPr>
          <w:p>
            <w:pPr>
              <w:pStyle w:val="Compact"/>
              <w:spacing w:line="252" w:lineRule="auto" w:after="80" w:before="60"/>
            </w:pPr>
            <w:r>
              <w:rPr>
                <w:rFonts w:ascii="Times New Roman" w:hAnsi="Times New Roman"/>
                <w:sz w:val="18"/>
              </w:rPr>
              <w:t xml:space="preserve">E16</w:t>
            </w:r>
          </w:p>
        </w:tc>
        <w:tc>
          <w:tcPr>
            <w:tcW w:type="dxa" w:w="6690"/>
          </w:tcPr>
          <w:p>
            <w:pPr>
              <w:pStyle w:val="Compact"/>
              <w:spacing w:line="252" w:lineRule="auto" w:after="80" w:before="60"/>
            </w:pPr>
            <w:r>
              <w:rPr>
                <w:rFonts w:ascii="Times New Roman" w:hAnsi="Times New Roman"/>
                <w:sz w:val="18"/>
              </w:rPr>
              <w:t xml:space="preserve">Original mathematical source file</w:t>
            </w:r>
          </w:p>
        </w:tc>
      </w:tr>
      <w:tr>
        <w:trPr>
          <w:cantSplit/>
        </w:trPr>
        <w:tc>
          <w:tcPr>
            <w:tcW w:type="dxa" w:w="2608"/>
          </w:tcPr>
          <w:p>
            <w:pPr>
              <w:pStyle w:val="Compact"/>
              <w:spacing w:line="252" w:lineRule="auto" w:after="80" w:before="60"/>
            </w:pPr>
            <w:r>
              <w:rPr>
                <w:rFonts w:ascii="Times New Roman" w:hAnsi="Times New Roman"/>
                <w:sz w:val="18"/>
              </w:rPr>
              <w:t xml:space="preserve">E17</w:t>
            </w:r>
          </w:p>
        </w:tc>
        <w:tc>
          <w:tcPr>
            <w:tcW w:type="dxa" w:w="6690"/>
          </w:tcPr>
          <w:p>
            <w:pPr>
              <w:pStyle w:val="Compact"/>
              <w:spacing w:line="252" w:lineRule="auto" w:after="80" w:before="60"/>
            </w:pPr>
            <w:r>
              <w:rPr>
                <w:rFonts w:ascii="Times New Roman" w:hAnsi="Times New Roman"/>
                <w:sz w:val="18"/>
              </w:rPr>
              <w:t xml:space="preserve">Selected actual PI instructions</w:t>
            </w:r>
          </w:p>
        </w:tc>
      </w:tr>
      <w:tr>
        <w:trPr>
          <w:cantSplit/>
        </w:trPr>
        <w:tc>
          <w:tcPr>
            <w:tcW w:type="dxa" w:w="2608"/>
          </w:tcPr>
          <w:p>
            <w:pPr>
              <w:pStyle w:val="Compact"/>
              <w:spacing w:line="252" w:lineRule="auto" w:after="80" w:before="60"/>
            </w:pPr>
            <w:r>
              <w:rPr>
                <w:rFonts w:ascii="Times New Roman" w:hAnsi="Times New Roman"/>
                <w:sz w:val="18"/>
              </w:rPr>
              <w:t xml:space="preserve">E18–E19</w:t>
            </w:r>
          </w:p>
        </w:tc>
        <w:tc>
          <w:tcPr>
            <w:tcW w:type="dxa" w:w="6690"/>
          </w:tcPr>
          <w:p>
            <w:pPr>
              <w:pStyle w:val="Compact"/>
              <w:spacing w:line="252" w:lineRule="auto" w:after="80" w:before="60"/>
            </w:pPr>
            <w:r>
              <w:rPr>
                <w:rFonts w:ascii="Times New Roman" w:hAnsi="Times New Roman"/>
                <w:sz w:val="18"/>
              </w:rPr>
              <w:t xml:space="preserve">Original client and direct-run implementation, retained for reading, not run in this rewrite</w:t>
            </w:r>
          </w:p>
        </w:tc>
      </w:tr>
      <w:tr>
        <w:trPr>
          <w:cantSplit/>
        </w:trPr>
        <w:tc>
          <w:tcPr>
            <w:tcW w:type="dxa" w:w="2608"/>
          </w:tcPr>
          <w:p>
            <w:pPr>
              <w:pStyle w:val="Compact"/>
              <w:spacing w:line="252" w:lineRule="auto" w:after="80" w:before="60"/>
            </w:pPr>
            <w:r>
              <w:rPr>
                <w:rFonts w:ascii="Times New Roman" w:hAnsi="Times New Roman"/>
                <w:sz w:val="18"/>
              </w:rPr>
              <w:t xml:space="preserve">E20</w:t>
            </w:r>
          </w:p>
        </w:tc>
        <w:tc>
          <w:tcPr>
            <w:tcW w:type="dxa" w:w="6690"/>
          </w:tcPr>
          <w:p>
            <w:pPr>
              <w:pStyle w:val="Compact"/>
              <w:spacing w:line="252" w:lineRule="auto" w:after="80" w:before="60"/>
            </w:pPr>
            <w:r>
              <w:rPr>
                <w:rFonts w:ascii="Times New Roman" w:hAnsi="Times New Roman"/>
                <w:sz w:val="18"/>
              </w:rPr>
              <w:t xml:space="preserve">Earlier PI statement of the mother question and theory-led route</w:t>
            </w:r>
          </w:p>
        </w:tc>
      </w:tr>
    </w:tbl>
    <w:p>
      <w:pPr>
        <w:pStyle w:val="BodyText"/>
        <w:widowControl/>
      </w:pPr>
      <w:r>
        <w:t xml:space="preserve">The candidate bodies reproduced below are transcribed from the unchanged earlier Supplement. Display wrapping is typographical; the original bytes in the evidence/archive remain the executable source of record. The absence of a first comparison candidate is recorded, not filled using reasoning text.</w:t>
      </w:r>
    </w:p>
    <w:bookmarkEnd w:id="26"/>
    <w:bookmarkStart w:id="27" w:name="shared-outer-theorem"/>
    <w:p>
      <w:pPr>
        <w:pStyle w:val="Heading3"/>
        <w:keepNext/>
        <w:widowControl/>
      </w:pPr>
      <w:r>
        <w:rPr>
          <w:rFonts w:ascii="Times New Roman" w:hAnsi="Times New Roman"/>
          <w:b/>
          <w:color w:val="000000"/>
          <w:sz w:val="24"/>
        </w:rPr>
        <w:t xml:space="preserve">5.2 Shared outer theorem</w:t>
      </w:r>
    </w:p>
    <w:p>
      <w:pPr>
        <w:pStyle w:val="SourceCode"/>
        <w:keepNext w:val="0"/>
        <w:widowControl/>
        <w:ind w:left="113" w:right="57"/>
      </w:pPr>
      <w:r>
        <w:rPr>
          <w:rStyle w:val="VerbatimChar"/>
          <w:rFonts w:ascii="DejaVu Sans Mono" w:hAnsi="DejaVu Sans Mono"/>
          <w:sz w:val="15"/>
        </w:rPr>
        <w:t xml:space="preserve">import Checkpoint.NodeGoal</w:t>
      </w:r>
      <w:r>
        <w:rPr>
          <w:rFonts w:ascii="DejaVu Sans Mono" w:hAnsi="DejaVu Sans Mono"/>
          <w:sz w:val="15"/>
        </w:rPr>
        <w:br/>
      </w:r>
      <w:r>
        <w:rPr>
          <w:rFonts w:ascii="DejaVu Sans Mono" w:hAnsi="DejaVu Sans Mono"/>
          <w:sz w:val="15"/>
        </w:rPr>
        <w:br/>
      </w:r>
      <w:r>
        <w:rPr>
          <w:rStyle w:val="VerbatimChar"/>
          <w:rFonts w:ascii="DejaVu Sans Mono" w:hAnsi="DejaVu Sans Mono"/>
          <w:sz w:val="15"/>
        </w:rPr>
        <w:t xml:space="preserve">noncomputable section</w:t>
      </w:r>
      <w:r>
        <w:rPr>
          <w:rFonts w:ascii="DejaVu Sans Mono" w:hAnsi="DejaVu Sans Mono"/>
          <w:sz w:val="15"/>
        </w:rPr>
        <w:br/>
      </w:r>
      <w:r>
        <w:rPr>
          <w:rStyle w:val="VerbatimChar"/>
          <w:rFonts w:ascii="DejaVu Sans Mono" w:hAnsi="DejaVu Sans Mono"/>
          <w:sz w:val="15"/>
        </w:rPr>
        <w:t xml:space="preserve">open Set</w:t>
      </w:r>
      <w:r>
        <w:rPr>
          <w:rFonts w:ascii="DejaVu Sans Mono" w:hAnsi="DejaVu Sans Mono"/>
          <w:sz w:val="15"/>
        </w:rPr>
        <w:br/>
      </w:r>
      <w:r>
        <w:rPr>
          <w:rStyle w:val="VerbatimChar"/>
          <w:rFonts w:ascii="DejaVu Sans Mono" w:hAnsi="DejaVu Sans Mono"/>
          <w:sz w:val="15"/>
        </w:rPr>
        <w:t xml:space="preserve">open NavierStokes NavierStokes.PrimaryCovarianceBounds</w:t>
      </w:r>
      <w:r>
        <w:rPr>
          <w:rFonts w:ascii="DejaVu Sans Mono" w:hAnsi="DejaVu Sans Mono"/>
          <w:sz w:val="15"/>
        </w:rPr>
        <w:br/>
      </w:r>
      <w:r>
        <w:rPr>
          <w:rFonts w:ascii="DejaVu Sans Mono" w:hAnsi="DejaVu Sans Mono"/>
          <w:sz w:val="15"/>
        </w:rPr>
        <w:br/>
      </w:r>
      <w:r>
        <w:rPr>
          <w:rStyle w:val="VerbatimChar"/>
          <w:rFonts w:ascii="DejaVu Sans Mono" w:hAnsi="DejaVu Sans Mono"/>
          <w:sz w:val="15"/>
        </w:rPr>
        <w:t xml:space="preserve">namespace Branch.Direct</w:t>
      </w:r>
      <w:r>
        <w:rPr>
          <w:rFonts w:ascii="DejaVu Sans Mono" w:hAnsi="DejaVu Sans Mono"/>
          <w:sz w:val="15"/>
        </w:rPr>
        <w:br/>
      </w:r>
      <w:r>
        <w:rPr>
          <w:rFonts w:ascii="DejaVu Sans Mono" w:hAnsi="DejaVu Sans Mono"/>
          <w:sz w:val="15"/>
        </w:rPr>
        <w:br/>
      </w:r>
      <w:r>
        <w:rPr>
          <w:rStyle w:val="VerbatimChar"/>
          <w:rFonts w:ascii="DejaVu Sans Mono" w:hAnsi="DejaVu Sans Mono"/>
          <w:sz w:val="15"/>
        </w:rPr>
        <w:t xml:space="preserve">theorem completed {X : Type*} [TopologicalSpace X] {K : Set X}</w:t>
      </w:r>
      <w:r>
        <w:rPr>
          <w:rFonts w:ascii="DejaVu Sans Mono" w:hAnsi="DejaVu Sans Mono"/>
          <w:sz w:val="15"/>
        </w:rPr>
        <w:br/>
      </w:r>
      <w:r>
        <w:rPr>
          <w:rStyle w:val="VerbatimChar"/>
          <w:rFonts w:ascii="DejaVu Sans Mono" w:hAnsi="DejaVu Sans Mono"/>
          <w:sz w:val="15"/>
        </w:rPr>
        <w:t xml:space="preserve">    (hK : IsCompact K) (H0 : X → Mat2) (T0 : X → Vec2)</w:t>
      </w:r>
      <w:r>
        <w:rPr>
          <w:rFonts w:ascii="DejaVu Sans Mono" w:hAnsi="DejaVu Sans Mono"/>
          <w:sz w:val="15"/>
        </w:rPr>
        <w:br/>
      </w:r>
      <w:r>
        <w:rPr>
          <w:rStyle w:val="VerbatimChar"/>
          <w:rFonts w:ascii="DejaVu Sans Mono" w:hAnsi="DejaVu Sans Mono"/>
          <w:sz w:val="15"/>
        </w:rPr>
        <w:t xml:space="preserve">    (hH0 : ∀ i j, ContinuousOn (fun p =&gt; H0 p i j) K)</w:t>
      </w:r>
      <w:r>
        <w:rPr>
          <w:rFonts w:ascii="DejaVu Sans Mono" w:hAnsi="DejaVu Sans Mono"/>
          <w:sz w:val="15"/>
        </w:rPr>
        <w:br/>
      </w:r>
      <w:r>
        <w:rPr>
          <w:rStyle w:val="VerbatimChar"/>
          <w:rFonts w:ascii="DejaVu Sans Mono" w:hAnsi="DejaVu Sans Mono"/>
          <w:sz w:val="15"/>
        </w:rPr>
        <w:t xml:space="preserve">    (hT0 : ∀ i, ContinuousOn (fun p =&gt; T0 p i) K)</w:t>
      </w:r>
      <w:r>
        <w:rPr>
          <w:rFonts w:ascii="DejaVu Sans Mono" w:hAnsi="DejaVu Sans Mono"/>
          <w:sz w:val="15"/>
        </w:rPr>
        <w:br/>
      </w:r>
      <w:r>
        <w:rPr>
          <w:rStyle w:val="VerbatimChar"/>
          <w:rFonts w:ascii="DejaVu Sans Mono" w:hAnsi="DejaVu Sans Mono"/>
          <w:sz w:val="15"/>
        </w:rPr>
        <w:t xml:space="preserve">    (hcone : ∀ p ∈ K, SmoothCovariance.StrictCone (H0 p) (T0 p))</w:t>
      </w:r>
      <w:r>
        <w:rPr>
          <w:rFonts w:ascii="DejaVu Sans Mono" w:hAnsi="DejaVu Sans Mono"/>
          <w:sz w:val="15"/>
        </w:rPr>
        <w:br/>
      </w:r>
      <w:r>
        <w:rPr>
          <w:rStyle w:val="VerbatimChar"/>
          <w:rFonts w:ascii="DejaVu Sans Mono" w:hAnsi="DejaVu Sans Mono"/>
          <w:sz w:val="15"/>
        </w:rPr>
        <w:t xml:space="preserve">    (vr vt : TorusInverse.Plane) (hdet : vr.1 * vt.2 - vr.2 * vt.1 ≠ 0)</w:t>
      </w:r>
      <w:r>
        <w:rPr>
          <w:rFonts w:ascii="DejaVu Sans Mono" w:hAnsi="DejaVu Sans Mono"/>
          <w:sz w:val="15"/>
        </w:rPr>
        <w:br/>
      </w:r>
      <w:r>
        <w:rPr>
          <w:rStyle w:val="VerbatimChar"/>
          <w:rFonts w:ascii="DejaVu Sans Mono" w:hAnsi="DejaVu Sans Mono"/>
          <w:sz w:val="15"/>
        </w:rPr>
        <w:t xml:space="preserve">    {r0 h a A b B E D : ℝ} (hr0 : 0 &lt; r0) (hh : 0 ≤ h)</w:t>
      </w:r>
      <w:r>
        <w:rPr>
          <w:rFonts w:ascii="DejaVu Sans Mono" w:hAnsi="DejaVu Sans Mono"/>
          <w:sz w:val="15"/>
        </w:rPr>
        <w:br/>
      </w:r>
      <w:r>
        <w:rPr>
          <w:rStyle w:val="VerbatimChar"/>
          <w:rFonts w:ascii="DejaVu Sans Mono" w:hAnsi="DejaVu Sans Mono"/>
          <w:sz w:val="15"/>
        </w:rPr>
        <w:t xml:space="preserve">    (ha : 0 &lt; a) (hA : 0 &lt; A) (hb : 0 &lt; b) (hE : 0 ≤ E) (hD : 0 ≤ D) :</w:t>
      </w:r>
      <w:r>
        <w:rPr>
          <w:rFonts w:ascii="DejaVu Sans Mono" w:hAnsi="DejaVu Sans Mono"/>
          <w:sz w:val="15"/>
        </w:rPr>
        <w:br/>
      </w:r>
      <w:r>
        <w:rPr>
          <w:rStyle w:val="VerbatimChar"/>
          <w:rFonts w:ascii="DejaVu Sans Mono" w:hAnsi="DejaVu Sans Mono"/>
          <w:sz w:val="15"/>
        </w:rPr>
        <w:t xml:space="preserve">    ∃ N : ℕ, 4 ≤ N ∧ ∃ detGap entryBound inverseLower : ℝ,</w:t>
      </w:r>
      <w:r>
        <w:rPr>
          <w:rFonts w:ascii="DejaVu Sans Mono" w:hAnsi="DejaVu Sans Mono"/>
          <w:sz w:val="15"/>
        </w:rPr>
        <w:br/>
      </w:r>
      <w:r>
        <w:rPr>
          <w:rStyle w:val="VerbatimChar"/>
          <w:rFonts w:ascii="DejaVu Sans Mono" w:hAnsi="DejaVu Sans Mono"/>
          <w:sz w:val="15"/>
        </w:rPr>
        <w:t xml:space="preserve">      0 &lt; detGap ∧ 1 ≤ entryBound ∧ 0 &lt; inverseLower ∧</w:t>
      </w:r>
      <w:r>
        <w:rPr>
          <w:rFonts w:ascii="DejaVu Sans Mono" w:hAnsi="DejaVu Sans Mono"/>
          <w:sz w:val="15"/>
        </w:rPr>
        <w:br/>
      </w:r>
      <w:r>
        <w:rPr>
          <w:rStyle w:val="VerbatimChar"/>
          <w:rFonts w:ascii="DejaVu Sans Mono" w:hAnsi="DejaVu Sans Mono"/>
          <w:sz w:val="15"/>
        </w:rPr>
        <w:t xml:space="preserve">      ∀ n : ℕ, N ≤ n → ∀ p ∈ K, ∀ P : Fin 2 → PartitionedCovariance.Pulse,</w:t>
      </w:r>
      <w:r>
        <w:rPr>
          <w:rFonts w:ascii="DejaVu Sans Mono" w:hAnsi="DejaVu Sans Mono"/>
          <w:sz w:val="15"/>
        </w:rPr>
        <w:br/>
      </w:r>
      <w:r>
        <w:rPr>
          <w:rStyle w:val="VerbatimChar"/>
          <w:rFonts w:ascii="DejaVu Sans Mono" w:hAnsi="DejaVu Sans Mono"/>
          <w:sz w:val="15"/>
        </w:rPr>
        <w:t xml:space="preserve">        (∀ j, PulseCovariance.PulseBounds (slotRadius r0 h n) a A b B (P j).ψ (P j).x) →</w:t>
      </w:r>
      <w:r>
        <w:rPr>
          <w:rFonts w:ascii="DejaVu Sans Mono" w:hAnsi="DejaVu Sans Mono"/>
          <w:sz w:val="15"/>
        </w:rPr>
        <w:br/>
      </w:r>
      <w:r>
        <w:rPr>
          <w:rStyle w:val="VerbatimChar"/>
          <w:rFonts w:ascii="DejaVu Sans Mono" w:hAnsi="DejaVu Sans Mono"/>
          <w:sz w:val="15"/>
        </w:rPr>
        <w:t xml:space="preserve">        (∀ j i v, v ∈ Icc 0 (ChartScales.slotLength r0 h n) →</w:t>
      </w:r>
      <w:r>
        <w:rPr>
          <w:rFonts w:ascii="DejaVu Sans Mono" w:hAnsi="DejaVu Sans Mono"/>
          <w:sz w:val="15"/>
        </w:rPr>
        <w:br/>
      </w:r>
      <w:r>
        <w:rPr>
          <w:rStyle w:val="VerbatimChar"/>
          <w:rFonts w:ascii="DejaVu Sans Mono" w:hAnsi="DejaVu Sans Mono"/>
          <w:sz w:val="15"/>
        </w:rPr>
        <w:t xml:space="preserve">          |(P j).t v i / (P j).x v - H0 p i j| ≤ E / ChartScales.slotLength r0 h n +</w:t>
      </w:r>
      <w:r>
        <w:rPr>
          <w:rFonts w:ascii="DejaVu Sans Mono" w:hAnsi="DejaVu Sans Mono"/>
          <w:sz w:val="15"/>
        </w:rPr>
        <w:br/>
      </w:r>
      <w:r>
        <w:rPr>
          <w:rStyle w:val="VerbatimChar"/>
          <w:rFonts w:ascii="DejaVu Sans Mono" w:hAnsi="DejaVu Sans Mono"/>
          <w:sz w:val="15"/>
        </w:rPr>
        <w:t xml:space="preserve">            D * |v - ChartScales.slotLength r0 h n / 2| / ChartScales.slotLength r0 h n) →</w:t>
      </w:r>
      <w:r>
        <w:rPr>
          <w:rFonts w:ascii="DejaVu Sans Mono" w:hAnsi="DejaVu Sans Mono"/>
          <w:sz w:val="15"/>
        </w:rPr>
        <w:br/>
      </w:r>
      <w:r>
        <w:rPr>
          <w:rStyle w:val="VerbatimChar"/>
          <w:rFonts w:ascii="DejaVu Sans Mono" w:hAnsi="DejaVu Sans Mono"/>
          <w:sz w:val="15"/>
        </w:rPr>
        <w:t xml:space="preserve">        ∀ zeta : ℝ, 0 ≤ zeta →</w:t>
      </w:r>
      <w:r>
        <w:rPr>
          <w:rFonts w:ascii="DejaVu Sans Mono" w:hAnsi="DejaVu Sans Mono"/>
          <w:sz w:val="15"/>
        </w:rPr>
        <w:br/>
      </w:r>
      <w:r>
        <w:rPr>
          <w:rStyle w:val="VerbatimChar"/>
          <w:rFonts w:ascii="DejaVu Sans Mono" w:hAnsi="DejaVu Sans Mono"/>
          <w:sz w:val="15"/>
        </w:rPr>
        <w:t xml:space="preserve">        ZeroOrderBounds (Real.sqrt (ChartScales.S n)) detGap entryBound inverseLower zeta</w:t>
      </w:r>
      <w:r>
        <w:rPr>
          <w:rFonts w:ascii="DejaVu Sans Mono" w:hAnsi="DejaVu Sans Mono"/>
          <w:sz w:val="15"/>
        </w:rPr>
        <w:br/>
      </w:r>
      <w:r>
        <w:rPr>
          <w:rStyle w:val="VerbatimChar"/>
          <w:rFonts w:ascii="DejaVu Sans Mono" w:hAnsi="DejaVu Sans Mono"/>
          <w:sz w:val="15"/>
        </w:rPr>
        <w:t xml:space="preserve">          (PartitionedCovariance.pairMatrix vr vt r0 (fun _ =&gt; ChartScales.timeCoefficient h n) P)</w:t>
      </w:r>
      <w:r>
        <w:rPr>
          <w:rFonts w:ascii="DejaVu Sans Mono" w:hAnsi="DejaVu Sans Mono"/>
          <w:sz w:val="15"/>
        </w:rPr>
        <w:br/>
      </w:r>
      <w:r>
        <w:rPr>
          <w:rStyle w:val="VerbatimChar"/>
          <w:rFonts w:ascii="DejaVu Sans Mono" w:hAnsi="DejaVu Sans Mono"/>
          <w:sz w:val="15"/>
        </w:rPr>
        <w:t xml:space="preserve">          (FlatCovariance.scaledTarget zeta (T0 p)) := by</w:t>
      </w:r>
      <w:r>
        <w:rPr>
          <w:rFonts w:ascii="DejaVu Sans Mono" w:hAnsi="DejaVu Sans Mono"/>
          <w:sz w:val="15"/>
        </w:rPr>
        <w:br/>
      </w:r>
      <w:r>
        <w:rPr>
          <w:rStyle w:val="VerbatimChar"/>
          <w:rFonts w:ascii="DejaVu Sans Mono" w:hAnsi="DejaVu Sans Mono"/>
          <w:sz w:val="15"/>
        </w:rPr>
        <w:t xml:space="preserve">  obtain ⟨rho, delta, M, hrho, hdelta, hM, hmargin⟩ := compact_model_margins hK H0 T0 hH0 hT0 hcone</w:t>
      </w:r>
      <w:r>
        <w:rPr>
          <w:rFonts w:ascii="DejaVu Sans Mono" w:hAnsi="DejaVu Sans Mono"/>
          <w:sz w:val="15"/>
        </w:rPr>
        <w:br/>
      </w:r>
      <w:r>
        <w:rPr>
          <w:rStyle w:val="VerbatimChar"/>
          <w:rFonts w:ascii="DejaVu Sans Mono" w:hAnsi="DejaVu Sans Mono"/>
          <w:sz w:val="15"/>
        </w:rPr>
        <w:t xml:space="preserve">  let kappa := PartitionedCovariance.nativePrefactor vr vt r0</w:t>
      </w:r>
      <w:r>
        <w:rPr>
          <w:rFonts w:ascii="DejaVu Sans Mono" w:hAnsi="DejaVu Sans Mono"/>
          <w:sz w:val="15"/>
        </w:rPr>
        <w:br/>
      </w:r>
      <w:r>
        <w:rPr>
          <w:rStyle w:val="VerbatimChar"/>
          <w:rFonts w:ascii="DejaVu Sans Mono" w:hAnsi="DejaVu Sans Mono"/>
          <w:sz w:val="15"/>
        </w:rPr>
        <w:t xml:space="preserve">  have hkappa : 0 &lt; kappa := PartitionedCovariance.nativePrefactor_pos hdet hr0</w:t>
      </w:r>
      <w:r>
        <w:rPr>
          <w:rFonts w:ascii="DejaVu Sans Mono" w:hAnsi="DejaVu Sans Mono"/>
          <w:sz w:val="15"/>
        </w:rPr>
        <w:br/>
      </w:r>
      <w:r>
        <w:rPr>
          <w:rStyle w:val="VerbatimChar"/>
          <w:rFonts w:ascii="DejaVu Sans Mono" w:hAnsi="DejaVu Sans Mono"/>
          <w:sz w:val="15"/>
        </w:rPr>
        <w:t xml:space="preserve">  let lo := scalarLower kappa r0 a B</w:t>
      </w:r>
      <w:r>
        <w:rPr>
          <w:rFonts w:ascii="DejaVu Sans Mono" w:hAnsi="DejaVu Sans Mono"/>
          <w:sz w:val="15"/>
        </w:rPr>
        <w:br/>
      </w:r>
      <w:r>
        <w:rPr>
          <w:rStyle w:val="VerbatimChar"/>
          <w:rFonts w:ascii="DejaVu Sans Mono" w:hAnsi="DejaVu Sans Mono"/>
          <w:sz w:val="15"/>
        </w:rPr>
        <w:t xml:space="preserve">  let hi := scalarUpper kappa r0 A b</w:t>
      </w:r>
      <w:r>
        <w:rPr>
          <w:rFonts w:ascii="DejaVu Sans Mono" w:hAnsi="DejaVu Sans Mono"/>
          <w:sz w:val="15"/>
        </w:rPr>
        <w:br/>
      </w:r>
      <w:r>
        <w:rPr>
          <w:rStyle w:val="VerbatimChar"/>
          <w:rFonts w:ascii="DejaVu Sans Mono" w:hAnsi="DejaVu Sans Mono"/>
          <w:sz w:val="15"/>
        </w:rPr>
        <w:t xml:space="preserve">  have hlo : 0 &lt; lo := scalarLower_pos hkappa hr0 ha</w:t>
      </w:r>
      <w:r>
        <w:rPr>
          <w:rFonts w:ascii="DejaVu Sans Mono" w:hAnsi="DejaVu Sans Mono"/>
          <w:sz w:val="15"/>
        </w:rPr>
        <w:br/>
      </w:r>
      <w:r>
        <w:rPr>
          <w:rStyle w:val="VerbatimChar"/>
          <w:rFonts w:ascii="DejaVu Sans Mono" w:hAnsi="DejaVu Sans Mono"/>
          <w:sz w:val="15"/>
        </w:rPr>
        <w:t xml:space="preserve">  have hhi : 0 &lt; hi := scalarUpper_pos hkappa hr0 hA hb</w:t>
      </w:r>
      <w:r>
        <w:rPr>
          <w:rFonts w:ascii="DejaVu Sans Mono" w:hAnsi="DejaVu Sans Mono"/>
          <w:sz w:val="15"/>
        </w:rPr>
        <w:br/>
      </w:r>
      <w:r>
        <w:rPr>
          <w:rStyle w:val="VerbatimChar"/>
          <w:rFonts w:ascii="DejaVu Sans Mono" w:hAnsi="DejaVu Sans Mono"/>
          <w:sz w:val="15"/>
        </w:rPr>
        <w:t xml:space="preserve">  let Q := E + D * |PulseCovariance.concentrationConstant a A b B|</w:t>
      </w:r>
      <w:r>
        <w:rPr>
          <w:rFonts w:ascii="DejaVu Sans Mono" w:hAnsi="DejaVu Sans Mono"/>
          <w:sz w:val="15"/>
        </w:rPr>
        <w:br/>
      </w:r>
      <w:r>
        <w:rPr>
          <w:rStyle w:val="VerbatimChar"/>
          <w:rFonts w:ascii="DejaVu Sans Mono" w:hAnsi="DejaVu Sans Mono"/>
          <w:sz w:val="15"/>
        </w:rPr>
        <w:t xml:space="preserve">  have hQ : 0 ≤ Q := by dsimp [Q]; positivity</w:t>
      </w:r>
      <w:r>
        <w:rPr>
          <w:rFonts w:ascii="DejaVu Sans Mono" w:hAnsi="DejaVu Sans Mono"/>
          <w:sz w:val="15"/>
        </w:rPr>
        <w:br/>
      </w:r>
      <w:r>
        <w:rPr>
          <w:rStyle w:val="VerbatimChar"/>
          <w:rFonts w:ascii="DejaVu Sans Mono" w:hAnsi="DejaVu Sans Mono"/>
          <w:sz w:val="15"/>
        </w:rPr>
        <w:t xml:space="preserve">  obtain ⟨N, hN4, hN⟩ := eventually_slotRadius_large hr0 hh (max 1 (Q / rho))</w:t>
      </w:r>
      <w:r>
        <w:rPr>
          <w:rFonts w:ascii="DejaVu Sans Mono" w:hAnsi="DejaVu Sans Mono"/>
          <w:sz w:val="15"/>
        </w:rPr>
        <w:br/>
      </w:r>
      <w:r>
        <w:rPr>
          <w:rStyle w:val="VerbatimChar"/>
          <w:rFonts w:ascii="DejaVu Sans Mono" w:hAnsi="DejaVu Sans Mono"/>
          <w:sz w:val="15"/>
        </w:rPr>
        <w:t xml:space="preserve">  refine ⟨N, hN4, lo ^ 2 * delta, max 1 (hi * M), delta / hi,</w:t>
      </w:r>
      <w:r>
        <w:rPr>
          <w:rFonts w:ascii="DejaVu Sans Mono" w:hAnsi="DejaVu Sans Mono"/>
          <w:sz w:val="15"/>
        </w:rPr>
        <w:br/>
      </w:r>
      <w:r>
        <w:rPr>
          <w:rStyle w:val="VerbatimChar"/>
          <w:rFonts w:ascii="DejaVu Sans Mono" w:hAnsi="DejaVu Sans Mono"/>
          <w:sz w:val="15"/>
        </w:rPr>
        <w:t xml:space="preserve">    by positivity, le_max_left _ _, div_pos hdelta hhi, ?_⟩</w:t>
      </w:r>
      <w:r>
        <w:rPr>
          <w:rFonts w:ascii="DejaVu Sans Mono" w:hAnsi="DejaVu Sans Mono"/>
          <w:sz w:val="15"/>
        </w:rPr>
        <w:br/>
      </w:r>
      <w:r>
        <w:rPr>
          <w:rStyle w:val="VerbatimChar"/>
          <w:rFonts w:ascii="DejaVu Sans Mono" w:hAnsi="DejaVu Sans Mono"/>
          <w:sz w:val="15"/>
        </w:rPr>
        <w:t xml:space="preserve">  intro n hn p hp P hP hratio zeta hzeta</w:t>
      </w:r>
      <w:r>
        <w:rPr>
          <w:rFonts w:ascii="DejaVu Sans Mono" w:hAnsi="DejaVu Sans Mono"/>
          <w:sz w:val="15"/>
        </w:rPr>
        <w:br/>
      </w:r>
      <w:r>
        <w:rPr>
          <w:rStyle w:val="VerbatimChar"/>
          <w:rFonts w:ascii="DejaVu Sans Mono" w:hAnsi="DejaVu Sans Mono"/>
          <w:sz w:val="15"/>
        </w:rPr>
        <w:t xml:space="preserve">  have hn4 : 4 ≤ n := hN4.trans hn</w:t>
      </w:r>
      <w:r>
        <w:rPr>
          <w:rFonts w:ascii="DejaVu Sans Mono" w:hAnsi="DejaVu Sans Mono"/>
          <w:sz w:val="15"/>
        </w:rPr>
        <w:br/>
      </w:r>
      <w:r>
        <w:rPr>
          <w:rStyle w:val="VerbatimChar"/>
          <w:rFonts w:ascii="DejaVu Sans Mono" w:hAnsi="DejaVu Sans Mono"/>
          <w:sz w:val="15"/>
        </w:rPr>
        <w:t xml:space="preserve">  have hr : 0 &lt; slotRadius r0 h n := slotRadius_pos hr0 h n</w:t>
      </w:r>
      <w:r>
        <w:rPr>
          <w:rFonts w:ascii="DejaVu Sans Mono" w:hAnsi="DejaVu Sans Mono"/>
          <w:sz w:val="15"/>
        </w:rPr>
        <w:br/>
      </w:r>
      <w:r>
        <w:rPr>
          <w:rStyle w:val="VerbatimChar"/>
          <w:rFonts w:ascii="DejaVu Sans Mono" w:hAnsi="DejaVu Sans Mono"/>
          <w:sz w:val="15"/>
        </w:rPr>
        <w:t xml:space="preserve">  have hrlarge : Q / rho ≤ slotRadius r0 h n := (le_max_right _ _).trans (hN n hn)</w:t>
      </w:r>
      <w:r>
        <w:rPr>
          <w:rFonts w:ascii="DejaVu Sans Mono" w:hAnsi="DejaVu Sans Mono"/>
          <w:sz w:val="15"/>
        </w:rPr>
        <w:br/>
      </w:r>
      <w:r>
        <w:rPr>
          <w:rStyle w:val="VerbatimChar"/>
          <w:rFonts w:ascii="DejaVu Sans Mono" w:hAnsi="DejaVu Sans Mono"/>
          <w:sz w:val="15"/>
        </w:rPr>
        <w:t xml:space="preserve">  have hsmall : Q / slotRadius r0 h n ≤ rho := by</w:t>
      </w:r>
      <w:r>
        <w:rPr>
          <w:rFonts w:ascii="DejaVu Sans Mono" w:hAnsi="DejaVu Sans Mono"/>
          <w:sz w:val="15"/>
        </w:rPr>
        <w:br/>
      </w:r>
      <w:r>
        <w:rPr>
          <w:rStyle w:val="VerbatimChar"/>
          <w:rFonts w:ascii="DejaVu Sans Mono" w:hAnsi="DejaVu Sans Mono"/>
          <w:sz w:val="15"/>
        </w:rPr>
        <w:t xml:space="preserve">    apply (div_le_iff₀ hr).mpr</w:t>
      </w:r>
      <w:r>
        <w:rPr>
          <w:rFonts w:ascii="DejaVu Sans Mono" w:hAnsi="DejaVu Sans Mono"/>
          <w:sz w:val="15"/>
        </w:rPr>
        <w:br/>
      </w:r>
      <w:r>
        <w:rPr>
          <w:rStyle w:val="VerbatimChar"/>
          <w:rFonts w:ascii="DejaVu Sans Mono" w:hAnsi="DejaVu Sans Mono"/>
          <w:sz w:val="15"/>
        </w:rPr>
        <w:t xml:space="preserve">    have ht := (div_le_iff₀ hrho).mp hrlarge</w:t>
      </w:r>
      <w:r>
        <w:rPr>
          <w:rFonts w:ascii="DejaVu Sans Mono" w:hAnsi="DejaVu Sans Mono"/>
          <w:sz w:val="15"/>
        </w:rPr>
        <w:br/>
      </w:r>
      <w:r>
        <w:rPr>
          <w:rStyle w:val="VerbatimChar"/>
          <w:rFonts w:ascii="DejaVu Sans Mono" w:hAnsi="DejaVu Sans Mono"/>
          <w:sz w:val="15"/>
        </w:rPr>
        <w:t xml:space="preserve">    nlinarith</w:t>
      </w:r>
      <w:r>
        <w:rPr>
          <w:rFonts w:ascii="DejaVu Sans Mono" w:hAnsi="DejaVu Sans Mono"/>
          <w:sz w:val="15"/>
        </w:rPr>
        <w:br/>
      </w:r>
      <w:r>
        <w:rPr>
          <w:rStyle w:val="VerbatimChar"/>
          <w:rFonts w:ascii="DejaVu Sans Mono" w:hAnsi="DejaVu Sans Mono"/>
          <w:sz w:val="15"/>
        </w:rPr>
        <w:t xml:space="preserve">  have hclose (i j : Fin 2) : |normalizedPair P i j - H0 p i j| ≤ rho := by</w:t>
      </w:r>
      <w:r>
        <w:rPr>
          <w:rFonts w:ascii="DejaVu Sans Mono" w:hAnsi="DejaVu Sans Mono"/>
          <w:sz w:val="15"/>
        </w:rPr>
        <w:br/>
      </w:r>
      <w:r>
        <w:rPr>
          <w:rStyle w:val="VerbatimChar"/>
          <w:rFonts w:ascii="DejaVu Sans Mono" w:hAnsi="DejaVu Sans Mono"/>
          <w:sz w:val="15"/>
        </w:rPr>
        <w:t xml:space="preserve">    -- MODEL_PROOF_HERE</w:t>
      </w:r>
      <w:r>
        <w:rPr>
          <w:rFonts w:ascii="DejaVu Sans Mono" w:hAnsi="DejaVu Sans Mono"/>
          <w:sz w:val="15"/>
        </w:rPr>
        <w:br/>
      </w:r>
      <w:r>
        <w:rPr>
          <w:rStyle w:val="VerbatimChar"/>
          <w:rFonts w:ascii="DejaVu Sans Mono" w:hAnsi="DejaVu Sans Mono"/>
          <w:sz w:val="15"/>
        </w:rPr>
        <w:t xml:space="preserve">  obtain ⟨hd, hw, he⟩ := hmargin p hp (normalizedPair P) hclose</w:t>
      </w:r>
      <w:r>
        <w:rPr>
          <w:rFonts w:ascii="DejaVu Sans Mono" w:hAnsi="DejaVu Sans Mono"/>
          <w:sz w:val="15"/>
        </w:rPr>
        <w:br/>
      </w:r>
      <w:r>
        <w:rPr>
          <w:rStyle w:val="VerbatimChar"/>
          <w:rFonts w:ascii="DejaVu Sans Mono" w:hAnsi="DejaVu Sans Mono"/>
          <w:sz w:val="15"/>
        </w:rPr>
        <w:t xml:space="preserve">  have hscale (j : Fin 2) : lo ≤ Real.sqrt (ChartScales.S n) *</w:t>
      </w:r>
      <w:r>
        <w:rPr>
          <w:rFonts w:ascii="DejaVu Sans Mono" w:hAnsi="DejaVu Sans Mono"/>
          <w:sz w:val="15"/>
        </w:rPr>
        <w:br/>
      </w:r>
      <w:r>
        <w:rPr>
          <w:rStyle w:val="VerbatimChar"/>
          <w:rFonts w:ascii="DejaVu Sans Mono" w:hAnsi="DejaVu Sans Mono"/>
          <w:sz w:val="15"/>
        </w:rPr>
        <w:t xml:space="preserve">      pairScales kappa (fun _ =&gt; ChartScales.timeCoefficient h n) P j ∧</w:t>
      </w:r>
      <w:r>
        <w:rPr>
          <w:rFonts w:ascii="DejaVu Sans Mono" w:hAnsi="DejaVu Sans Mono"/>
          <w:sz w:val="15"/>
        </w:rPr>
        <w:br/>
      </w:r>
      <w:r>
        <w:rPr>
          <w:rStyle w:val="VerbatimChar"/>
          <w:rFonts w:ascii="DejaVu Sans Mono" w:hAnsi="DejaVu Sans Mono"/>
          <w:sz w:val="15"/>
        </w:rPr>
        <w:t xml:space="preserve">      Real.sqrt (ChartScales.S n) * pairScales kappa (fun _ =&gt; ChartScales.timeCoefficient h n) P j ≤ hi :=</w:t>
      </w:r>
      <w:r>
        <w:rPr>
          <w:rFonts w:ascii="DejaVu Sans Mono" w:hAnsi="DejaVu Sans Mono"/>
          <w:sz w:val="15"/>
        </w:rPr>
        <w:br/>
      </w:r>
      <w:r>
        <w:rPr>
          <w:rStyle w:val="VerbatimChar"/>
          <w:rFonts w:ascii="DejaVu Sans Mono" w:hAnsi="DejaVu Sans Mono"/>
          <w:sz w:val="15"/>
        </w:rPr>
        <w:t xml:space="preserve">    chart_column_mass_bounds hr0 hh hkappa hn4 (hP j)</w:t>
      </w:r>
      <w:r>
        <w:rPr>
          <w:rFonts w:ascii="DejaVu Sans Mono" w:hAnsi="DejaVu Sans Mono"/>
          <w:sz w:val="15"/>
        </w:rPr>
        <w:br/>
      </w:r>
      <w:r>
        <w:rPr>
          <w:rStyle w:val="VerbatimChar"/>
          <w:rFonts w:ascii="DejaVu Sans Mono" w:hAnsi="DejaVu Sans Mono"/>
          <w:sz w:val="15"/>
        </w:rPr>
        <w:t xml:space="preserve">  have hR : 0 &lt; Real.sqrt (ChartScales.S n) := Real.sqrt_pos.mpr (ChartScales.S_pos (by omega))</w:t>
      </w:r>
      <w:r>
        <w:rPr>
          <w:rFonts w:ascii="DejaVu Sans Mono" w:hAnsi="DejaVu Sans Mono"/>
          <w:sz w:val="15"/>
        </w:rPr>
        <w:br/>
      </w:r>
      <w:r>
        <w:rPr>
          <w:rStyle w:val="VerbatimChar"/>
          <w:rFonts w:ascii="DejaVu Sans Mono" w:hAnsi="DejaVu Sans Mono"/>
          <w:sz w:val="15"/>
        </w:rPr>
        <w:t xml:space="preserve">  have hbounds := column_scale_bounds (normalizedPair P) (T0 p)</w:t>
      </w:r>
      <w:r>
        <w:rPr>
          <w:rFonts w:ascii="DejaVu Sans Mono" w:hAnsi="DejaVu Sans Mono"/>
          <w:sz w:val="15"/>
        </w:rPr>
        <w:br/>
      </w:r>
      <w:r>
        <w:rPr>
          <w:rStyle w:val="VerbatimChar"/>
          <w:rFonts w:ascii="DejaVu Sans Mono" w:hAnsi="DejaVu Sans Mono"/>
          <w:sz w:val="15"/>
        </w:rPr>
        <w:t xml:space="preserve">    (pairScales kappa (fun _ =&gt; ChartScales.timeCoefficient h n) P)</w:t>
      </w:r>
      <w:r>
        <w:rPr>
          <w:rFonts w:ascii="DejaVu Sans Mono" w:hAnsi="DejaVu Sans Mono"/>
          <w:sz w:val="15"/>
        </w:rPr>
        <w:br/>
      </w:r>
      <w:r>
        <w:rPr>
          <w:rStyle w:val="VerbatimChar"/>
          <w:rFonts w:ascii="DejaVu Sans Mono" w:hAnsi="DejaVu Sans Mono"/>
          <w:sz w:val="15"/>
        </w:rPr>
        <w:t xml:space="preserve">    hR hlo hhi hdelta hzeta hscale hd hw he</w:t>
      </w:r>
      <w:r>
        <w:rPr>
          <w:rFonts w:ascii="DejaVu Sans Mono" w:hAnsi="DejaVu Sans Mono"/>
          <w:sz w:val="15"/>
        </w:rPr>
        <w:br/>
      </w:r>
      <w:r>
        <w:rPr>
          <w:rStyle w:val="VerbatimChar"/>
          <w:rFonts w:ascii="DejaVu Sans Mono" w:hAnsi="DejaVu Sans Mono"/>
          <w:sz w:val="15"/>
        </w:rPr>
        <w:t xml:space="preserve">  rw [pairMatrix_factorization P hP vr vt r0]</w:t>
      </w:r>
      <w:r>
        <w:rPr>
          <w:rFonts w:ascii="DejaVu Sans Mono" w:hAnsi="DejaVu Sans Mono"/>
          <w:sz w:val="15"/>
        </w:rPr>
        <w:br/>
      </w:r>
      <w:r>
        <w:rPr>
          <w:rStyle w:val="VerbatimChar"/>
          <w:rFonts w:ascii="DejaVu Sans Mono" w:hAnsi="DejaVu Sans Mono"/>
          <w:sz w:val="15"/>
        </w:rPr>
        <w:t xml:space="preserve">  exact ⟨hbounds.1, fun i j =&gt; (hbounds.2.1 i j).trans (le_max_right _ _), hbounds.2.2⟩</w:t>
      </w:r>
      <w:r>
        <w:rPr>
          <w:rFonts w:ascii="DejaVu Sans Mono" w:hAnsi="DejaVu Sans Mono"/>
          <w:sz w:val="15"/>
        </w:rPr>
        <w:br/>
      </w:r>
      <w:r>
        <w:rPr>
          <w:rFonts w:ascii="DejaVu Sans Mono" w:hAnsi="DejaVu Sans Mono"/>
          <w:sz w:val="15"/>
        </w:rPr>
        <w:br/>
      </w:r>
      <w:r>
        <w:rPr>
          <w:rStyle w:val="VerbatimChar"/>
          <w:rFonts w:ascii="DejaVu Sans Mono" w:hAnsi="DejaVu Sans Mono"/>
          <w:sz w:val="15"/>
        </w:rPr>
        <w:t xml:space="preserve">end Branch.Direct</w:t>
      </w:r>
      <w:r>
        <w:rPr>
          <w:rFonts w:ascii="DejaVu Sans Mono" w:hAnsi="DejaVu Sans Mono"/>
          <w:sz w:val="15"/>
        </w:rPr>
        <w:br/>
      </w:r>
      <w:r>
        <w:rPr>
          <w:rFonts w:ascii="DejaVu Sans Mono" w:hAnsi="DejaVu Sans Mono"/>
          <w:sz w:val="15"/>
        </w:rPr>
        <w:br/>
      </w:r>
      <w:r>
        <w:rPr>
          <w:rStyle w:val="VerbatimChar"/>
          <w:rFonts w:ascii="DejaVu Sans Mono" w:hAnsi="DejaVu Sans Mono"/>
          <w:sz w:val="15"/>
        </w:rPr>
        <w:t xml:space="preserve">#check (Branch.Direct.completed : NavierStokes.PrimaryCovarianceBounds.checkpoint_bridge_goal)</w:t>
      </w:r>
      <w:r>
        <w:rPr>
          <w:rFonts w:ascii="DejaVu Sans Mono" w:hAnsi="DejaVu Sans Mono"/>
          <w:sz w:val="15"/>
        </w:rPr>
        <w:br/>
      </w:r>
      <w:r>
        <w:rPr>
          <w:rStyle w:val="VerbatimChar"/>
          <w:rFonts w:ascii="DejaVu Sans Mono" w:hAnsi="DejaVu Sans Mono"/>
          <w:sz w:val="15"/>
        </w:rPr>
        <w:t xml:space="preserve">#print axioms Branch.Direct.completed</w:t>
      </w:r>
    </w:p>
    <w:bookmarkEnd w:id="27"/>
    <w:bookmarkStart w:id="28" w:name="common-lemma-declarations"/>
    <w:p>
      <w:pPr>
        <w:pStyle w:val="Heading3"/>
        <w:keepNext/>
        <w:widowControl/>
      </w:pPr>
      <w:r>
        <w:rPr>
          <w:rFonts w:ascii="Times New Roman" w:hAnsi="Times New Roman"/>
          <w:b/>
          <w:color w:val="000000"/>
          <w:sz w:val="24"/>
        </w:rPr>
        <w:t xml:space="preserve">5.3 Common lemma declarations</w:t>
      </w:r>
    </w:p>
    <w:p>
      <w:pPr>
        <w:pStyle w:val="FirstParagraph"/>
        <w:widowControl/>
      </w:pPr>
      <w:r>
        <w:t xml:space="preserve">Both arms receive these identical existing declarations from NavierStokes.PrimaryCovarianceBounds. Their actual proofs are already available in the retained imported source. The fixed surrounding proof supplies the other parameters and assumptions.</w:t>
      </w:r>
    </w:p>
    <w:p>
      <w:pPr>
        <w:pStyle w:val="SourceCode"/>
        <w:keepNext w:val="0"/>
        <w:widowControl/>
        <w:ind w:left="113" w:right="57"/>
      </w:pPr>
      <w:r>
        <w:rPr>
          <w:rStyle w:val="VerbatimChar"/>
          <w:rFonts w:ascii="DejaVu Sans Mono" w:hAnsi="DejaVu Sans Mono"/>
          <w:sz w:val="15"/>
        </w:rPr>
        <w:t xml:space="preserve">theorem slotRadius_sq {r0 : ℝ} (hr0 : 0 &lt; r0) (h : ℝ) (n : ℕ) :</w:t>
      </w:r>
      <w:r>
        <w:rPr>
          <w:rFonts w:ascii="DejaVu Sans Mono" w:hAnsi="DejaVu Sans Mono"/>
          <w:sz w:val="15"/>
        </w:rPr>
        <w:br/>
      </w:r>
      <w:r>
        <w:rPr>
          <w:rStyle w:val="VerbatimChar"/>
          <w:rFonts w:ascii="DejaVu Sans Mono" w:hAnsi="DejaVu Sans Mono"/>
          <w:sz w:val="15"/>
        </w:rPr>
        <w:t xml:space="preserve">    slotRadius r0 h n ^ 2 = ChartScales.slotLength r0 h n</w:t>
      </w:r>
    </w:p>
    <w:p>
      <w:pPr>
        <w:pStyle w:val="SourceCode"/>
        <w:keepNext w:val="0"/>
        <w:widowControl/>
        <w:ind w:left="113" w:right="57"/>
      </w:pPr>
      <w:r>
        <w:rPr>
          <w:rStyle w:val="VerbatimChar"/>
          <w:rFonts w:ascii="DejaVu Sans Mono" w:hAnsi="DejaVu Sans Mono"/>
          <w:sz w:val="15"/>
        </w:rPr>
        <w:t xml:space="preserve">noncomputable def normalizedPair (P : Fin 2 → PartitionedCovariance.Pulse) : Mat2 :=</w:t>
      </w:r>
      <w:r>
        <w:rPr>
          <w:rFonts w:ascii="DejaVu Sans Mono" w:hAnsi="DejaVu Sans Mono"/>
          <w:sz w:val="15"/>
        </w:rPr>
        <w:br/>
      </w:r>
      <w:r>
        <w:rPr>
          <w:rStyle w:val="VerbatimChar"/>
          <w:rFonts w:ascii="DejaVu Sans Mono" w:hAnsi="DejaVu Sans Mono"/>
          <w:sz w:val="15"/>
        </w:rPr>
        <w:t xml:space="preserve">  fun i j =&gt; PulseCovariance.normalizedColumn (P j).ψ (P j).x (P j).t i</w:t>
      </w:r>
    </w:p>
    <w:p>
      <w:pPr>
        <w:pStyle w:val="SourceCode"/>
        <w:keepNext w:val="0"/>
        <w:widowControl/>
        <w:ind w:left="113" w:right="57"/>
      </w:pPr>
      <w:r>
        <w:rPr>
          <w:rStyle w:val="VerbatimChar"/>
          <w:rFonts w:ascii="DejaVu Sans Mono" w:hAnsi="DejaVu Sans Mono"/>
          <w:sz w:val="15"/>
        </w:rPr>
        <w:t xml:space="preserve">theorem normalizedPair_entry_error {r a A b B E D : ℝ}</w:t>
      </w:r>
      <w:r>
        <w:rPr>
          <w:rFonts w:ascii="DejaVu Sans Mono" w:hAnsi="DejaVu Sans Mono"/>
          <w:sz w:val="15"/>
        </w:rPr>
        <w:br/>
      </w:r>
      <w:r>
        <w:rPr>
          <w:rStyle w:val="VerbatimChar"/>
          <w:rFonts w:ascii="DejaVu Sans Mono" w:hAnsi="DejaVu Sans Mono"/>
          <w:sz w:val="15"/>
        </w:rPr>
        <w:t xml:space="preserve">    (P : Fin 2 → PartitionedCovariance.Pulse)</w:t>
      </w:r>
      <w:r>
        <w:rPr>
          <w:rFonts w:ascii="DejaVu Sans Mono" w:hAnsi="DejaVu Sans Mono"/>
          <w:sz w:val="15"/>
        </w:rPr>
        <w:br/>
      </w:r>
      <w:r>
        <w:rPr>
          <w:rStyle w:val="VerbatimChar"/>
          <w:rFonts w:ascii="DejaVu Sans Mono" w:hAnsi="DejaVu Sans Mono"/>
          <w:sz w:val="15"/>
        </w:rPr>
        <w:t xml:space="preserve">    (hP : ∀ j, PulseCovariance.PulseBounds r a A b B (P j).ψ (P j).x)</w:t>
      </w:r>
      <w:r>
        <w:rPr>
          <w:rFonts w:ascii="DejaVu Sans Mono" w:hAnsi="DejaVu Sans Mono"/>
          <w:sz w:val="15"/>
        </w:rPr>
        <w:br/>
      </w:r>
      <w:r>
        <w:rPr>
          <w:rStyle w:val="VerbatimChar"/>
          <w:rFonts w:ascii="DejaVu Sans Mono" w:hAnsi="DejaVu Sans Mono"/>
          <w:sz w:val="15"/>
        </w:rPr>
        <w:t xml:space="preserve">    (H0 : Mat2) (hE : 0 ≤ E) (hD : 0 ≤ D)</w:t>
      </w:r>
      <w:r>
        <w:rPr>
          <w:rFonts w:ascii="DejaVu Sans Mono" w:hAnsi="DejaVu Sans Mono"/>
          <w:sz w:val="15"/>
        </w:rPr>
        <w:br/>
      </w:r>
      <w:r>
        <w:rPr>
          <w:rStyle w:val="VerbatimChar"/>
          <w:rFonts w:ascii="DejaVu Sans Mono" w:hAnsi="DejaVu Sans Mono"/>
          <w:sz w:val="15"/>
        </w:rPr>
        <w:t xml:space="preserve">    (hratio : ∀ j i v, v ∈ Icc 0 (r ^ 2) →</w:t>
      </w:r>
      <w:r>
        <w:rPr>
          <w:rFonts w:ascii="DejaVu Sans Mono" w:hAnsi="DejaVu Sans Mono"/>
          <w:sz w:val="15"/>
        </w:rPr>
        <w:br/>
      </w:r>
      <w:r>
        <w:rPr>
          <w:rStyle w:val="VerbatimChar"/>
          <w:rFonts w:ascii="DejaVu Sans Mono" w:hAnsi="DejaVu Sans Mono"/>
          <w:sz w:val="15"/>
        </w:rPr>
        <w:t xml:space="preserve">      |(P j).t v i / (P j).x v - H0 i j| ≤</w:t>
      </w:r>
      <w:r>
        <w:rPr>
          <w:rFonts w:ascii="DejaVu Sans Mono" w:hAnsi="DejaVu Sans Mono"/>
          <w:sz w:val="15"/>
        </w:rPr>
        <w:br/>
      </w:r>
      <w:r>
        <w:rPr>
          <w:rStyle w:val="VerbatimChar"/>
          <w:rFonts w:ascii="DejaVu Sans Mono" w:hAnsi="DejaVu Sans Mono"/>
          <w:sz w:val="15"/>
        </w:rPr>
        <w:t xml:space="preserve">        E / r ^ 2 + D * |v - r ^ 2 / 2| / r ^ 2) (i j : Fin 2) :</w:t>
      </w:r>
      <w:r>
        <w:rPr>
          <w:rFonts w:ascii="DejaVu Sans Mono" w:hAnsi="DejaVu Sans Mono"/>
          <w:sz w:val="15"/>
        </w:rPr>
        <w:br/>
      </w:r>
      <w:r>
        <w:rPr>
          <w:rStyle w:val="VerbatimChar"/>
          <w:rFonts w:ascii="DejaVu Sans Mono" w:hAnsi="DejaVu Sans Mono"/>
          <w:sz w:val="15"/>
        </w:rPr>
        <w:t xml:space="preserve">    |normalizedPair P i j - H0 i j| ≤</w:t>
      </w:r>
      <w:r>
        <w:rPr>
          <w:rFonts w:ascii="DejaVu Sans Mono" w:hAnsi="DejaVu Sans Mono"/>
          <w:sz w:val="15"/>
        </w:rPr>
        <w:br/>
      </w:r>
      <w:r>
        <w:rPr>
          <w:rStyle w:val="VerbatimChar"/>
          <w:rFonts w:ascii="DejaVu Sans Mono" w:hAnsi="DejaVu Sans Mono"/>
          <w:sz w:val="15"/>
        </w:rPr>
        <w:t xml:space="preserve">      (E + D * PulseCovariance.concentrationConstant a A b B) / r</w:t>
      </w:r>
    </w:p>
    <w:bookmarkEnd w:id="28"/>
    <w:bookmarkStart w:id="29" w:name="exact-added-guidance"/>
    <w:p>
      <w:pPr>
        <w:pStyle w:val="Heading3"/>
        <w:keepNext/>
        <w:widowControl/>
      </w:pPr>
      <w:r>
        <w:rPr>
          <w:rFonts w:ascii="Times New Roman" w:hAnsi="Times New Roman"/>
          <w:b/>
          <w:color w:val="000000"/>
          <w:sz w:val="24"/>
        </w:rPr>
        <w:t xml:space="preserve">5.4 Exact added guidance</w:t>
      </w:r>
    </w:p>
    <w:p>
      <w:pPr>
        <w:pStyle w:val="FirstParagraph"/>
        <w:widowControl/>
      </w:pPr>
      <w:r>
        <w:t xml:space="preserve">The source result is PrimaryCovarianceBounds.normalizedPair_entry_error. It transfers the actual pulses’ pointwise ratio-error premise to an error bound for their normalized integral matrix. Its exact declaration is already present in the common mathematical inputs.</w:t>
      </w:r>
    </w:p>
    <w:p>
      <w:pPr>
        <w:pStyle w:val="BodyText"/>
        <w:widowControl/>
      </w:pPr>
      <w:r>
        <w:t xml:space="preserve">To apply it at the current gap, match its pulse family to P, its model matrix to H0 p, and its nonnegative error coefficients to the existing E, D, hE, hD. The supplied hP has exactly the required PulseBounds type.</w:t>
      </w:r>
    </w:p>
    <w:p>
      <w:pPr>
        <w:pStyle w:val="BodyText"/>
        <w:widowControl/>
      </w:pPr>
      <w:r>
        <w:t xml:space="preserve">There is one representation mismatch in the pointwise premise: that result uses (slotRadius r0 h n)^2, whereas the existing hratio uses ChartScales.slotLength r0 h n. The established equality slotRadius_sq hr0 rewrites these to the same interval, denominator and center; no new analytical estimate is needed for this step.</w:t>
      </w:r>
    </w:p>
    <w:p>
      <w:pPr>
        <w:pStyle w:val="BodyText"/>
        <w:widowControl/>
      </w:pPr>
      <w:r>
        <w:t xml:space="preserve">The result then bounds the local error by</w:t>
      </w:r>
    </w:p>
    <w:p>
      <w:pPr>
        <w:pStyle w:val="SourceCode"/>
        <w:keepNext w:val="0"/>
        <w:widowControl/>
        <w:ind w:left="113" w:right="57"/>
      </w:pPr>
      <w:r>
        <w:rPr>
          <w:rStyle w:val="VerbatimChar"/>
          <w:rFonts w:ascii="DejaVu Sans Mono" w:hAnsi="DejaVu Sans Mono"/>
          <w:sz w:val="15"/>
        </w:rPr>
        <w:t xml:space="preserve">(E + D * concentrationConstant a A b B) / slotRadius r0 h n.</w:t>
      </w:r>
    </w:p>
    <w:p>
      <w:pPr>
        <w:pStyle w:val="FirstParagraph"/>
        <w:widowControl/>
      </w:pPr>
      <w:r>
        <w:t xml:space="preserve">The surrounding proof has already defined Q = E + D * |concentrationConstant a A b B| and established hsmall : Q / slotRadius r0 h n ≤ rho. Use concentrationConstant ≤ |concentrationConstant|, D ≥ 0 and the positive radius hr to pass from the result’s numerator to Q. Transitivity then reaches the required rho bound.</w:t>
      </w:r>
    </w:p>
    <w:p>
      <w:pPr>
        <w:pStyle w:val="BodyText"/>
        <w:widowControl/>
      </w:pPr>
      <w:r>
        <w:t xml:space="preserve">Remaining work: express this short application, rewrite and scalar comparison in Lean at the existing local goal. This note supplies no tactic script or completed proof body.</w:t>
      </w:r>
    </w:p>
    <w:bookmarkEnd w:id="29"/>
    <w:bookmarkStart w:id="30" w:name="guided-request-1"/>
    <w:p>
      <w:pPr>
        <w:pStyle w:val="Heading3"/>
        <w:keepNext/>
        <w:widowControl/>
      </w:pPr>
      <w:r>
        <w:rPr>
          <w:rFonts w:ascii="Times New Roman" w:hAnsi="Times New Roman"/>
          <w:b/>
          <w:color w:val="000000"/>
          <w:sz w:val="24"/>
        </w:rPr>
        <w:t xml:space="preserve">5.5 Guided: request 1</w:t>
      </w:r>
    </w:p>
    <w:p>
      <w:pPr>
        <w:pStyle w:val="SourceCode"/>
        <w:keepNext w:val="0"/>
        <w:widowControl/>
        <w:ind w:left="113" w:right="57"/>
      </w:pPr>
      <w:r>
        <w:rPr>
          <w:rFonts w:ascii="DejaVu Sans Mono" w:hAnsi="DejaVu Sans Mono"/>
          <w:sz w:val="15"/>
        </w:rPr>
        <w:br/>
      </w:r>
      <w:r>
        <w:rPr>
          <w:rFonts w:ascii="DejaVu Sans Mono" w:hAnsi="DejaVu Sans Mono"/>
          <w:sz w:val="15"/>
        </w:rPr>
        <w:br/>
      </w:r>
      <w:r>
        <w:rPr>
          <w:rStyle w:val="VerbatimChar"/>
          <w:rFonts w:ascii="DejaVu Sans Mono" w:hAnsi="DejaVu Sans Mono"/>
          <w:sz w:val="15"/>
        </w:rPr>
        <w:t xml:space="preserve">have hsl_eq : slotRadius r0 h n ^ 2 = ChartScales.slotLength r0 h n := slotRadius_sq hr0 h n</w:t>
      </w:r>
      <w:r>
        <w:rPr>
          <w:rFonts w:ascii="DejaVu Sans Mono" w:hAnsi="DejaVu Sans Mono"/>
          <w:sz w:val="15"/>
        </w:rPr>
        <w:br/>
      </w:r>
      <w:r>
        <w:rPr>
          <w:rStyle w:val="VerbatimChar"/>
          <w:rFonts w:ascii="DejaVu Sans Mono" w:hAnsi="DejaVu Sans Mono"/>
          <w:sz w:val="15"/>
        </w:rPr>
        <w:t xml:space="preserve">  have hnorm := normalizedPair_entry_error P hP (H0 p) hE hD (by</w:t>
      </w:r>
      <w:r>
        <w:rPr>
          <w:rFonts w:ascii="DejaVu Sans Mono" w:hAnsi="DejaVu Sans Mono"/>
          <w:sz w:val="15"/>
        </w:rPr>
        <w:br/>
      </w:r>
      <w:r>
        <w:rPr>
          <w:rStyle w:val="VerbatimChar"/>
          <w:rFonts w:ascii="DejaVu Sans Mono" w:hAnsi="DejaVu Sans Mono"/>
          <w:sz w:val="15"/>
        </w:rPr>
        <w:t xml:space="preserve">    intro j i v hv</w:t>
      </w:r>
      <w:r>
        <w:rPr>
          <w:rFonts w:ascii="DejaVu Sans Mono" w:hAnsi="DejaVu Sans Mono"/>
          <w:sz w:val="15"/>
        </w:rPr>
        <w:br/>
      </w:r>
      <w:r>
        <w:rPr>
          <w:rStyle w:val="VerbatimChar"/>
          <w:rFonts w:ascii="DejaVu Sans Mono" w:hAnsi="DejaVu Sans Mono"/>
          <w:sz w:val="15"/>
        </w:rPr>
        <w:t xml:space="preserve">    have hv' : v ∈ Icc 0 (ChartScales.slotLength r0 h n) := by</w:t>
      </w:r>
      <w:r>
        <w:rPr>
          <w:rFonts w:ascii="DejaVu Sans Mono" w:hAnsi="DejaVu Sans Mono"/>
          <w:sz w:val="15"/>
        </w:rPr>
        <w:br/>
      </w:r>
      <w:r>
        <w:rPr>
          <w:rStyle w:val="VerbatimChar"/>
          <w:rFonts w:ascii="DejaVu Sans Mono" w:hAnsi="DejaVu Sans Mono"/>
          <w:sz w:val="15"/>
        </w:rPr>
        <w:t xml:space="preserve">      rw [hsl_eq]</w:t>
      </w:r>
      <w:r>
        <w:rPr>
          <w:rFonts w:ascii="DejaVu Sans Mono" w:hAnsi="DejaVu Sans Mono"/>
          <w:sz w:val="15"/>
        </w:rPr>
        <w:br/>
      </w:r>
      <w:r>
        <w:rPr>
          <w:rStyle w:val="VerbatimChar"/>
          <w:rFonts w:ascii="DejaVu Sans Mono" w:hAnsi="DejaVu Sans Mono"/>
          <w:sz w:val="15"/>
        </w:rPr>
        <w:t xml:space="preserve">      exact hv</w:t>
      </w:r>
      <w:r>
        <w:rPr>
          <w:rFonts w:ascii="DejaVu Sans Mono" w:hAnsi="DejaVu Sans Mono"/>
          <w:sz w:val="15"/>
        </w:rPr>
        <w:br/>
      </w:r>
      <w:r>
        <w:rPr>
          <w:rStyle w:val="VerbatimChar"/>
          <w:rFonts w:ascii="DejaVu Sans Mono" w:hAnsi="DejaVu Sans Mono"/>
          <w:sz w:val="15"/>
        </w:rPr>
        <w:t xml:space="preserve">    simpa [hsl_eq] using hratio j i v hv'</w:t>
      </w:r>
      <w:r>
        <w:rPr>
          <w:rFonts w:ascii="DejaVu Sans Mono" w:hAnsi="DejaVu Sans Mono"/>
          <w:sz w:val="15"/>
        </w:rPr>
        <w:br/>
      </w:r>
      <w:r>
        <w:rPr>
          <w:rStyle w:val="VerbatimChar"/>
          <w:rFonts w:ascii="DejaVu Sans Mono" w:hAnsi="DejaVu Sans Mono"/>
          <w:sz w:val="15"/>
        </w:rPr>
        <w:t xml:space="preserve">  ) i j</w:t>
      </w:r>
      <w:r>
        <w:rPr>
          <w:rFonts w:ascii="DejaVu Sans Mono" w:hAnsi="DejaVu Sans Mono"/>
          <w:sz w:val="15"/>
        </w:rPr>
        <w:br/>
      </w:r>
      <w:r>
        <w:rPr>
          <w:rStyle w:val="VerbatimChar"/>
          <w:rFonts w:ascii="DejaVu Sans Mono" w:hAnsi="DejaVu Sans Mono"/>
          <w:sz w:val="15"/>
        </w:rPr>
        <w:t xml:space="preserve">  calc</w:t>
      </w:r>
      <w:r>
        <w:rPr>
          <w:rFonts w:ascii="DejaVu Sans Mono" w:hAnsi="DejaVu Sans Mono"/>
          <w:sz w:val="15"/>
        </w:rPr>
        <w:br/>
      </w:r>
      <w:r>
        <w:rPr>
          <w:rStyle w:val="VerbatimChar"/>
          <w:rFonts w:ascii="DejaVu Sans Mono" w:hAnsi="DejaVu Sans Mono"/>
          <w:sz w:val="15"/>
        </w:rPr>
        <w:t xml:space="preserve">    |normalizedPair P i j - H0 p i j| ≤ (E + D * PulseCovariance.concentrationConstant a A b B) / slotRadius r0 h n := hnorm</w:t>
      </w:r>
      <w:r>
        <w:rPr>
          <w:rFonts w:ascii="DejaVu Sans Mono" w:hAnsi="DejaVu Sans Mono"/>
          <w:sz w:val="15"/>
        </w:rPr>
        <w:br/>
      </w:r>
      <w:r>
        <w:rPr>
          <w:rStyle w:val="VerbatimChar"/>
          <w:rFonts w:ascii="DejaVu Sans Mono" w:hAnsi="DejaVu Sans Mono"/>
          <w:sz w:val="15"/>
        </w:rPr>
        <w:t xml:space="preserve">    _ ≤ (E + D * |PulseCovariance.concentrationConstant a A b B|) / slotRadius r0 h n := by</w:t>
      </w:r>
      <w:r>
        <w:rPr>
          <w:rFonts w:ascii="DejaVu Sans Mono" w:hAnsi="DejaVu Sans Mono"/>
          <w:sz w:val="15"/>
        </w:rPr>
        <w:br/>
      </w:r>
      <w:r>
        <w:rPr>
          <w:rStyle w:val="VerbatimChar"/>
          <w:rFonts w:ascii="DejaVu Sans Mono" w:hAnsi="DejaVu Sans Mono"/>
          <w:sz w:val="15"/>
        </w:rPr>
        <w:t xml:space="preserve">      apply (div_le_iff hr).mpr</w:t>
      </w:r>
      <w:r>
        <w:rPr>
          <w:rFonts w:ascii="DejaVu Sans Mono" w:hAnsi="DejaVu Sans Mono"/>
          <w:sz w:val="15"/>
        </w:rPr>
        <w:br/>
      </w:r>
      <w:r>
        <w:rPr>
          <w:rStyle w:val="VerbatimChar"/>
          <w:rFonts w:ascii="DejaVu Sans Mono" w:hAnsi="DejaVu Sans Mono"/>
          <w:sz w:val="15"/>
        </w:rPr>
        <w:t xml:space="preserve">      have := mul_le_mul_of_nonneg_left (le_abs_self (PulseCovariance.concentrationConstant a A b B)) hD</w:t>
      </w:r>
      <w:r>
        <w:rPr>
          <w:rFonts w:ascii="DejaVu Sans Mono" w:hAnsi="DejaVu Sans Mono"/>
          <w:sz w:val="15"/>
        </w:rPr>
        <w:br/>
      </w:r>
      <w:r>
        <w:rPr>
          <w:rStyle w:val="VerbatimChar"/>
          <w:rFonts w:ascii="DejaVu Sans Mono" w:hAnsi="DejaVu Sans Mono"/>
          <w:sz w:val="15"/>
        </w:rPr>
        <w:t xml:space="preserve">      linarith</w:t>
      </w:r>
      <w:r>
        <w:rPr>
          <w:rFonts w:ascii="DejaVu Sans Mono" w:hAnsi="DejaVu Sans Mono"/>
          <w:sz w:val="15"/>
        </w:rPr>
        <w:br/>
      </w:r>
      <w:r>
        <w:rPr>
          <w:rStyle w:val="VerbatimChar"/>
          <w:rFonts w:ascii="DejaVu Sans Mono" w:hAnsi="DejaVu Sans Mono"/>
          <w:sz w:val="15"/>
        </w:rPr>
        <w:t xml:space="preserve">    _ = Q / slotRadius r0 h n := by dsimp [Q]</w:t>
      </w:r>
      <w:r>
        <w:rPr>
          <w:rFonts w:ascii="DejaVu Sans Mono" w:hAnsi="DejaVu Sans Mono"/>
          <w:sz w:val="15"/>
        </w:rPr>
        <w:br/>
      </w:r>
      <w:r>
        <w:rPr>
          <w:rStyle w:val="VerbatimChar"/>
          <w:rFonts w:ascii="DejaVu Sans Mono" w:hAnsi="DejaVu Sans Mono"/>
          <w:sz w:val="15"/>
        </w:rPr>
        <w:t xml:space="preserve">    _ ≤ rho := hsmall</w:t>
      </w:r>
    </w:p>
    <w:bookmarkEnd w:id="30"/>
    <w:bookmarkStart w:id="31" w:name="guided-request-2"/>
    <w:p>
      <w:pPr>
        <w:pStyle w:val="Heading3"/>
        <w:keepNext/>
        <w:widowControl/>
      </w:pPr>
      <w:r>
        <w:rPr>
          <w:rFonts w:ascii="Times New Roman" w:hAnsi="Times New Roman"/>
          <w:b/>
          <w:color w:val="000000"/>
          <w:sz w:val="24"/>
        </w:rPr>
        <w:t xml:space="preserve">5.6 Guided: request 2</w:t>
      </w:r>
    </w:p>
    <w:p>
      <w:pPr>
        <w:pStyle w:val="SourceCode"/>
        <w:keepNext w:val="0"/>
        <w:widowControl/>
        <w:ind w:left="113" w:right="57"/>
      </w:pPr>
      <w:r>
        <w:rPr>
          <w:rFonts w:ascii="DejaVu Sans Mono" w:hAnsi="DejaVu Sans Mono"/>
          <w:sz w:val="15"/>
        </w:rPr>
        <w:br/>
      </w:r>
      <w:r>
        <w:rPr>
          <w:rFonts w:ascii="DejaVu Sans Mono" w:hAnsi="DejaVu Sans Mono"/>
          <w:sz w:val="15"/>
        </w:rPr>
        <w:br/>
      </w:r>
      <w:r>
        <w:rPr>
          <w:rStyle w:val="VerbatimChar"/>
          <w:rFonts w:ascii="DejaVu Sans Mono" w:hAnsi="DejaVu Sans Mono"/>
          <w:sz w:val="15"/>
        </w:rPr>
        <w:t xml:space="preserve">have hsl_eq : slotRadius r0 h n ^ 2 = ChartScales.slotLength r0 h n := slotRadius_sq hr0 h n</w:t>
      </w:r>
      <w:r>
        <w:rPr>
          <w:rFonts w:ascii="DejaVu Sans Mono" w:hAnsi="DejaVu Sans Mono"/>
          <w:sz w:val="15"/>
        </w:rPr>
        <w:br/>
      </w:r>
      <w:r>
        <w:rPr>
          <w:rStyle w:val="VerbatimChar"/>
          <w:rFonts w:ascii="DejaVu Sans Mono" w:hAnsi="DejaVu Sans Mono"/>
          <w:sz w:val="15"/>
        </w:rPr>
        <w:t xml:space="preserve">have hhratio_sq : ∀ j i v, v ∈ Icc 0 (slotRadius r0 h n ^ 2) → |(P j).t v i / (P j).x v - (H0 p) i j| ≤ E / slotRadius r0 h n ^ 2 + D * |v - slotRadius r0 h n ^ 2 / 2| / slotRadius r0 h n ^ 2 := by</w:t>
      </w:r>
      <w:r>
        <w:rPr>
          <w:rFonts w:ascii="DejaVu Sans Mono" w:hAnsi="DejaVu Sans Mono"/>
          <w:sz w:val="15"/>
        </w:rPr>
        <w:br/>
      </w:r>
      <w:r>
        <w:rPr>
          <w:rStyle w:val="VerbatimChar"/>
          <w:rFonts w:ascii="DejaVu Sans Mono" w:hAnsi="DejaVu Sans Mono"/>
          <w:sz w:val="15"/>
        </w:rPr>
        <w:t xml:space="preserve">  intro j i v hv</w:t>
      </w:r>
      <w:r>
        <w:rPr>
          <w:rFonts w:ascii="DejaVu Sans Mono" w:hAnsi="DejaVu Sans Mono"/>
          <w:sz w:val="15"/>
        </w:rPr>
        <w:br/>
      </w:r>
      <w:r>
        <w:rPr>
          <w:rStyle w:val="VerbatimChar"/>
          <w:rFonts w:ascii="DejaVu Sans Mono" w:hAnsi="DejaVu Sans Mono"/>
          <w:sz w:val="15"/>
        </w:rPr>
        <w:t xml:space="preserve">  have hv' : v ∈ Icc 0 (ChartScales.slotLength r0 h n) := by rw [hsl_eq]; exact hv</w:t>
      </w:r>
      <w:r>
        <w:rPr>
          <w:rFonts w:ascii="DejaVu Sans Mono" w:hAnsi="DejaVu Sans Mono"/>
          <w:sz w:val="15"/>
        </w:rPr>
        <w:br/>
      </w:r>
      <w:r>
        <w:rPr>
          <w:rStyle w:val="VerbatimChar"/>
          <w:rFonts w:ascii="DejaVu Sans Mono" w:hAnsi="DejaVu Sans Mono"/>
          <w:sz w:val="15"/>
        </w:rPr>
        <w:t xml:space="preserve">  have h := hratio j i v hv'</w:t>
      </w:r>
      <w:r>
        <w:rPr>
          <w:rFonts w:ascii="DejaVu Sans Mono" w:hAnsi="DejaVu Sans Mono"/>
          <w:sz w:val="15"/>
        </w:rPr>
        <w:br/>
      </w:r>
      <w:r>
        <w:rPr>
          <w:rStyle w:val="VerbatimChar"/>
          <w:rFonts w:ascii="DejaVu Sans Mono" w:hAnsi="DejaVu Sans Mono"/>
          <w:sz w:val="15"/>
        </w:rPr>
        <w:t xml:space="preserve">  rw [← hsl_eq] at h</w:t>
      </w:r>
      <w:r>
        <w:rPr>
          <w:rFonts w:ascii="DejaVu Sans Mono" w:hAnsi="DejaVu Sans Mono"/>
          <w:sz w:val="15"/>
        </w:rPr>
        <w:br/>
      </w:r>
      <w:r>
        <w:rPr>
          <w:rStyle w:val="VerbatimChar"/>
          <w:rFonts w:ascii="DejaVu Sans Mono" w:hAnsi="DejaVu Sans Mono"/>
          <w:sz w:val="15"/>
        </w:rPr>
        <w:t xml:space="preserve">  simpa using h</w:t>
      </w:r>
      <w:r>
        <w:rPr>
          <w:rFonts w:ascii="DejaVu Sans Mono" w:hAnsi="DejaVu Sans Mono"/>
          <w:sz w:val="15"/>
        </w:rPr>
        <w:br/>
      </w:r>
      <w:r>
        <w:rPr>
          <w:rStyle w:val="VerbatimChar"/>
          <w:rFonts w:ascii="DejaVu Sans Mono" w:hAnsi="DejaVu Sans Mono"/>
          <w:sz w:val="15"/>
        </w:rPr>
        <w:t xml:space="preserve">have hnorm := normalizedPair_entry_error P hP (H0 p) hE hD hhratio_sq i j</w:t>
      </w:r>
      <w:r>
        <w:rPr>
          <w:rFonts w:ascii="DejaVu Sans Mono" w:hAnsi="DejaVu Sans Mono"/>
          <w:sz w:val="15"/>
        </w:rPr>
        <w:br/>
      </w:r>
      <w:r>
        <w:rPr>
          <w:rStyle w:val="VerbatimChar"/>
          <w:rFonts w:ascii="DejaVu Sans Mono" w:hAnsi="DejaVu Sans Mono"/>
          <w:sz w:val="15"/>
        </w:rPr>
        <w:t xml:space="preserve">calc</w:t>
      </w:r>
      <w:r>
        <w:rPr>
          <w:rFonts w:ascii="DejaVu Sans Mono" w:hAnsi="DejaVu Sans Mono"/>
          <w:sz w:val="15"/>
        </w:rPr>
        <w:br/>
      </w:r>
      <w:r>
        <w:rPr>
          <w:rStyle w:val="VerbatimChar"/>
          <w:rFonts w:ascii="DejaVu Sans Mono" w:hAnsi="DejaVu Sans Mono"/>
          <w:sz w:val="15"/>
        </w:rPr>
        <w:t xml:space="preserve">  |normalizedPair P i j - H0 p i j| ≤ (E + D * PulseCovariance.concentrationConstant a A b B) / slotRadius r0 h n := hnorm</w:t>
      </w:r>
      <w:r>
        <w:rPr>
          <w:rFonts w:ascii="DejaVu Sans Mono" w:hAnsi="DejaVu Sans Mono"/>
          <w:sz w:val="15"/>
        </w:rPr>
        <w:br/>
      </w:r>
      <w:r>
        <w:rPr>
          <w:rStyle w:val="VerbatimChar"/>
          <w:rFonts w:ascii="DejaVu Sans Mono" w:hAnsi="DejaVu Sans Mono"/>
          <w:sz w:val="15"/>
        </w:rPr>
        <w:t xml:space="preserve">  _ ≤ (E + D * |PulseCovariance.concentrationConstant a A b B|) / slotRadius r0 h n := by</w:t>
      </w:r>
      <w:r>
        <w:rPr>
          <w:rFonts w:ascii="DejaVu Sans Mono" w:hAnsi="DejaVu Sans Mono"/>
          <w:sz w:val="15"/>
        </w:rPr>
        <w:br/>
      </w:r>
      <w:r>
        <w:rPr>
          <w:rStyle w:val="VerbatimChar"/>
          <w:rFonts w:ascii="DejaVu Sans Mono" w:hAnsi="DejaVu Sans Mono"/>
          <w:sz w:val="15"/>
        </w:rPr>
        <w:t xml:space="preserve">    apply (div_le_iff hr).mpr</w:t>
      </w:r>
      <w:r>
        <w:rPr>
          <w:rFonts w:ascii="DejaVu Sans Mono" w:hAnsi="DejaVu Sans Mono"/>
          <w:sz w:val="15"/>
        </w:rPr>
        <w:br/>
      </w:r>
      <w:r>
        <w:rPr>
          <w:rStyle w:val="VerbatimChar"/>
          <w:rFonts w:ascii="DejaVu Sans Mono" w:hAnsi="DejaVu Sans Mono"/>
          <w:sz w:val="15"/>
        </w:rPr>
        <w:t xml:space="preserve">    have := mul_le_mul_of_nonneg_left (le_abs_self (PulseCovariance.concentrationConstant a A b B)) hD</w:t>
      </w:r>
      <w:r>
        <w:rPr>
          <w:rFonts w:ascii="DejaVu Sans Mono" w:hAnsi="DejaVu Sans Mono"/>
          <w:sz w:val="15"/>
        </w:rPr>
        <w:br/>
      </w:r>
      <w:r>
        <w:rPr>
          <w:rStyle w:val="VerbatimChar"/>
          <w:rFonts w:ascii="DejaVu Sans Mono" w:hAnsi="DejaVu Sans Mono"/>
          <w:sz w:val="15"/>
        </w:rPr>
        <w:t xml:space="preserve">    linarith</w:t>
      </w:r>
      <w:r>
        <w:rPr>
          <w:rFonts w:ascii="DejaVu Sans Mono" w:hAnsi="DejaVu Sans Mono"/>
          <w:sz w:val="15"/>
        </w:rPr>
        <w:br/>
      </w:r>
      <w:r>
        <w:rPr>
          <w:rStyle w:val="VerbatimChar"/>
          <w:rFonts w:ascii="DejaVu Sans Mono" w:hAnsi="DejaVu Sans Mono"/>
          <w:sz w:val="15"/>
        </w:rPr>
        <w:t xml:space="preserve">  _ = Q / slotRadius r0 h n := by dsimp [Q]</w:t>
      </w:r>
      <w:r>
        <w:rPr>
          <w:rFonts w:ascii="DejaVu Sans Mono" w:hAnsi="DejaVu Sans Mono"/>
          <w:sz w:val="15"/>
        </w:rPr>
        <w:br/>
      </w:r>
      <w:r>
        <w:rPr>
          <w:rStyle w:val="VerbatimChar"/>
          <w:rFonts w:ascii="DejaVu Sans Mono" w:hAnsi="DejaVu Sans Mono"/>
          <w:sz w:val="15"/>
        </w:rPr>
        <w:t xml:space="preserve">  _ ≤ rho := hsmall</w:t>
      </w:r>
    </w:p>
    <w:bookmarkEnd w:id="31"/>
    <w:bookmarkStart w:id="32" w:name="guided-request-3"/>
    <w:p>
      <w:pPr>
        <w:pStyle w:val="Heading3"/>
        <w:keepNext/>
        <w:widowControl/>
      </w:pPr>
      <w:r>
        <w:rPr>
          <w:rFonts w:ascii="Times New Roman" w:hAnsi="Times New Roman"/>
          <w:b/>
          <w:color w:val="000000"/>
          <w:sz w:val="24"/>
        </w:rPr>
        <w:t xml:space="preserve">5.7 Guided: request 3</w:t>
      </w:r>
    </w:p>
    <w:p>
      <w:pPr>
        <w:pStyle w:val="SourceCode"/>
        <w:keepNext w:val="0"/>
        <w:widowControl/>
        <w:ind w:left="113" w:right="57"/>
      </w:pPr>
      <w:r>
        <w:rPr>
          <w:rFonts w:ascii="DejaVu Sans Mono" w:hAnsi="DejaVu Sans Mono"/>
          <w:sz w:val="15"/>
        </w:rPr>
        <w:br/>
      </w:r>
      <w:r>
        <w:rPr>
          <w:rFonts w:ascii="DejaVu Sans Mono" w:hAnsi="DejaVu Sans Mono"/>
          <w:sz w:val="15"/>
        </w:rPr>
        <w:br/>
      </w:r>
      <w:r>
        <w:rPr>
          <w:rStyle w:val="VerbatimChar"/>
          <w:rFonts w:ascii="DejaVu Sans Mono" w:hAnsi="DejaVu Sans Mono"/>
          <w:sz w:val="15"/>
        </w:rPr>
        <w:t xml:space="preserve">have hsl_eq : slotRadius r0 h n ^ 2 = ChartScales.slotLength r0 h n := slotRadius_sq hr0 h n</w:t>
      </w:r>
      <w:r>
        <w:rPr>
          <w:rFonts w:ascii="DejaVu Sans Mono" w:hAnsi="DejaVu Sans Mono"/>
          <w:sz w:val="15"/>
        </w:rPr>
        <w:br/>
      </w:r>
      <w:r>
        <w:rPr>
          <w:rStyle w:val="VerbatimChar"/>
          <w:rFonts w:ascii="DejaVu Sans Mono" w:hAnsi="DejaVu Sans Mono"/>
          <w:sz w:val="15"/>
        </w:rPr>
        <w:t xml:space="preserve">have hhratio_sq : ∀ j i v, v ∈ Icc 0 (slotRadius r0 h n ^ 2) → |(P j).t v i / (P j).x v - (H0 p) i j| ≤ E / slotRadius r0 h n ^ 2 + D * |v - slotRadius r0 h n ^ 2 / 2| / slotRadius r0 h n ^ 2 := by</w:t>
      </w:r>
      <w:r>
        <w:rPr>
          <w:rFonts w:ascii="DejaVu Sans Mono" w:hAnsi="DejaVu Sans Mono"/>
          <w:sz w:val="15"/>
        </w:rPr>
        <w:br/>
      </w:r>
      <w:r>
        <w:rPr>
          <w:rStyle w:val="VerbatimChar"/>
          <w:rFonts w:ascii="DejaVu Sans Mono" w:hAnsi="DejaVu Sans Mono"/>
          <w:sz w:val="15"/>
        </w:rPr>
        <w:t xml:space="preserve">  intro j i v hv</w:t>
      </w:r>
      <w:r>
        <w:rPr>
          <w:rFonts w:ascii="DejaVu Sans Mono" w:hAnsi="DejaVu Sans Mono"/>
          <w:sz w:val="15"/>
        </w:rPr>
        <w:br/>
      </w:r>
      <w:r>
        <w:rPr>
          <w:rStyle w:val="VerbatimChar"/>
          <w:rFonts w:ascii="DejaVu Sans Mono" w:hAnsi="DejaVu Sans Mono"/>
          <w:sz w:val="15"/>
        </w:rPr>
        <w:t xml:space="preserve">  have hv' : v ∈ Icc 0 (ChartScales.slotLength r0 h n) := by simpa [hsl_eq] using hv</w:t>
      </w:r>
      <w:r>
        <w:rPr>
          <w:rFonts w:ascii="DejaVu Sans Mono" w:hAnsi="DejaVu Sans Mono"/>
          <w:sz w:val="15"/>
        </w:rPr>
        <w:br/>
      </w:r>
      <w:r>
        <w:rPr>
          <w:rStyle w:val="VerbatimChar"/>
          <w:rFonts w:ascii="DejaVu Sans Mono" w:hAnsi="DejaVu Sans Mono"/>
          <w:sz w:val="15"/>
        </w:rPr>
        <w:t xml:space="preserve">  have h := hratio j i v hv'</w:t>
      </w:r>
      <w:r>
        <w:rPr>
          <w:rFonts w:ascii="DejaVu Sans Mono" w:hAnsi="DejaVu Sans Mono"/>
          <w:sz w:val="15"/>
        </w:rPr>
        <w:br/>
      </w:r>
      <w:r>
        <w:rPr>
          <w:rStyle w:val="VerbatimChar"/>
          <w:rFonts w:ascii="DejaVu Sans Mono" w:hAnsi="DejaVu Sans Mono"/>
          <w:sz w:val="15"/>
        </w:rPr>
        <w:t xml:space="preserve">  simpa [hsl_eq] using h</w:t>
      </w:r>
      <w:r>
        <w:rPr>
          <w:rFonts w:ascii="DejaVu Sans Mono" w:hAnsi="DejaVu Sans Mono"/>
          <w:sz w:val="15"/>
        </w:rPr>
        <w:br/>
      </w:r>
      <w:r>
        <w:rPr>
          <w:rStyle w:val="VerbatimChar"/>
          <w:rFonts w:ascii="DejaVu Sans Mono" w:hAnsi="DejaVu Sans Mono"/>
          <w:sz w:val="15"/>
        </w:rPr>
        <w:t xml:space="preserve">have hnorm := normalizedPair_entry_error P hP (H0 p) hE hD hhratio_sq i j</w:t>
      </w:r>
      <w:r>
        <w:rPr>
          <w:rFonts w:ascii="DejaVu Sans Mono" w:hAnsi="DejaVu Sans Mono"/>
          <w:sz w:val="15"/>
        </w:rPr>
        <w:br/>
      </w:r>
      <w:r>
        <w:rPr>
          <w:rStyle w:val="VerbatimChar"/>
          <w:rFonts w:ascii="DejaVu Sans Mono" w:hAnsi="DejaVu Sans Mono"/>
          <w:sz w:val="15"/>
        </w:rPr>
        <w:t xml:space="preserve">calc</w:t>
      </w:r>
      <w:r>
        <w:rPr>
          <w:rFonts w:ascii="DejaVu Sans Mono" w:hAnsi="DejaVu Sans Mono"/>
          <w:sz w:val="15"/>
        </w:rPr>
        <w:br/>
      </w:r>
      <w:r>
        <w:rPr>
          <w:rStyle w:val="VerbatimChar"/>
          <w:rFonts w:ascii="DejaVu Sans Mono" w:hAnsi="DejaVu Sans Mono"/>
          <w:sz w:val="15"/>
        </w:rPr>
        <w:t xml:space="preserve">  |normalizedPair P i j - H0 p i j| ≤ (E + D * PulseCovariance.concentrationConstant a A b B) / slotRadius r0 h n := hnorm</w:t>
      </w:r>
      <w:r>
        <w:rPr>
          <w:rFonts w:ascii="DejaVu Sans Mono" w:hAnsi="DejaVu Sans Mono"/>
          <w:sz w:val="15"/>
        </w:rPr>
        <w:br/>
      </w:r>
      <w:r>
        <w:rPr>
          <w:rStyle w:val="VerbatimChar"/>
          <w:rFonts w:ascii="DejaVu Sans Mono" w:hAnsi="DejaVu Sans Mono"/>
          <w:sz w:val="15"/>
        </w:rPr>
        <w:t xml:space="preserve">  _ ≤ (E + D * |PulseCovariance.concentrationConstant a A b B|) / slotRadius r0 h n := by</w:t>
      </w:r>
      <w:r>
        <w:rPr>
          <w:rFonts w:ascii="DejaVu Sans Mono" w:hAnsi="DejaVu Sans Mono"/>
          <w:sz w:val="15"/>
        </w:rPr>
        <w:br/>
      </w:r>
      <w:r>
        <w:rPr>
          <w:rStyle w:val="VerbatimChar"/>
          <w:rFonts w:ascii="DejaVu Sans Mono" w:hAnsi="DejaVu Sans Mono"/>
          <w:sz w:val="15"/>
        </w:rPr>
        <w:t xml:space="preserve">    have hnum : E + D * PulseCovariance.concentrationConstant a A b B ≤ E + D * |PulseCovariance.concentrationConstant a A b B| := by</w:t>
      </w:r>
      <w:r>
        <w:rPr>
          <w:rFonts w:ascii="DejaVu Sans Mono" w:hAnsi="DejaVu Sans Mono"/>
          <w:sz w:val="15"/>
        </w:rPr>
        <w:br/>
      </w:r>
      <w:r>
        <w:rPr>
          <w:rStyle w:val="VerbatimChar"/>
          <w:rFonts w:ascii="DejaVu Sans Mono" w:hAnsi="DejaVu Sans Mono"/>
          <w:sz w:val="15"/>
        </w:rPr>
        <w:t xml:space="preserve">      nlinarith [le_abs_self (PulseCovariance.concentrationConstant a A b B), hD]</w:t>
      </w:r>
      <w:r>
        <w:rPr>
          <w:rFonts w:ascii="DejaVu Sans Mono" w:hAnsi="DejaVu Sans Mono"/>
          <w:sz w:val="15"/>
        </w:rPr>
        <w:br/>
      </w:r>
      <w:r>
        <w:rPr>
          <w:rStyle w:val="VerbatimChar"/>
          <w:rFonts w:ascii="DejaVu Sans Mono" w:hAnsi="DejaVu Sans Mono"/>
          <w:sz w:val="15"/>
        </w:rPr>
        <w:t xml:space="preserve">    rw [div_le_iff₀ hr]</w:t>
      </w:r>
      <w:r>
        <w:rPr>
          <w:rFonts w:ascii="DejaVu Sans Mono" w:hAnsi="DejaVu Sans Mono"/>
          <w:sz w:val="15"/>
        </w:rPr>
        <w:br/>
      </w:r>
      <w:r>
        <w:rPr>
          <w:rStyle w:val="VerbatimChar"/>
          <w:rFonts w:ascii="DejaVu Sans Mono" w:hAnsi="DejaVu Sans Mono"/>
          <w:sz w:val="15"/>
        </w:rPr>
        <w:t xml:space="preserve">    have hfield : ((E + D * |PulseCovariance.concentrationConstant a A b B|) / slotRadius r0 h n) * slotRadius r0 h n = E + D * |PulseCovariance.concentrationConstant a A b B| := by</w:t>
      </w:r>
      <w:r>
        <w:rPr>
          <w:rFonts w:ascii="DejaVu Sans Mono" w:hAnsi="DejaVu Sans Mono"/>
          <w:sz w:val="15"/>
        </w:rPr>
        <w:br/>
      </w:r>
      <w:r>
        <w:rPr>
          <w:rStyle w:val="VerbatimChar"/>
          <w:rFonts w:ascii="DejaVu Sans Mono" w:hAnsi="DejaVu Sans Mono"/>
          <w:sz w:val="15"/>
        </w:rPr>
        <w:t xml:space="preserve">      field_simp [hr.ne']</w:t>
      </w:r>
      <w:r>
        <w:rPr>
          <w:rFonts w:ascii="DejaVu Sans Mono" w:hAnsi="DejaVu Sans Mono"/>
          <w:sz w:val="15"/>
        </w:rPr>
        <w:br/>
      </w:r>
      <w:r>
        <w:rPr>
          <w:rStyle w:val="VerbatimChar"/>
          <w:rFonts w:ascii="DejaVu Sans Mono" w:hAnsi="DejaVu Sans Mono"/>
          <w:sz w:val="15"/>
        </w:rPr>
        <w:t xml:space="preserve">    rw [hfield]</w:t>
      </w:r>
      <w:r>
        <w:rPr>
          <w:rFonts w:ascii="DejaVu Sans Mono" w:hAnsi="DejaVu Sans Mono"/>
          <w:sz w:val="15"/>
        </w:rPr>
        <w:br/>
      </w:r>
      <w:r>
        <w:rPr>
          <w:rStyle w:val="VerbatimChar"/>
          <w:rFonts w:ascii="DejaVu Sans Mono" w:hAnsi="DejaVu Sans Mono"/>
          <w:sz w:val="15"/>
        </w:rPr>
        <w:t xml:space="preserve">    exact hnum</w:t>
      </w:r>
      <w:r>
        <w:rPr>
          <w:rFonts w:ascii="DejaVu Sans Mono" w:hAnsi="DejaVu Sans Mono"/>
          <w:sz w:val="15"/>
        </w:rPr>
        <w:br/>
      </w:r>
      <w:r>
        <w:rPr>
          <w:rStyle w:val="VerbatimChar"/>
          <w:rFonts w:ascii="DejaVu Sans Mono" w:hAnsi="DejaVu Sans Mono"/>
          <w:sz w:val="15"/>
        </w:rPr>
        <w:t xml:space="preserve">  _ = Q / slotRadius r0 h n := by dsimp [Q]</w:t>
      </w:r>
      <w:r>
        <w:rPr>
          <w:rFonts w:ascii="DejaVu Sans Mono" w:hAnsi="DejaVu Sans Mono"/>
          <w:sz w:val="15"/>
        </w:rPr>
        <w:br/>
      </w:r>
      <w:r>
        <w:rPr>
          <w:rStyle w:val="VerbatimChar"/>
          <w:rFonts w:ascii="DejaVu Sans Mono" w:hAnsi="DejaVu Sans Mono"/>
          <w:sz w:val="15"/>
        </w:rPr>
        <w:t xml:space="preserve">  _ ≤ rho := hsmall</w:t>
      </w:r>
    </w:p>
    <w:bookmarkEnd w:id="32"/>
    <w:bookmarkStart w:id="33" w:name="declarations-only-request-1"/>
    <w:p>
      <w:pPr>
        <w:pStyle w:val="Heading3"/>
        <w:keepNext/>
        <w:widowControl/>
      </w:pPr>
      <w:r>
        <w:rPr>
          <w:rFonts w:ascii="Times New Roman" w:hAnsi="Times New Roman"/>
          <w:b/>
          <w:color w:val="000000"/>
          <w:sz w:val="24"/>
        </w:rPr>
        <w:t xml:space="preserve">5.8 Declarations only: request 1</w:t>
      </w:r>
    </w:p>
    <w:p>
      <w:pPr>
        <w:pStyle w:val="FirstParagraph"/>
        <w:widowControl/>
      </w:pPr>
      <w:r>
        <w:t xml:space="preserve">No visible proof body. Recorded finish reason:</w:t>
      </w:r>
      <w:r>
        <w:t xml:space="preserve"> </w:t>
      </w:r>
      <w:r>
        <w:rPr>
          <w:rStyle w:val="VerbatimChar"/>
        </w:rPr>
        <w:t xml:space="preserve">length</w:t>
      </w:r>
      <w:r>
        <w:t xml:space="preserve">. No candidate was compiled.</w:t>
      </w:r>
    </w:p>
    <w:bookmarkEnd w:id="33"/>
    <w:bookmarkStart w:id="34" w:name="declarations-only-request-2"/>
    <w:p>
      <w:pPr>
        <w:pStyle w:val="Heading3"/>
        <w:keepNext/>
        <w:widowControl/>
      </w:pPr>
      <w:r>
        <w:rPr>
          <w:rFonts w:ascii="Times New Roman" w:hAnsi="Times New Roman"/>
          <w:b/>
          <w:color w:val="000000"/>
          <w:sz w:val="24"/>
        </w:rPr>
        <w:t xml:space="preserve">5.9 Declarations only: request 2</w:t>
      </w:r>
    </w:p>
    <w:p>
      <w:pPr>
        <w:pStyle w:val="SourceCode"/>
        <w:keepNext w:val="0"/>
        <w:widowControl/>
        <w:ind w:left="113" w:right="57"/>
      </w:pPr>
      <w:r>
        <w:rPr>
          <w:rFonts w:ascii="DejaVu Sans Mono" w:hAnsi="DejaVu Sans Mono"/>
          <w:sz w:val="15"/>
        </w:rPr>
        <w:br/>
      </w:r>
      <w:r>
        <w:rPr>
          <w:rFonts w:ascii="DejaVu Sans Mono" w:hAnsi="DejaVu Sans Mono"/>
          <w:sz w:val="15"/>
        </w:rPr>
        <w:br/>
      </w:r>
      <w:r>
        <w:rPr>
          <w:rStyle w:val="VerbatimChar"/>
          <w:rFonts w:ascii="DejaVu Sans Mono" w:hAnsi="DejaVu Sans Mono"/>
          <w:sz w:val="15"/>
        </w:rPr>
        <w:t xml:space="preserve">have hsq : slotRadius r0 h n ^ 2 = ChartScales.slotLength r0 h n := slotRadius_sq hr0 h n</w:t>
      </w:r>
      <w:r>
        <w:rPr>
          <w:rFonts w:ascii="DejaVu Sans Mono" w:hAnsi="DejaVu Sans Mono"/>
          <w:sz w:val="15"/>
        </w:rPr>
        <w:br/>
      </w:r>
      <w:r>
        <w:rPr>
          <w:rStyle w:val="VerbatimChar"/>
          <w:rFonts w:ascii="DejaVu Sans Mono" w:hAnsi="DejaVu Sans Mono"/>
          <w:sz w:val="15"/>
        </w:rPr>
        <w:t xml:space="preserve">have hentry : |normalizedPair P i j - H0 p i j| ≤</w:t>
      </w:r>
      <w:r>
        <w:rPr>
          <w:rFonts w:ascii="DejaVu Sans Mono" w:hAnsi="DejaVu Sans Mono"/>
          <w:sz w:val="15"/>
        </w:rPr>
        <w:br/>
      </w:r>
      <w:r>
        <w:rPr>
          <w:rStyle w:val="VerbatimChar"/>
          <w:rFonts w:ascii="DejaVu Sans Mono" w:hAnsi="DejaVu Sans Mono"/>
          <w:sz w:val="15"/>
        </w:rPr>
        <w:t xml:space="preserve">    (E + D * PulseCovariance.concentrationConstant a A b B) / slotRadius r0 h n :=</w:t>
      </w:r>
      <w:r>
        <w:rPr>
          <w:rFonts w:ascii="DejaVu Sans Mono" w:hAnsi="DejaVu Sans Mono"/>
          <w:sz w:val="15"/>
        </w:rPr>
        <w:br/>
      </w:r>
      <w:r>
        <w:rPr>
          <w:rStyle w:val="VerbatimChar"/>
          <w:rFonts w:ascii="DejaVu Sans Mono" w:hAnsi="DejaVu Sans Mono"/>
          <w:sz w:val="15"/>
        </w:rPr>
        <w:t xml:space="preserve">  normalizedPair_entry_error (slotRadius r0 h n) a A b B E D P hP (H0 p) hE hD</w:t>
      </w:r>
      <w:r>
        <w:rPr>
          <w:rFonts w:ascii="DejaVu Sans Mono" w:hAnsi="DejaVu Sans Mono"/>
          <w:sz w:val="15"/>
        </w:rPr>
        <w:br/>
      </w:r>
      <w:r>
        <w:rPr>
          <w:rStyle w:val="VerbatimChar"/>
          <w:rFonts w:ascii="DejaVu Sans Mono" w:hAnsi="DejaVu Sans Mono"/>
          <w:sz w:val="15"/>
        </w:rPr>
        <w:t xml:space="preserve">    (fun j' i' v' hv' =&gt; hratio j' i' v' (by simpa [hsq] using hv')) i j</w:t>
      </w:r>
      <w:r>
        <w:rPr>
          <w:rFonts w:ascii="DejaVu Sans Mono" w:hAnsi="DejaVu Sans Mono"/>
          <w:sz w:val="15"/>
        </w:rPr>
        <w:br/>
      </w:r>
      <w:r>
        <w:rPr>
          <w:rStyle w:val="VerbatimChar"/>
          <w:rFonts w:ascii="DejaVu Sans Mono" w:hAnsi="DejaVu Sans Mono"/>
          <w:sz w:val="15"/>
        </w:rPr>
        <w:t xml:space="preserve">have habs : D * PulseCovariance.concentrationConstant a A b B ≤ D * |PulseCovariance.concentrationConstant a A b B| := by</w:t>
      </w:r>
      <w:r>
        <w:rPr>
          <w:rFonts w:ascii="DejaVu Sans Mono" w:hAnsi="DejaVu Sans Mono"/>
          <w:sz w:val="15"/>
        </w:rPr>
        <w:br/>
      </w:r>
      <w:r>
        <w:rPr>
          <w:rStyle w:val="VerbatimChar"/>
          <w:rFonts w:ascii="DejaVu Sans Mono" w:hAnsi="DejaVu Sans Mono"/>
          <w:sz w:val="15"/>
        </w:rPr>
        <w:t xml:space="preserve">  nlinarith [le_abs_self (PulseCovariance.concentrationConstant a A b B), hD]</w:t>
      </w:r>
      <w:r>
        <w:rPr>
          <w:rFonts w:ascii="DejaVu Sans Mono" w:hAnsi="DejaVu Sans Mono"/>
          <w:sz w:val="15"/>
        </w:rPr>
        <w:br/>
      </w:r>
      <w:r>
        <w:rPr>
          <w:rStyle w:val="VerbatimChar"/>
          <w:rFonts w:ascii="DejaVu Sans Mono" w:hAnsi="DejaVu Sans Mono"/>
          <w:sz w:val="15"/>
        </w:rPr>
        <w:t xml:space="preserve">have hle1 : (E + D * PulseCovariance.concentrationConstant a A b B) / slotRadius r0 h n ≤</w:t>
      </w:r>
      <w:r>
        <w:rPr>
          <w:rFonts w:ascii="DejaVu Sans Mono" w:hAnsi="DejaVu Sans Mono"/>
          <w:sz w:val="15"/>
        </w:rPr>
        <w:br/>
      </w:r>
      <w:r>
        <w:rPr>
          <w:rStyle w:val="VerbatimChar"/>
          <w:rFonts w:ascii="DejaVu Sans Mono" w:hAnsi="DejaVu Sans Mono"/>
          <w:sz w:val="15"/>
        </w:rPr>
        <w:t xml:space="preserve">    Q / slotRadius r0 h n := by</w:t>
      </w:r>
      <w:r>
        <w:rPr>
          <w:rFonts w:ascii="DejaVu Sans Mono" w:hAnsi="DejaVu Sans Mono"/>
          <w:sz w:val="15"/>
        </w:rPr>
        <w:br/>
      </w:r>
      <w:r>
        <w:rPr>
          <w:rStyle w:val="VerbatimChar"/>
          <w:rFonts w:ascii="DejaVu Sans Mono" w:hAnsi="DejaVu Sans Mono"/>
          <w:sz w:val="15"/>
        </w:rPr>
        <w:t xml:space="preserve">  dsimp only [Q]</w:t>
      </w:r>
      <w:r>
        <w:rPr>
          <w:rFonts w:ascii="DejaVu Sans Mono" w:hAnsi="DejaVu Sans Mono"/>
          <w:sz w:val="15"/>
        </w:rPr>
        <w:br/>
      </w:r>
      <w:r>
        <w:rPr>
          <w:rStyle w:val="VerbatimChar"/>
          <w:rFonts w:ascii="DejaVu Sans Mono" w:hAnsi="DejaVu Sans Mono"/>
          <w:sz w:val="15"/>
        </w:rPr>
        <w:t xml:space="preserve">  rw [div_le_div_iff (le_of_lt hr) (le_of_lt hr)]</w:t>
      </w:r>
      <w:r>
        <w:rPr>
          <w:rFonts w:ascii="DejaVu Sans Mono" w:hAnsi="DejaVu Sans Mono"/>
          <w:sz w:val="15"/>
        </w:rPr>
        <w:br/>
      </w:r>
      <w:r>
        <w:rPr>
          <w:rStyle w:val="VerbatimChar"/>
          <w:rFonts w:ascii="DejaVu Sans Mono" w:hAnsi="DejaVu Sans Mono"/>
          <w:sz w:val="15"/>
        </w:rPr>
        <w:t xml:space="preserve">  nlinarith [habs]</w:t>
      </w:r>
      <w:r>
        <w:rPr>
          <w:rFonts w:ascii="DejaVu Sans Mono" w:hAnsi="DejaVu Sans Mono"/>
          <w:sz w:val="15"/>
        </w:rPr>
        <w:br/>
      </w:r>
      <w:r>
        <w:rPr>
          <w:rStyle w:val="VerbatimChar"/>
          <w:rFonts w:ascii="DejaVu Sans Mono" w:hAnsi="DejaVu Sans Mono"/>
          <w:sz w:val="15"/>
        </w:rPr>
        <w:t xml:space="preserve">exact hentry.trans (hle1.trans hsmall)</w:t>
      </w:r>
    </w:p>
    <w:bookmarkEnd w:id="34"/>
    <w:bookmarkStart w:id="35" w:name="declarations-only-request-3"/>
    <w:p>
      <w:pPr>
        <w:pStyle w:val="Heading3"/>
        <w:keepNext/>
        <w:widowControl/>
      </w:pPr>
      <w:r>
        <w:rPr>
          <w:rFonts w:ascii="Times New Roman" w:hAnsi="Times New Roman"/>
          <w:b/>
          <w:color w:val="000000"/>
          <w:sz w:val="24"/>
        </w:rPr>
        <w:t xml:space="preserve">5.10 Declarations only: request 3</w:t>
      </w:r>
    </w:p>
    <w:p>
      <w:pPr>
        <w:pStyle w:val="SourceCode"/>
        <w:keepNext w:val="0"/>
        <w:widowControl/>
        <w:ind w:left="113" w:right="57"/>
      </w:pPr>
      <w:r>
        <w:rPr>
          <w:rFonts w:ascii="DejaVu Sans Mono" w:hAnsi="DejaVu Sans Mono"/>
          <w:sz w:val="15"/>
        </w:rPr>
        <w:br/>
      </w:r>
      <w:r>
        <w:rPr>
          <w:rFonts w:ascii="DejaVu Sans Mono" w:hAnsi="DejaVu Sans Mono"/>
          <w:sz w:val="15"/>
        </w:rPr>
        <w:br/>
      </w:r>
      <w:r>
        <w:rPr>
          <w:rStyle w:val="VerbatimChar"/>
          <w:rFonts w:ascii="DejaVu Sans Mono" w:hAnsi="DejaVu Sans Mono"/>
          <w:sz w:val="15"/>
        </w:rPr>
        <w:t xml:space="preserve">have hsq : slotRadius r0 h n ^ 2 = ChartScales.slotLength r0 h n := slotRadius_sq hr0 h n</w:t>
      </w:r>
      <w:r>
        <w:rPr>
          <w:rFonts w:ascii="DejaVu Sans Mono" w:hAnsi="DejaVu Sans Mono"/>
          <w:sz w:val="15"/>
        </w:rPr>
        <w:br/>
      </w:r>
      <w:r>
        <w:rPr>
          <w:rStyle w:val="VerbatimChar"/>
          <w:rFonts w:ascii="DejaVu Sans Mono" w:hAnsi="DejaVu Sans Mono"/>
          <w:sz w:val="15"/>
        </w:rPr>
        <w:t xml:space="preserve">have hentry : |normalizedPair P i j - H0 p i j| ≤</w:t>
      </w:r>
      <w:r>
        <w:rPr>
          <w:rFonts w:ascii="DejaVu Sans Mono" w:hAnsi="DejaVu Sans Mono"/>
          <w:sz w:val="15"/>
        </w:rPr>
        <w:br/>
      </w:r>
      <w:r>
        <w:rPr>
          <w:rStyle w:val="VerbatimChar"/>
          <w:rFonts w:ascii="DejaVu Sans Mono" w:hAnsi="DejaVu Sans Mono"/>
          <w:sz w:val="15"/>
        </w:rPr>
        <w:t xml:space="preserve">    (E + D * PulseCovariance.concentrationConstant a A b B) / slotRadius r0 h n :=</w:t>
      </w:r>
      <w:r>
        <w:rPr>
          <w:rFonts w:ascii="DejaVu Sans Mono" w:hAnsi="DejaVu Sans Mono"/>
          <w:sz w:val="15"/>
        </w:rPr>
        <w:br/>
      </w:r>
      <w:r>
        <w:rPr>
          <w:rStyle w:val="VerbatimChar"/>
          <w:rFonts w:ascii="DejaVu Sans Mono" w:hAnsi="DejaVu Sans Mono"/>
          <w:sz w:val="15"/>
        </w:rPr>
        <w:t xml:space="preserve">  normalizedPair_entry_error (r := slotRadius r0 h n) P hP (H0 p) hE hD</w:t>
      </w:r>
      <w:r>
        <w:rPr>
          <w:rFonts w:ascii="DejaVu Sans Mono" w:hAnsi="DejaVu Sans Mono"/>
          <w:sz w:val="15"/>
        </w:rPr>
        <w:br/>
      </w:r>
      <w:r>
        <w:rPr>
          <w:rStyle w:val="VerbatimChar"/>
          <w:rFonts w:ascii="DejaVu Sans Mono" w:hAnsi="DejaVu Sans Mono"/>
          <w:sz w:val="15"/>
        </w:rPr>
        <w:t xml:space="preserve">    (fun j' i' v' hv' =&gt; by</w:t>
      </w:r>
      <w:r>
        <w:rPr>
          <w:rFonts w:ascii="DejaVu Sans Mono" w:hAnsi="DejaVu Sans Mono"/>
          <w:sz w:val="15"/>
        </w:rPr>
        <w:br/>
      </w:r>
      <w:r>
        <w:rPr>
          <w:rStyle w:val="VerbatimChar"/>
          <w:rFonts w:ascii="DejaVu Sans Mono" w:hAnsi="DejaVu Sans Mono"/>
          <w:sz w:val="15"/>
        </w:rPr>
        <w:t xml:space="preserve">      have hv'' : v' ∈ Icc 0 (ChartScales.slotLength r0 h n) := by</w:t>
      </w:r>
      <w:r>
        <w:rPr>
          <w:rFonts w:ascii="DejaVu Sans Mono" w:hAnsi="DejaVu Sans Mono"/>
          <w:sz w:val="15"/>
        </w:rPr>
        <w:br/>
      </w:r>
      <w:r>
        <w:rPr>
          <w:rStyle w:val="VerbatimChar"/>
          <w:rFonts w:ascii="DejaVu Sans Mono" w:hAnsi="DejaVu Sans Mono"/>
          <w:sz w:val="15"/>
        </w:rPr>
        <w:t xml:space="preserve">        simpa [hsq] using hv'</w:t>
      </w:r>
      <w:r>
        <w:rPr>
          <w:rFonts w:ascii="DejaVu Sans Mono" w:hAnsi="DejaVu Sans Mono"/>
          <w:sz w:val="15"/>
        </w:rPr>
        <w:br/>
      </w:r>
      <w:r>
        <w:rPr>
          <w:rStyle w:val="VerbatimChar"/>
          <w:rFonts w:ascii="DejaVu Sans Mono" w:hAnsi="DejaVu Sans Mono"/>
          <w:sz w:val="15"/>
        </w:rPr>
        <w:t xml:space="preserve">      exact hratio j' i' v' hv'') i j</w:t>
      </w:r>
      <w:r>
        <w:rPr>
          <w:rFonts w:ascii="DejaVu Sans Mono" w:hAnsi="DejaVu Sans Mono"/>
          <w:sz w:val="15"/>
        </w:rPr>
        <w:br/>
      </w:r>
      <w:r>
        <w:rPr>
          <w:rStyle w:val="VerbatimChar"/>
          <w:rFonts w:ascii="DejaVu Sans Mono" w:hAnsi="DejaVu Sans Mono"/>
          <w:sz w:val="15"/>
        </w:rPr>
        <w:t xml:space="preserve">have hle1 : (E + D * PulseCovariance.concentrationConstant a A b B) / slotRadius r0 h n ≤</w:t>
      </w:r>
      <w:r>
        <w:rPr>
          <w:rFonts w:ascii="DejaVu Sans Mono" w:hAnsi="DejaVu Sans Mono"/>
          <w:sz w:val="15"/>
        </w:rPr>
        <w:br/>
      </w:r>
      <w:r>
        <w:rPr>
          <w:rStyle w:val="VerbatimChar"/>
          <w:rFonts w:ascii="DejaVu Sans Mono" w:hAnsi="DejaVu Sans Mono"/>
          <w:sz w:val="15"/>
        </w:rPr>
        <w:t xml:space="preserve">    Q / slotRadius r0 h n := by</w:t>
      </w:r>
      <w:r>
        <w:rPr>
          <w:rFonts w:ascii="DejaVu Sans Mono" w:hAnsi="DejaVu Sans Mono"/>
          <w:sz w:val="15"/>
        </w:rPr>
        <w:br/>
      </w:r>
      <w:r>
        <w:rPr>
          <w:rStyle w:val="VerbatimChar"/>
          <w:rFonts w:ascii="DejaVu Sans Mono" w:hAnsi="DejaVu Sans Mono"/>
          <w:sz w:val="15"/>
        </w:rPr>
        <w:t xml:space="preserve">  dsimp only [Q]</w:t>
      </w:r>
      <w:r>
        <w:rPr>
          <w:rFonts w:ascii="DejaVu Sans Mono" w:hAnsi="DejaVu Sans Mono"/>
          <w:sz w:val="15"/>
        </w:rPr>
        <w:br/>
      </w:r>
      <w:r>
        <w:rPr>
          <w:rStyle w:val="VerbatimChar"/>
          <w:rFonts w:ascii="DejaVu Sans Mono" w:hAnsi="DejaVu Sans Mono"/>
          <w:sz w:val="15"/>
        </w:rPr>
        <w:t xml:space="preserve">  gcongr</w:t>
      </w:r>
      <w:r>
        <w:rPr>
          <w:rFonts w:ascii="DejaVu Sans Mono" w:hAnsi="DejaVu Sans Mono"/>
          <w:sz w:val="15"/>
        </w:rPr>
        <w:br/>
      </w:r>
      <w:r>
        <w:rPr>
          <w:rStyle w:val="VerbatimChar"/>
          <w:rFonts w:ascii="DejaVu Sans Mono" w:hAnsi="DejaVu Sans Mono"/>
          <w:sz w:val="15"/>
        </w:rPr>
        <w:t xml:space="preserve">  nlinarith [le_abs_self (PulseCovariance.concentrationConstant a A b B), hD]</w:t>
      </w:r>
      <w:r>
        <w:rPr>
          <w:rFonts w:ascii="DejaVu Sans Mono" w:hAnsi="DejaVu Sans Mono"/>
          <w:sz w:val="15"/>
        </w:rPr>
        <w:br/>
      </w:r>
      <w:r>
        <w:rPr>
          <w:rStyle w:val="VerbatimChar"/>
          <w:rFonts w:ascii="DejaVu Sans Mono" w:hAnsi="DejaVu Sans Mono"/>
          <w:sz w:val="15"/>
        </w:rPr>
        <w:t xml:space="preserve">exact hentry.trans (hle1.trans hsmall)</w:t>
      </w:r>
    </w:p>
    <w:bookmarkEnd w:id="35"/>
    <w:bookmarkEnd w:id="36"/>
    <w:bookmarkStart w:id="37" w:name="X39f8d2880ea9b939550eb4f119ace181b90677d"/>
    <w:p>
      <w:pPr>
        <w:pStyle w:val="Heading2"/>
        <w:keepNext/>
        <w:widowControl/>
      </w:pPr>
      <w:r>
        <w:rPr>
          <w:rFonts w:ascii="Times New Roman" w:hAnsi="Times New Roman"/>
          <w:b/>
          <w:color w:val="000000"/>
          <w:sz w:val="24"/>
        </w:rPr>
        <w:t xml:space="preserve">Supplementary Note 6. Historical results stay historical</w:t>
      </w:r>
    </w:p>
    <w:p>
      <w:pPr>
        <w:pStyle w:val="FirstParagraph"/>
        <w:widowControl/>
      </w:pPr>
      <w:r>
        <w:t xml:space="preserve">The following material is not pooled with</w:t>
      </w:r>
      <w:r>
        <w:t xml:space="preserve"> </w:t>
      </w:r>
      <w:r>
        <w:rPr>
          <w:rStyle w:val="VerbatimChar"/>
        </w:rPr>
        <w:t xml:space="preserve">hclose</w:t>
      </w:r>
      <w:r>
        <w:t xml:space="preserve">. Counts and outcomes for A′, A″, E1/E3 and early finite-scalar/R4 episodes below are historical reports only; their original episode-level records were not re-audited in this submission package. NOT_RUN in a proposal refers to that proposal’s date. A later record is separately attributed; it does not alter the earlier document’s identity. Historical protocols remain distinct from subsequent analysis.</w:t>
      </w:r>
    </w:p>
    <w:p>
      <w:pPr>
        <w:pStyle w:val="BodyText"/>
        <w:keepNext/>
        <w:widowControl/>
      </w:pPr>
      <w:r>
        <w:rPr>
          <w:b/>
          <w:bCs/>
        </w:rPr>
        <w:t xml:space="preserve">Supplementary Table 5 | Retained episodes and interpretation.</w:t>
      </w:r>
    </w:p>
    <w:tbl>
      <w:tblPr>
        <w:tblStyle w:val="Table"/>
        <w:tblW w:type="pct" w:w="5000"/>
        <w:tblLayout w:type="fixed"/>
        <w:tblLook w:firstRow="1" w:lastRow="0" w:firstColumn="0" w:lastColumn="0" w:noHBand="0" w:noVBand="0" w:val="0020"/>
      </w:tblPr>
      <w:tblGrid>
        <w:gridCol w:w="2640"/>
        <w:gridCol w:w="2640"/>
        <w:gridCol w:w="2640"/>
      </w:tblGrid>
      <w:tr>
        <w:trPr>
          <w:tblHeader w:val="on"/>
          <w:cantSplit/>
          <w:tblHeader/>
        </w:trPr>
        <w:tc>
          <w:tcPr>
            <w:tcW w:type="dxa" w:w="2211"/>
            <w:shd w:fill="EEEEEE"/>
          </w:tcPr>
          <w:p>
            <w:pPr>
              <w:pStyle w:val="Compact"/>
              <w:spacing w:line="252" w:lineRule="auto" w:after="80" w:before="60"/>
            </w:pPr>
            <w:r>
              <w:rPr>
                <w:rFonts w:ascii="Times New Roman" w:hAnsi="Times New Roman"/>
                <w:b/>
                <w:sz w:val="18"/>
              </w:rPr>
              <w:t xml:space="preserve">Source or episode</w:t>
            </w:r>
          </w:p>
        </w:tc>
        <w:tc>
          <w:tcPr>
            <w:tcW w:type="dxa" w:w="3855"/>
            <w:shd w:fill="EEEEEE"/>
          </w:tcPr>
          <w:p>
            <w:pPr>
              <w:pStyle w:val="Compact"/>
              <w:spacing w:line="252" w:lineRule="auto" w:after="80" w:before="60"/>
            </w:pPr>
            <w:r>
              <w:rPr>
                <w:rFonts w:ascii="Times New Roman" w:hAnsi="Times New Roman"/>
                <w:b/>
                <w:sz w:val="18"/>
              </w:rPr>
              <w:t xml:space="preserve">Retained observation or status</w:t>
            </w:r>
          </w:p>
        </w:tc>
        <w:tc>
          <w:tcPr>
            <w:tcW w:type="dxa" w:w="3231"/>
            <w:shd w:fill="EEEEEE"/>
          </w:tcPr>
          <w:p>
            <w:pPr>
              <w:pStyle w:val="Compact"/>
              <w:spacing w:line="252" w:lineRule="auto" w:after="80" w:before="60"/>
            </w:pPr>
            <w:r>
              <w:rPr>
                <w:rFonts w:ascii="Times New Roman" w:hAnsi="Times New Roman"/>
                <w:b/>
                <w:sz w:val="18"/>
              </w:rPr>
              <w:t xml:space="preserve">What this paper may infer</w:t>
            </w:r>
          </w:p>
        </w:tc>
      </w:tr>
      <w:tr>
        <w:trPr>
          <w:cantSplit/>
        </w:trPr>
        <w:tc>
          <w:tcPr>
            <w:tcW w:type="dxa" w:w="2211"/>
          </w:tcPr>
          <w:p>
            <w:pPr>
              <w:pStyle w:val="Compact"/>
              <w:spacing w:line="252" w:lineRule="auto" w:after="80" w:before="60"/>
            </w:pPr>
            <w:r>
              <w:rPr>
                <w:rFonts w:ascii="Times New Roman" w:hAnsi="Times New Roman"/>
                <w:sz w:val="18"/>
              </w:rPr>
              <w:t xml:space="preserve">Early paused software A</w:t>
            </w:r>
          </w:p>
        </w:tc>
        <w:tc>
          <w:tcPr>
            <w:tcW w:type="dxa" w:w="3855"/>
          </w:tcPr>
          <w:p>
            <w:pPr>
              <w:pStyle w:val="Compact"/>
              <w:spacing w:line="252" w:lineRule="auto" w:after="80" w:before="60"/>
            </w:pPr>
            <w:r>
              <w:rPr>
                <w:rFonts w:ascii="Times New Roman" w:hAnsi="Times New Roman"/>
                <w:sz w:val="18"/>
              </w:rPr>
              <w:t xml:space="preserve">Existing repair retrieved from Git; first completed pair equal. Second unit incomplete, with PI pause and unknown/unrun branches</w:t>
            </w:r>
          </w:p>
        </w:tc>
        <w:tc>
          <w:tcPr>
            <w:tcW w:type="dxa" w:w="3231"/>
          </w:tcPr>
          <w:p>
            <w:pPr>
              <w:pStyle w:val="Compact"/>
              <w:spacing w:line="252" w:lineRule="auto" w:after="80" w:before="60"/>
            </w:pPr>
            <w:r>
              <w:rPr>
                <w:rFonts w:ascii="Times New Roman" w:hAnsi="Times New Roman"/>
                <w:sz w:val="18"/>
              </w:rPr>
              <w:t xml:space="preserve">A documented sufficient-route/zero and incomplete-case boundary, not universal failure or success</w:t>
            </w:r>
          </w:p>
        </w:tc>
      </w:tr>
      <w:tr>
        <w:trPr>
          <w:cantSplit/>
        </w:trPr>
        <w:tc>
          <w:tcPr>
            <w:tcW w:type="dxa" w:w="2211"/>
          </w:tcPr>
          <w:p>
            <w:pPr>
              <w:pStyle w:val="Compact"/>
              <w:spacing w:line="252" w:lineRule="auto" w:after="80" w:before="60"/>
            </w:pPr>
            <w:r>
              <w:rPr>
                <w:rFonts w:ascii="Times New Roman" w:hAnsi="Times New Roman"/>
                <w:sz w:val="18"/>
              </w:rPr>
              <w:t xml:space="preserve">A′ V1, historical review</w:t>
            </w:r>
          </w:p>
        </w:tc>
        <w:tc>
          <w:tcPr>
            <w:tcW w:type="dxa" w:w="3855"/>
          </w:tcPr>
          <w:p>
            <w:pPr>
              <w:pStyle w:val="Compact"/>
              <w:spacing w:line="252" w:lineRule="auto" w:after="80" w:before="60"/>
            </w:pPr>
            <w:r>
              <w:rPr>
                <w:rFonts w:ascii="Times New Roman" w:hAnsi="Times New Roman"/>
                <w:sz w:val="18"/>
              </w:rPr>
              <w:t xml:space="preserve">Four lineages, 48 stages; deployed programme unchanged; primary deployment contrasts zero. Interface defects separately found</w:t>
            </w:r>
          </w:p>
        </w:tc>
        <w:tc>
          <w:tcPr>
            <w:tcW w:type="dxa" w:w="3231"/>
          </w:tcPr>
          <w:p>
            <w:pPr>
              <w:pStyle w:val="Compact"/>
              <w:spacing w:line="252" w:lineRule="auto" w:after="80" w:before="60"/>
            </w:pPr>
            <w:r>
              <w:rPr>
                <w:rFonts w:ascii="Times New Roman" w:hAnsi="Times New Roman"/>
                <w:sz w:val="18"/>
              </w:rPr>
              <w:t xml:space="preserve">The product readout and process changes were distinct; defects were not proved to cause all zeros</w:t>
            </w:r>
          </w:p>
        </w:tc>
      </w:tr>
      <w:tr>
        <w:trPr>
          <w:cantSplit/>
        </w:trPr>
        <w:tc>
          <w:tcPr>
            <w:tcW w:type="dxa" w:w="2211"/>
          </w:tcPr>
          <w:p>
            <w:pPr>
              <w:pStyle w:val="Compact"/>
              <w:spacing w:line="252" w:lineRule="auto" w:after="80" w:before="60"/>
            </w:pPr>
            <w:r>
              <w:rPr>
                <w:rFonts w:ascii="Times New Roman" w:hAnsi="Times New Roman"/>
                <w:sz w:val="18"/>
              </w:rPr>
              <w:t xml:space="preserve">A″ stopped, historical report</w:t>
            </w:r>
          </w:p>
        </w:tc>
        <w:tc>
          <w:tcPr>
            <w:tcW w:type="dxa" w:w="3855"/>
          </w:tcPr>
          <w:p>
            <w:pPr>
              <w:pStyle w:val="Compact"/>
              <w:spacing w:line="252" w:lineRule="auto" w:after="80" w:before="60"/>
            </w:pPr>
            <w:r>
              <w:rPr>
                <w:rFonts w:ascii="Times New Roman" w:hAnsi="Times New Roman"/>
                <w:sz w:val="18"/>
              </w:rPr>
              <w:t xml:space="preserve">Nine submitted stages, one no-submission stop, one interruption, 21 unrun; long repetition and task/ACK issues</w:t>
            </w:r>
          </w:p>
        </w:tc>
        <w:tc>
          <w:tcPr>
            <w:tcW w:type="dxa" w:w="3231"/>
          </w:tcPr>
          <w:p>
            <w:pPr>
              <w:pStyle w:val="Compact"/>
              <w:spacing w:line="252" w:lineRule="auto" w:after="80" w:before="60"/>
            </w:pPr>
            <w:r>
              <w:rPr>
                <w:rFonts w:ascii="Times New Roman" w:hAnsi="Times New Roman"/>
                <w:sz w:val="18"/>
              </w:rPr>
              <w:t xml:space="preserve">Termination and unrun states stay distinct from mathematical error; no claim of an identified intrinsic loop cause</w:t>
            </w:r>
          </w:p>
        </w:tc>
      </w:tr>
      <w:tr>
        <w:trPr>
          <w:cantSplit/>
        </w:trPr>
        <w:tc>
          <w:tcPr>
            <w:tcW w:type="dxa" w:w="2211"/>
          </w:tcPr>
          <w:p>
            <w:pPr>
              <w:pStyle w:val="Compact"/>
              <w:spacing w:line="252" w:lineRule="auto" w:after="80" w:before="60"/>
            </w:pPr>
            <w:r>
              <w:rPr>
                <w:rFonts w:ascii="Times New Roman" w:hAnsi="Times New Roman"/>
                <w:sz w:val="18"/>
              </w:rPr>
              <w:t xml:space="preserve">E1/E3 repaired R2</w:t>
            </w:r>
          </w:p>
        </w:tc>
        <w:tc>
          <w:tcPr>
            <w:tcW w:type="dxa" w:w="3855"/>
          </w:tcPr>
          <w:p>
            <w:pPr>
              <w:pStyle w:val="Compact"/>
              <w:spacing w:line="252" w:lineRule="auto" w:after="80" w:before="60"/>
            </w:pPr>
            <w:r>
              <w:rPr>
                <w:rFonts w:ascii="Times New Roman" w:hAnsi="Times New Roman"/>
                <w:sz w:val="18"/>
              </w:rPr>
              <w:t xml:space="preserve">Eight completed stages and 56 readable coordinates; four E3 accounts contained record/count discrepancies; semantic disagreements remained</w:t>
            </w:r>
          </w:p>
        </w:tc>
        <w:tc>
          <w:tcPr>
            <w:tcW w:type="dxa" w:w="3231"/>
          </w:tcPr>
          <w:p>
            <w:pPr>
              <w:pStyle w:val="Compact"/>
              <w:spacing w:line="252" w:lineRule="auto" w:after="80" w:before="60"/>
            </w:pPr>
            <w:r>
              <w:rPr>
                <w:rFonts w:ascii="Times New Roman" w:hAnsi="Times New Roman"/>
                <w:sz w:val="18"/>
              </w:rPr>
              <w:t xml:space="preserve">Correct labels or complete JSON do not certify accurate evidence binding; not a broad causal effect</w:t>
            </w:r>
          </w:p>
        </w:tc>
      </w:tr>
      <w:tr>
        <w:trPr>
          <w:cantSplit/>
        </w:trPr>
        <w:tc>
          <w:tcPr>
            <w:tcW w:type="dxa" w:w="2211"/>
          </w:tcPr>
          <w:p>
            <w:pPr>
              <w:pStyle w:val="Compact"/>
              <w:spacing w:line="252" w:lineRule="auto" w:after="80" w:before="60"/>
            </w:pPr>
            <w:r>
              <w:rPr>
                <w:rFonts w:ascii="Times New Roman" w:hAnsi="Times New Roman"/>
                <w:sz w:val="18"/>
              </w:rPr>
              <w:t xml:space="preserve">Early NS coefficient R4 A</w:t>
            </w:r>
          </w:p>
        </w:tc>
        <w:tc>
          <w:tcPr>
            <w:tcW w:type="dxa" w:w="3855"/>
          </w:tcPr>
          <w:p>
            <w:pPr>
              <w:pStyle w:val="Compact"/>
              <w:spacing w:line="252" w:lineRule="auto" w:after="80" w:before="60"/>
            </w:pPr>
            <w:r>
              <w:rPr>
                <w:rFonts w:ascii="Times New Roman" w:hAnsi="Times New Roman"/>
                <w:sz w:val="18"/>
              </w:rPr>
              <w:t xml:space="preserve">Complete bounded run; post-adaptation paired differences zero or rounding scale; cold execution mixed</w:t>
            </w:r>
          </w:p>
        </w:tc>
        <w:tc>
          <w:tcPr>
            <w:tcW w:type="dxa" w:w="3231"/>
          </w:tcPr>
          <w:p>
            <w:pPr>
              <w:pStyle w:val="Compact"/>
              <w:spacing w:line="252" w:lineRule="auto" w:after="80" w:before="60"/>
            </w:pPr>
            <w:r>
              <w:rPr>
                <w:rFonts w:ascii="Times New Roman" w:hAnsi="Times New Roman"/>
                <w:sz w:val="18"/>
              </w:rPr>
              <w:t xml:space="preserve">Legal rederivation/convergence remains possible; cold advantages do not replace the main endpoint</w:t>
            </w:r>
          </w:p>
        </w:tc>
      </w:tr>
      <w:tr>
        <w:trPr>
          <w:cantSplit/>
        </w:trPr>
        <w:tc>
          <w:tcPr>
            <w:tcW w:type="dxa" w:w="2211"/>
          </w:tcPr>
          <w:p>
            <w:pPr>
              <w:pStyle w:val="Compact"/>
              <w:spacing w:line="252" w:lineRule="auto" w:after="80" w:before="60"/>
            </w:pPr>
            <w:r>
              <w:rPr>
                <w:rFonts w:ascii="Times New Roman" w:hAnsi="Times New Roman"/>
                <w:sz w:val="18"/>
              </w:rPr>
              <w:t xml:space="preserve">Coefficient-study proposals</w:t>
            </w:r>
          </w:p>
        </w:tc>
        <w:tc>
          <w:tcPr>
            <w:tcW w:type="dxa" w:w="3855"/>
          </w:tcPr>
          <w:p>
            <w:pPr>
              <w:pStyle w:val="Compact"/>
              <w:spacing w:line="252" w:lineRule="auto" w:after="80" w:before="60"/>
            </w:pPr>
            <w:r>
              <w:rPr>
                <w:rFonts w:ascii="Times New Roman" w:hAnsi="Times New Roman"/>
                <w:sz w:val="18"/>
              </w:rPr>
              <w:t xml:space="preserve">Conditional mathematics and planned studies, unrun at their issue dates</w:t>
            </w:r>
          </w:p>
        </w:tc>
        <w:tc>
          <w:tcPr>
            <w:tcW w:type="dxa" w:w="3231"/>
          </w:tcPr>
          <w:p>
            <w:pPr>
              <w:pStyle w:val="Compact"/>
              <w:spacing w:line="252" w:lineRule="auto" w:after="80" w:before="60"/>
            </w:pPr>
            <w:r>
              <w:rPr>
                <w:rFonts w:ascii="Times New Roman" w:hAnsi="Times New Roman"/>
                <w:sz w:val="18"/>
              </w:rPr>
              <w:t xml:space="preserve">Design documents only; their status is not substituted for the later completed runs</w:t>
            </w:r>
          </w:p>
        </w:tc>
      </w:tr>
      <w:tr>
        <w:trPr>
          <w:cantSplit/>
        </w:trPr>
        <w:tc>
          <w:tcPr>
            <w:tcW w:type="dxa" w:w="2211"/>
          </w:tcPr>
          <w:p>
            <w:pPr>
              <w:pStyle w:val="Compact"/>
              <w:spacing w:line="252" w:lineRule="auto" w:after="80" w:before="60"/>
            </w:pPr>
            <w:r>
              <w:rPr>
                <w:rFonts w:ascii="Times New Roman" w:hAnsi="Times New Roman"/>
                <w:sz w:val="18"/>
              </w:rPr>
              <w:t xml:space="preserve">Completed coefficient assistance/adoption studies</w:t>
            </w:r>
          </w:p>
        </w:tc>
        <w:tc>
          <w:tcPr>
            <w:tcW w:type="dxa" w:w="3855"/>
          </w:tcPr>
          <w:p>
            <w:pPr>
              <w:pStyle w:val="Compact"/>
              <w:spacing w:line="252" w:lineRule="auto" w:after="80" w:before="60"/>
            </w:pPr>
            <w:r>
              <w:rPr>
                <w:rFonts w:ascii="Times New Roman" w:hAnsi="Times New Roman"/>
                <w:sz w:val="18"/>
              </w:rPr>
              <w:t xml:space="preserve">20 + 32 recorded stages; 104 complete returns; 40 checked inherited-state arrays; actual revision/reuse; five empty finals and seven identical adoption pairs</w:t>
            </w:r>
          </w:p>
        </w:tc>
        <w:tc>
          <w:tcPr>
            <w:tcW w:type="dxa" w:w="3231"/>
          </w:tcPr>
          <w:p>
            <w:pPr>
              <w:pStyle w:val="Compact"/>
              <w:spacing w:line="252" w:lineRule="auto" w:after="80" w:before="60"/>
            </w:pPr>
            <w:r>
              <w:rPr>
                <w:rFonts w:ascii="Times New Roman" w:hAnsi="Times New Roman"/>
                <w:sz w:val="18"/>
              </w:rPr>
              <w:t xml:space="preserve">Process observations and original mixed contrasts; no established stable average benefit. Full details in Note 9</w:t>
            </w:r>
          </w:p>
        </w:tc>
      </w:tr>
      <w:tr>
        <w:trPr>
          <w:cantSplit/>
        </w:trPr>
        <w:tc>
          <w:tcPr>
            <w:tcW w:type="dxa" w:w="2211"/>
          </w:tcPr>
          <w:p>
            <w:pPr>
              <w:pStyle w:val="Compact"/>
              <w:spacing w:line="252" w:lineRule="auto" w:after="80" w:before="60"/>
            </w:pPr>
            <w:r>
              <w:rPr>
                <w:rFonts w:ascii="Times New Roman" w:hAnsi="Times New Roman"/>
                <w:sz w:val="18"/>
              </w:rPr>
              <w:t xml:space="preserve">Broader full-proof/history proposals</w:t>
            </w:r>
          </w:p>
        </w:tc>
        <w:tc>
          <w:tcPr>
            <w:tcW w:type="dxa" w:w="3855"/>
          </w:tcPr>
          <w:p>
            <w:pPr>
              <w:pStyle w:val="Compact"/>
              <w:spacing w:line="252" w:lineRule="auto" w:after="80" w:before="60"/>
            </w:pPr>
            <w:r>
              <w:rPr>
                <w:rFonts w:ascii="Times New Roman" w:hAnsi="Times New Roman"/>
                <w:sz w:val="18"/>
              </w:rPr>
              <w:t xml:space="preserve">Source builds, original discovery snapshots, kernel checks or intervention branches remained NOT_RUN/UNBOUND where reported</w:t>
            </w:r>
          </w:p>
        </w:tc>
        <w:tc>
          <w:tcPr>
            <w:tcW w:type="dxa" w:w="3231"/>
          </w:tcPr>
          <w:p>
            <w:pPr>
              <w:pStyle w:val="Compact"/>
              <w:spacing w:line="252" w:lineRule="auto" w:after="80" w:before="60"/>
            </w:pPr>
            <w:r>
              <w:rPr>
                <w:rFonts w:ascii="Times New Roman" w:hAnsi="Times New Roman"/>
                <w:sz w:val="18"/>
              </w:rPr>
              <w:t xml:space="preserve">Not a completed reconstruction of OpenAI’s discovery; not evidence of history-compression effects</w:t>
            </w:r>
          </w:p>
        </w:tc>
      </w:tr>
    </w:tbl>
    <w:p>
      <w:pPr>
        <w:pStyle w:val="BodyText"/>
        <w:widowControl/>
      </w:pPr>
      <w:r>
        <w:t xml:space="preserve">The final handoff’s pre-</w:t>
      </w:r>
      <w:r>
        <w:rPr>
          <w:rStyle w:val="VerbatimChar"/>
        </w:rPr>
        <w:t xml:space="preserve">hclose</w:t>
      </w:r>
      <w:r>
        <w:t xml:space="preserve"> </w:t>
      </w:r>
      <w:r>
        <w:t xml:space="preserve">evolution provides more specific workflow records:</w:t>
      </w:r>
    </w:p>
    <w:p>
      <w:pPr>
        <w:pStyle w:val="BodyText"/>
        <w:keepNext/>
        <w:widowControl/>
      </w:pPr>
      <w:r>
        <w:rPr>
          <w:b/>
          <w:bCs/>
        </w:rPr>
        <w:t xml:space="preserve">Supplementary Table 6 | Earlier workflow identities.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cantSplit/>
          <w:tblHeader/>
        </w:trPr>
        <w:tc>
          <w:tcPr>
            <w:tcW w:type="dxa" w:w="2324"/>
            <w:shd w:fill="EEEEEE"/>
          </w:tcPr>
          <w:p>
            <w:pPr>
              <w:pStyle w:val="Compact"/>
              <w:spacing w:line="252" w:lineRule="auto" w:after="80" w:before="60"/>
            </w:pPr>
            <w:r>
              <w:rPr>
                <w:rFonts w:ascii="Times New Roman" w:hAnsi="Times New Roman"/>
                <w:b/>
                <w:sz w:val="18"/>
              </w:rPr>
              <w:t xml:space="preserve">Version or activity</w:t>
            </w:r>
          </w:p>
        </w:tc>
        <w:tc>
          <w:tcPr>
            <w:tcW w:type="dxa" w:w="2324"/>
            <w:shd w:fill="EEEEEE"/>
          </w:tcPr>
          <w:p>
            <w:pPr>
              <w:pStyle w:val="Compact"/>
              <w:spacing w:line="252" w:lineRule="auto" w:after="80" w:before="60"/>
            </w:pPr>
            <w:r>
              <w:rPr>
                <w:rFonts w:ascii="Times New Roman" w:hAnsi="Times New Roman"/>
                <w:b/>
                <w:sz w:val="18"/>
              </w:rPr>
              <w:t xml:space="preserve">Reported scope</w:t>
            </w:r>
          </w:p>
        </w:tc>
        <w:tc>
          <w:tcPr>
            <w:tcW w:type="dxa" w:w="2324"/>
            <w:shd w:fill="EEEEEE"/>
          </w:tcPr>
          <w:p>
            <w:pPr>
              <w:pStyle w:val="Compact"/>
              <w:spacing w:line="252" w:lineRule="auto" w:after="80" w:before="60"/>
            </w:pPr>
            <w:r>
              <w:rPr>
                <w:rFonts w:ascii="Times New Roman" w:hAnsi="Times New Roman"/>
                <w:b/>
                <w:sz w:val="18"/>
              </w:rPr>
              <w:t xml:space="preserve">Reported result</w:t>
            </w:r>
          </w:p>
        </w:tc>
        <w:tc>
          <w:tcPr>
            <w:tcW w:type="dxa" w:w="2324"/>
            <w:shd w:fill="EEEEEE"/>
          </w:tcPr>
          <w:p>
            <w:pPr>
              <w:pStyle w:val="Compact"/>
              <w:spacing w:line="252" w:lineRule="auto" w:after="80" w:before="60"/>
            </w:pPr>
            <w:r>
              <w:rPr>
                <w:rFonts w:ascii="Times New Roman" w:hAnsi="Times New Roman"/>
                <w:b/>
                <w:sz w:val="18"/>
              </w:rPr>
              <w:t xml:space="preserve">Current status</w:t>
            </w:r>
          </w:p>
        </w:tc>
      </w:tr>
      <w:tr>
        <w:trPr>
          <w:cantSplit/>
        </w:trPr>
        <w:tc>
          <w:tcPr>
            <w:tcW w:type="dxa" w:w="2324"/>
          </w:tcPr>
          <w:p>
            <w:pPr>
              <w:pStyle w:val="Compact"/>
              <w:spacing w:line="252" w:lineRule="auto" w:after="80" w:before="60"/>
            </w:pPr>
            <w:r>
              <w:rPr>
                <w:rFonts w:ascii="Times New Roman" w:hAnsi="Times New Roman"/>
                <w:sz w:val="18"/>
              </w:rPr>
              <w:t xml:space="preserve">Full-endpoint workflow</w:t>
            </w:r>
          </w:p>
        </w:tc>
        <w:tc>
          <w:tcPr>
            <w:tcW w:type="dxa" w:w="2324"/>
          </w:tcPr>
          <w:p>
            <w:pPr>
              <w:pStyle w:val="Compact"/>
              <w:spacing w:line="252" w:lineRule="auto" w:after="80" w:before="60"/>
            </w:pPr>
            <w:r>
              <w:rPr>
                <w:rFonts w:ascii="Times New Roman" w:hAnsi="Times New Roman"/>
                <w:sz w:val="18"/>
              </w:rPr>
              <w:t xml:space="preserve">Four full-endpoint branches</w:t>
            </w:r>
          </w:p>
        </w:tc>
        <w:tc>
          <w:tcPr>
            <w:tcW w:type="dxa" w:w="2324"/>
          </w:tcPr>
          <w:p>
            <w:pPr>
              <w:pStyle w:val="Compact"/>
              <w:spacing w:line="252" w:lineRule="auto" w:after="80" w:before="60"/>
            </w:pPr>
            <w:r>
              <w:rPr>
                <w:rFonts w:ascii="Times New Roman" w:hAnsi="Times New Roman"/>
                <w:sz w:val="18"/>
              </w:rPr>
              <w:t xml:space="preserve">55 requests; zero writes</w:t>
            </w:r>
          </w:p>
        </w:tc>
        <w:tc>
          <w:tcPr>
            <w:tcW w:type="dxa" w:w="2324"/>
          </w:tcPr>
          <w:p>
            <w:pPr>
              <w:pStyle w:val="Compact"/>
              <w:spacing w:line="252" w:lineRule="auto" w:after="80" w:before="60"/>
            </w:pPr>
            <w:r>
              <w:rPr>
                <w:rFonts w:ascii="Times New Roman" w:hAnsi="Times New Roman"/>
                <w:sz w:val="18"/>
              </w:rPr>
              <w:t xml:space="preserve">Earlier exploration</w:t>
            </w:r>
          </w:p>
        </w:tc>
      </w:tr>
      <w:tr>
        <w:trPr>
          <w:cantSplit/>
        </w:trPr>
        <w:tc>
          <w:tcPr>
            <w:tcW w:type="dxa" w:w="2324"/>
          </w:tcPr>
          <w:p>
            <w:pPr>
              <w:pStyle w:val="Compact"/>
              <w:spacing w:line="252" w:lineRule="auto" w:after="80" w:before="60"/>
            </w:pPr>
            <w:r>
              <w:rPr>
                <w:rFonts w:ascii="Times New Roman" w:hAnsi="Times New Roman"/>
                <w:sz w:val="18"/>
              </w:rPr>
              <w:t xml:space="preserve">Adapted continuation</w:t>
            </w:r>
          </w:p>
        </w:tc>
        <w:tc>
          <w:tcPr>
            <w:tcW w:type="dxa" w:w="2324"/>
          </w:tcPr>
          <w:p>
            <w:pPr>
              <w:pStyle w:val="Compact"/>
              <w:spacing w:line="252" w:lineRule="auto" w:after="80" w:before="60"/>
            </w:pPr>
            <w:r>
              <w:rPr>
                <w:rFonts w:ascii="Times New Roman" w:hAnsi="Times New Roman"/>
                <w:sz w:val="18"/>
              </w:rPr>
              <w:t xml:space="preserve">First adapted branch</w:t>
            </w:r>
          </w:p>
        </w:tc>
        <w:tc>
          <w:tcPr>
            <w:tcW w:type="dxa" w:w="2324"/>
          </w:tcPr>
          <w:p>
            <w:pPr>
              <w:pStyle w:val="Compact"/>
              <w:spacing w:line="252" w:lineRule="auto" w:after="80" w:before="60"/>
            </w:pPr>
            <w:r>
              <w:rPr>
                <w:rFonts w:ascii="Times New Roman" w:hAnsi="Times New Roman"/>
                <w:sz w:val="18"/>
              </w:rPr>
              <w:t xml:space="preserve">40 requests; zero writes; PI stopped</w:t>
            </w:r>
          </w:p>
        </w:tc>
        <w:tc>
          <w:tcPr>
            <w:tcW w:type="dxa" w:w="2324"/>
          </w:tcPr>
          <w:p>
            <w:pPr>
              <w:pStyle w:val="Compact"/>
              <w:spacing w:line="252" w:lineRule="auto" w:after="80" w:before="60"/>
            </w:pPr>
            <w:r>
              <w:rPr>
                <w:rFonts w:ascii="Times New Roman" w:hAnsi="Times New Roman"/>
                <w:sz w:val="18"/>
              </w:rPr>
              <w:t xml:space="preserve">Stopped exploration</w:t>
            </w:r>
          </w:p>
        </w:tc>
      </w:tr>
      <w:tr>
        <w:trPr>
          <w:cantSplit/>
        </w:trPr>
        <w:tc>
          <w:tcPr>
            <w:tcW w:type="dxa" w:w="2324"/>
          </w:tcPr>
          <w:p>
            <w:pPr>
              <w:pStyle w:val="Compact"/>
              <w:spacing w:line="252" w:lineRule="auto" w:after="80" w:before="60"/>
            </w:pPr>
            <w:r>
              <w:rPr>
                <w:rFonts w:ascii="Times New Roman" w:hAnsi="Times New Roman"/>
                <w:sz w:val="18"/>
              </w:rPr>
              <w:t xml:space="preserve">Dynamic organisation</w:t>
            </w:r>
          </w:p>
        </w:tc>
        <w:tc>
          <w:tcPr>
            <w:tcW w:type="dxa" w:w="2324"/>
          </w:tcPr>
          <w:p>
            <w:pPr>
              <w:pStyle w:val="Compact"/>
              <w:spacing w:line="252" w:lineRule="auto" w:after="80" w:before="60"/>
            </w:pPr>
            <w:r>
              <w:rPr>
                <w:rFonts w:ascii="Times New Roman" w:hAnsi="Times New Roman"/>
                <w:sz w:val="18"/>
              </w:rPr>
              <w:t xml:space="preserve">First dynamically organised branch</w:t>
            </w:r>
          </w:p>
        </w:tc>
        <w:tc>
          <w:tcPr>
            <w:tcW w:type="dxa" w:w="2324"/>
          </w:tcPr>
          <w:p>
            <w:pPr>
              <w:pStyle w:val="Compact"/>
              <w:spacing w:line="252" w:lineRule="auto" w:after="80" w:before="60"/>
            </w:pPr>
            <w:r>
              <w:rPr>
                <w:rFonts w:ascii="Times New Roman" w:hAnsi="Times New Roman"/>
                <w:sz w:val="18"/>
              </w:rPr>
              <w:t xml:space="preserve">23 requests; zero writes</w:t>
            </w:r>
          </w:p>
        </w:tc>
        <w:tc>
          <w:tcPr>
            <w:tcW w:type="dxa" w:w="2324"/>
          </w:tcPr>
          <w:p>
            <w:pPr>
              <w:pStyle w:val="Compact"/>
              <w:spacing w:line="252" w:lineRule="auto" w:after="80" w:before="60"/>
            </w:pPr>
            <w:r>
              <w:rPr>
                <w:rFonts w:ascii="Times New Roman" w:hAnsi="Times New Roman"/>
                <w:sz w:val="18"/>
              </w:rPr>
              <w:t xml:space="preserve">Earlier exploration</w:t>
            </w:r>
          </w:p>
        </w:tc>
      </w:tr>
      <w:tr>
        <w:trPr>
          <w:cantSplit/>
        </w:trPr>
        <w:tc>
          <w:tcPr>
            <w:tcW w:type="dxa" w:w="2324"/>
          </w:tcPr>
          <w:p>
            <w:pPr>
              <w:pStyle w:val="Compact"/>
              <w:spacing w:line="252" w:lineRule="auto" w:after="80" w:before="60"/>
            </w:pPr>
            <w:r>
              <w:rPr>
                <w:rFonts w:ascii="Times New Roman" w:hAnsi="Times New Roman"/>
                <w:sz w:val="18"/>
              </w:rPr>
              <w:t xml:space="preserve">Material preparation</w:t>
            </w:r>
          </w:p>
        </w:tc>
        <w:tc>
          <w:tcPr>
            <w:tcW w:type="dxa" w:w="2324"/>
          </w:tcPr>
          <w:p>
            <w:pPr>
              <w:pStyle w:val="Compact"/>
              <w:spacing w:line="252" w:lineRule="auto" w:after="80" w:before="60"/>
            </w:pPr>
            <w:r>
              <w:rPr>
                <w:rFonts w:ascii="Times New Roman" w:hAnsi="Times New Roman"/>
                <w:sz w:val="18"/>
              </w:rPr>
              <w:t xml:space="preserve">Material preparation</w:t>
            </w:r>
          </w:p>
        </w:tc>
        <w:tc>
          <w:tcPr>
            <w:tcW w:type="dxa" w:w="2324"/>
          </w:tcPr>
          <w:p>
            <w:pPr>
              <w:pStyle w:val="Compact"/>
              <w:spacing w:line="252" w:lineRule="auto" w:after="80" w:before="60"/>
            </w:pPr>
            <w:r>
              <w:rPr>
                <w:rFonts w:ascii="Times New Roman" w:hAnsi="Times New Roman"/>
                <w:sz w:val="18"/>
              </w:rPr>
              <w:t xml:space="preserve">16 calls; packet not accepted; four branches unrun</w:t>
            </w:r>
          </w:p>
        </w:tc>
        <w:tc>
          <w:tcPr>
            <w:tcW w:type="dxa" w:w="2324"/>
          </w:tcPr>
          <w:p>
            <w:pPr>
              <w:pStyle w:val="Compact"/>
              <w:spacing w:line="252" w:lineRule="auto" w:after="80" w:before="60"/>
            </w:pPr>
            <w:r>
              <w:rPr>
                <w:rFonts w:ascii="Times New Roman" w:hAnsi="Times New Roman"/>
                <w:sz w:val="18"/>
              </w:rPr>
              <w:t xml:space="preserve">Preparation failure</w:t>
            </w:r>
          </w:p>
        </w:tc>
      </w:tr>
      <w:tr>
        <w:trPr>
          <w:cantSplit/>
        </w:trPr>
        <w:tc>
          <w:tcPr>
            <w:tcW w:type="dxa" w:w="2324"/>
          </w:tcPr>
          <w:p>
            <w:pPr>
              <w:pStyle w:val="Compact"/>
              <w:spacing w:line="252" w:lineRule="auto" w:after="80" w:before="60"/>
            </w:pPr>
            <w:r>
              <w:rPr>
                <w:rFonts w:ascii="Times New Roman" w:hAnsi="Times New Roman"/>
                <w:sz w:val="18"/>
              </w:rPr>
              <w:t xml:space="preserve">Fixed-material continuation</w:t>
            </w:r>
          </w:p>
        </w:tc>
        <w:tc>
          <w:tcPr>
            <w:tcW w:type="dxa" w:w="2324"/>
          </w:tcPr>
          <w:p>
            <w:pPr>
              <w:pStyle w:val="Compact"/>
              <w:spacing w:line="252" w:lineRule="auto" w:after="80" w:before="60"/>
            </w:pPr>
            <w:r>
              <w:rPr>
                <w:rFonts w:ascii="Times New Roman" w:hAnsi="Times New Roman"/>
                <w:sz w:val="18"/>
              </w:rPr>
              <w:t xml:space="preserve">Fixed-material continuation</w:t>
            </w:r>
          </w:p>
        </w:tc>
        <w:tc>
          <w:tcPr>
            <w:tcW w:type="dxa" w:w="2324"/>
          </w:tcPr>
          <w:p>
            <w:pPr>
              <w:pStyle w:val="Compact"/>
              <w:spacing w:line="252" w:lineRule="auto" w:after="80" w:before="60"/>
            </w:pPr>
            <w:r>
              <w:rPr>
                <w:rFonts w:ascii="Times New Roman" w:hAnsi="Times New Roman"/>
                <w:sz w:val="18"/>
              </w:rPr>
              <w:t xml:space="preserve">23 requests; zero writes; remaining three unrun</w:t>
            </w:r>
          </w:p>
        </w:tc>
        <w:tc>
          <w:tcPr>
            <w:tcW w:type="dxa" w:w="2324"/>
          </w:tcPr>
          <w:p>
            <w:pPr>
              <w:pStyle w:val="Compact"/>
              <w:spacing w:line="252" w:lineRule="auto" w:after="80" w:before="60"/>
            </w:pPr>
            <w:r>
              <w:rPr>
                <w:rFonts w:ascii="Times New Roman" w:hAnsi="Times New Roman"/>
                <w:sz w:val="18"/>
              </w:rPr>
              <w:t xml:space="preserve">Earlier exploration</w:t>
            </w:r>
          </w:p>
        </w:tc>
      </w:tr>
      <w:tr>
        <w:trPr>
          <w:cantSplit/>
        </w:trPr>
        <w:tc>
          <w:tcPr>
            <w:tcW w:type="dxa" w:w="2324"/>
          </w:tcPr>
          <w:p>
            <w:pPr>
              <w:pStyle w:val="Compact"/>
              <w:spacing w:line="252" w:lineRule="auto" w:after="80" w:before="60"/>
            </w:pPr>
            <w:r>
              <w:rPr>
                <w:rFonts w:ascii="Times New Roman" w:hAnsi="Times New Roman"/>
                <w:sz w:val="18"/>
              </w:rPr>
              <w:t xml:space="preserve">Precompiled-source continuation</w:t>
            </w:r>
          </w:p>
        </w:tc>
        <w:tc>
          <w:tcPr>
            <w:tcW w:type="dxa" w:w="2324"/>
          </w:tcPr>
          <w:p>
            <w:pPr>
              <w:pStyle w:val="Compact"/>
              <w:spacing w:line="252" w:lineRule="auto" w:after="80" w:before="60"/>
            </w:pPr>
            <w:r>
              <w:rPr>
                <w:rFonts w:ascii="Times New Roman" w:hAnsi="Times New Roman"/>
                <w:sz w:val="18"/>
              </w:rPr>
              <w:t xml:space="preserve">Precompiled common source</w:t>
            </w:r>
          </w:p>
        </w:tc>
        <w:tc>
          <w:tcPr>
            <w:tcW w:type="dxa" w:w="2324"/>
          </w:tcPr>
          <w:p>
            <w:pPr>
              <w:pStyle w:val="Compact"/>
              <w:spacing w:line="252" w:lineRule="auto" w:after="80" w:before="60"/>
            </w:pPr>
            <w:r>
              <w:rPr>
                <w:rFonts w:ascii="Times New Roman" w:hAnsi="Times New Roman"/>
                <w:sz w:val="18"/>
              </w:rPr>
              <w:t xml:space="preserve">First history branch: 42 requests, zero writes; stop</w:t>
            </w:r>
          </w:p>
        </w:tc>
        <w:tc>
          <w:tcPr>
            <w:tcW w:type="dxa" w:w="2324"/>
          </w:tcPr>
          <w:p>
            <w:pPr>
              <w:pStyle w:val="Compact"/>
              <w:spacing w:line="252" w:lineRule="auto" w:after="80" w:before="60"/>
            </w:pPr>
            <w:r>
              <w:rPr>
                <w:rFonts w:ascii="Times New Roman" w:hAnsi="Times New Roman"/>
                <w:sz w:val="18"/>
              </w:rPr>
              <w:t xml:space="preserve">Stopped exploration</w:t>
            </w:r>
          </w:p>
        </w:tc>
      </w:tr>
      <w:tr>
        <w:trPr>
          <w:cantSplit/>
        </w:trPr>
        <w:tc>
          <w:tcPr>
            <w:tcW w:type="dxa" w:w="2324"/>
          </w:tcPr>
          <w:p>
            <w:pPr>
              <w:pStyle w:val="Compact"/>
              <w:spacing w:line="252" w:lineRule="auto" w:after="80" w:before="60"/>
            </w:pPr>
            <w:r>
              <w:rPr>
                <w:rFonts w:ascii="Times New Roman" w:hAnsi="Times New Roman"/>
                <w:sz w:val="18"/>
              </w:rPr>
              <w:t xml:space="preserve">Independent Codex diagnostic</w:t>
            </w:r>
          </w:p>
        </w:tc>
        <w:tc>
          <w:tcPr>
            <w:tcW w:type="dxa" w:w="2324"/>
          </w:tcPr>
          <w:p>
            <w:pPr>
              <w:pStyle w:val="Compact"/>
              <w:spacing w:line="252" w:lineRule="auto" w:after="80" w:before="60"/>
            </w:pPr>
            <w:r>
              <w:rPr>
                <w:rFonts w:ascii="Times New Roman" w:hAnsi="Times New Roman"/>
                <w:sz w:val="18"/>
              </w:rPr>
              <w:t xml:space="preserve">Own specified same-start task and materials; different model/tool environment</w:t>
            </w:r>
          </w:p>
        </w:tc>
        <w:tc>
          <w:tcPr>
            <w:tcW w:type="dxa" w:w="2324"/>
          </w:tcPr>
          <w:p>
            <w:pPr>
              <w:pStyle w:val="Compact"/>
              <w:spacing w:line="252" w:lineRule="auto" w:after="80" w:before="60"/>
            </w:pPr>
            <w:r>
              <w:rPr>
                <w:rFonts w:ascii="Times New Roman" w:hAnsi="Times New Roman"/>
                <w:sz w:val="18"/>
              </w:rPr>
              <w:t xml:space="preserve">Saved local compilation records; interrupted</w:t>
            </w:r>
          </w:p>
        </w:tc>
        <w:tc>
          <w:tcPr>
            <w:tcW w:type="dxa" w:w="2324"/>
          </w:tcPr>
          <w:p>
            <w:pPr>
              <w:pStyle w:val="Compact"/>
              <w:spacing w:line="252" w:lineRule="auto" w:after="80" w:before="60"/>
            </w:pPr>
            <w:r>
              <w:rPr>
                <w:rFonts w:ascii="Times New Roman" w:hAnsi="Times New Roman"/>
                <w:sz w:val="18"/>
              </w:rPr>
              <w:t xml:space="preserve">Not a formal effect control; blindness not independently certified</w:t>
            </w:r>
          </w:p>
        </w:tc>
      </w:tr>
      <w:tr>
        <w:trPr>
          <w:cantSplit/>
        </w:trPr>
        <w:tc>
          <w:tcPr>
            <w:tcW w:type="dxa" w:w="2324"/>
          </w:tcPr>
          <w:p>
            <w:pPr>
              <w:pStyle w:val="Compact"/>
              <w:spacing w:line="252" w:lineRule="auto" w:after="80" w:before="60"/>
            </w:pPr>
            <w:r>
              <w:rPr>
                <w:rFonts w:ascii="Times New Roman" w:hAnsi="Times New Roman"/>
                <w:sz w:val="18"/>
              </w:rPr>
              <w:t xml:space="preserve">Reference-exposed researcher recheck</w:t>
            </w:r>
          </w:p>
        </w:tc>
        <w:tc>
          <w:tcPr>
            <w:tcW w:type="dxa" w:w="2324"/>
          </w:tcPr>
          <w:p>
            <w:pPr>
              <w:pStyle w:val="Compact"/>
              <w:spacing w:line="252" w:lineRule="auto" w:after="80" w:before="60"/>
            </w:pPr>
            <w:r>
              <w:rPr>
                <w:rFonts w:ascii="Times New Roman" w:hAnsi="Times New Roman"/>
                <w:sz w:val="18"/>
              </w:rPr>
              <w:t xml:space="preserve">Complete reference already seen</w:t>
            </w:r>
          </w:p>
        </w:tc>
        <w:tc>
          <w:tcPr>
            <w:tcW w:type="dxa" w:w="2324"/>
          </w:tcPr>
          <w:p>
            <w:pPr>
              <w:pStyle w:val="Compact"/>
              <w:spacing w:line="252" w:lineRule="auto" w:after="80" w:before="60"/>
            </w:pPr>
            <w:r>
              <w:rPr>
                <w:rFonts w:ascii="Times New Roman" w:hAnsi="Times New Roman"/>
                <w:sz w:val="18"/>
              </w:rPr>
              <w:t xml:space="preserve">Algebra derivation and checks; explicitly no new Lean compilation</w:t>
            </w:r>
          </w:p>
        </w:tc>
        <w:tc>
          <w:tcPr>
            <w:tcW w:type="dxa" w:w="2324"/>
          </w:tcPr>
          <w:p>
            <w:pPr>
              <w:pStyle w:val="Compact"/>
              <w:spacing w:line="252" w:lineRule="auto" w:after="80" w:before="60"/>
            </w:pPr>
            <w:r>
              <w:rPr>
                <w:rFonts w:ascii="Times New Roman" w:hAnsi="Times New Roman"/>
                <w:sz w:val="18"/>
              </w:rPr>
              <w:t xml:space="preserve">Researcher verification, not independent discovery</w:t>
            </w:r>
          </w:p>
        </w:tc>
      </w:tr>
      <w:tr>
        <w:trPr>
          <w:cantSplit/>
        </w:trPr>
        <w:tc>
          <w:tcPr>
            <w:tcW w:type="dxa" w:w="2324"/>
          </w:tcPr>
          <w:p>
            <w:pPr>
              <w:pStyle w:val="Compact"/>
              <w:spacing w:line="252" w:lineRule="auto" w:after="80" w:before="60"/>
            </w:pPr>
            <w:r>
              <w:rPr>
                <w:rFonts w:ascii="Times New Roman" w:hAnsi="Times New Roman"/>
                <w:sz w:val="18"/>
              </w:rPr>
              <w:t xml:space="preserve">Final</w:t>
            </w:r>
            <w:r>
              <w:rPr>
                <w:rFonts w:ascii="Times New Roman" w:hAnsi="Times New Roman"/>
                <w:sz w:val="18"/>
              </w:rPr>
              <w:t xml:space="preserve"> </w:t>
            </w:r>
            <w:r>
              <w:rPr>
                <w:rStyle w:val="VerbatimChar"/>
                <w:rFonts w:ascii="Times New Roman" w:hAnsi="Times New Roman"/>
                <w:sz w:val="18"/>
              </w:rPr>
              <w:t xml:space="preserve">hclose</w:t>
            </w:r>
            <w:r>
              <w:rPr>
                <w:rFonts w:ascii="Times New Roman" w:hAnsi="Times New Roman"/>
                <w:sz w:val="18"/>
              </w:rPr>
              <w:t xml:space="preserve"> </w:t>
            </w:r>
            <w:r>
              <w:rPr>
                <w:rFonts w:ascii="Times New Roman" w:hAnsi="Times New Roman"/>
                <w:sz w:val="18"/>
              </w:rPr>
              <w:t xml:space="preserve">pair</w:t>
            </w:r>
          </w:p>
        </w:tc>
        <w:tc>
          <w:tcPr>
            <w:tcW w:type="dxa" w:w="2324"/>
          </w:tcPr>
          <w:p>
            <w:pPr>
              <w:pStyle w:val="Compact"/>
              <w:spacing w:line="252" w:lineRule="auto" w:after="80" w:before="60"/>
            </w:pPr>
            <w:r>
              <w:rPr>
                <w:rFonts w:ascii="Times New Roman" w:hAnsi="Times New Roman"/>
                <w:sz w:val="18"/>
              </w:rPr>
              <w:t xml:space="preserve">One selected hole, common enclosing proof</w:t>
            </w:r>
          </w:p>
        </w:tc>
        <w:tc>
          <w:tcPr>
            <w:tcW w:type="dxa" w:w="2324"/>
          </w:tcPr>
          <w:p>
            <w:pPr>
              <w:pStyle w:val="Compact"/>
              <w:spacing w:line="252" w:lineRule="auto" w:after="80" w:before="60"/>
            </w:pPr>
            <w:r>
              <w:rPr>
                <w:rFonts w:ascii="Times New Roman" w:hAnsi="Times New Roman"/>
                <w:sz w:val="18"/>
              </w:rPr>
              <w:t xml:space="preserve">Guided third candidate accepted; comparison incomplete within three</w:t>
            </w:r>
          </w:p>
        </w:tc>
        <w:tc>
          <w:tcPr>
            <w:tcW w:type="dxa" w:w="2324"/>
          </w:tcPr>
          <w:p>
            <w:pPr>
              <w:pStyle w:val="Compact"/>
              <w:spacing w:line="252" w:lineRule="auto" w:after="80" w:before="60"/>
            </w:pPr>
            <w:r>
              <w:rPr>
                <w:rFonts w:ascii="Times New Roman" w:hAnsi="Times New Roman"/>
                <w:sz w:val="18"/>
              </w:rPr>
              <w:t xml:space="preserve">Present local evidence</w:t>
            </w:r>
          </w:p>
        </w:tc>
      </w:tr>
    </w:tbl>
    <w:p>
      <w:pPr>
        <w:pStyle w:val="BodyText"/>
        <w:widowControl/>
      </w:pPr>
      <w:r>
        <w:t xml:space="preserve">“Zero writes” is a description of a workflow record, not a general statement of model incapacity. Earlier resource changes, PI stopping and outcome-informed selection are part of the history. The final narrow success does not retrospectively complete any broader endpoint. The accompanying evidence ledger records source paths for historical statements; unavailable raw streams remain unavailable rather than being inferred from summaries.</w:t>
      </w:r>
    </w:p>
    <w:bookmarkEnd w:id="37"/>
    <w:bookmarkStart w:id="41" w:name="X71b742d05451378f938bf9eafbe5ee4d9038688"/>
    <w:p>
      <w:pPr>
        <w:pStyle w:val="Heading2"/>
        <w:keepNext/>
        <w:widowControl/>
      </w:pPr>
      <w:r>
        <w:rPr>
          <w:rFonts w:ascii="Times New Roman" w:hAnsi="Times New Roman"/>
          <w:b/>
          <w:color w:val="000000"/>
          <w:sz w:val="24"/>
        </w:rPr>
        <w:t xml:space="preserve">Supplementary Note 7. Attribution and further research</w:t>
      </w:r>
    </w:p>
    <w:bookmarkStart w:id="38" w:name="u1-u2-and-u3"/>
    <w:p>
      <w:pPr>
        <w:pStyle w:val="Heading3"/>
        <w:keepNext/>
        <w:widowControl/>
      </w:pPr>
      <w:r>
        <w:rPr>
          <w:rFonts w:ascii="Times New Roman" w:hAnsi="Times New Roman"/>
          <w:b/>
          <w:color w:val="000000"/>
          <w:sz w:val="24"/>
        </w:rPr>
        <w:t xml:space="preserve">7.1 U1, U2 and U3</w:t>
      </w:r>
    </w:p>
    <w:p>
      <w:pPr>
        <w:pStyle w:val="FirstParagraph"/>
        <w:widowControl/>
      </w:pPr>
      <w:r>
        <w:t xml:space="preserve">The source lemma is an existing method: its use is U1. The successful experiment produced a new token-level proof object in response to researcher guidance and compiler feedback. This is an observed local construction, not evidence that the model originated a new general method. Same-goal candidate correction is not by itself U3. The supplied</w:t>
      </w:r>
      <w:r>
        <w:t xml:space="preserve"> </w:t>
      </w:r>
      <w:r>
        <w:rPr>
          <w:rStyle w:val="VerbatimChar"/>
        </w:rPr>
        <w:t xml:space="preserve">hmargin</w:t>
      </w:r>
      <w:r>
        <w:t xml:space="preserve"> </w:t>
      </w:r>
      <w:r>
        <w:t xml:space="preserve">consumer documents use but does not alone establish changed-duty reconstruction. The separate coefficient records in Note 9 do include changed targets, actual reconstruction and renewed use within a supplied interface. This observed restricted process must not be confused with an unestablished general causal benefit or autonomous formation of the whole research arrangement.</w:t>
      </w:r>
    </w:p>
    <w:p>
      <w:pPr>
        <w:pStyle w:val="BodyText"/>
        <w:widowControl/>
      </w:pPr>
      <w:r>
        <w:t xml:space="preserve">The human investigator selected and changed the task, supplied the application strategy and authorised execution. The agent constructed tactic bodies and the compiler produced feedback. This division is recorded and attributable. We do not infer that the investigator’s understanding improved, that a particular subjective state caused success, or that human involvement is inherently necessary in all systems. A single integrated solver or a sufficient compact interface may realise the same future function.</w:t>
      </w:r>
    </w:p>
    <w:bookmarkEnd w:id="38"/>
    <w:bookmarkStart w:id="39" w:name="X7e8a85577142bc08227b7e2bb48d0f98b351a9b"/>
    <w:p>
      <w:pPr>
        <w:pStyle w:val="Heading3"/>
        <w:keepNext/>
        <w:widowControl/>
      </w:pPr>
      <w:r>
        <w:rPr>
          <w:rFonts w:ascii="Times New Roman" w:hAnsi="Times New Roman"/>
          <w:b/>
          <w:color w:val="000000"/>
          <w:sz w:val="24"/>
        </w:rPr>
        <w:t xml:space="preserve">7.2 Observed continuation and the remaining attribution question</w:t>
      </w:r>
    </w:p>
    <w:p>
      <w:pPr>
        <w:pStyle w:val="FirstParagraph"/>
        <w:widowControl/>
      </w:pPr>
      <w:r>
        <w:t xml:space="preserve">Changed-target continuation was executed in the coefficient studies; it is not a missing experiment in the sense of never having been run. The records show actual state inheritance, particular programme revisions and subsequent application. The original comparisons nevertheless failed to establish stable average benefits, for reasons detailed in Note 9. Nor did the separate proof-completion pair test equal accepted present proof artefacts under a new duty. These are different limitations and should not be merged.</w:t>
      </w:r>
    </w:p>
    <w:p>
      <w:pPr>
        <w:pStyle w:val="BodyText"/>
        <w:widowControl/>
      </w:pPr>
      <w:r>
        <w:t xml:space="preserve">A future bounded comparison could hold an actually accepted proof artefact and ordinary source access fixed, predefine a new representation or assumption-handling duty, and compare an application-bearing handoff with normal compact continuation. The reconstructed artefact would then have to be used in one further action. Such a study would address the remaining same-object attribution question, not supply the first observation that any successor use exists. It would retain legitimate rederivation, equality, failure and unknown completion without an ability screen. No additional model sampling is performed for the present revision.</w:t>
      </w:r>
    </w:p>
    <w:bookmarkEnd w:id="39"/>
    <w:bookmarkStart w:id="40" w:name="formal-and-publication-responsibilities"/>
    <w:p>
      <w:pPr>
        <w:pStyle w:val="Heading3"/>
        <w:keepNext/>
        <w:widowControl/>
      </w:pPr>
      <w:r>
        <w:rPr>
          <w:rFonts w:ascii="Times New Roman" w:hAnsi="Times New Roman"/>
          <w:b/>
          <w:color w:val="000000"/>
          <w:sz w:val="24"/>
        </w:rPr>
        <w:t xml:space="preserve">7.3 Formal and publication responsibilities</w:t>
      </w:r>
    </w:p>
    <w:p>
      <w:pPr>
        <w:pStyle w:val="FirstParagraph"/>
        <w:widowControl/>
      </w:pPr>
      <w:r>
        <w:t xml:space="preserve">The current acceptance rests on retained compiler evidence and the earlier source audit. Fresh kernel checking, an external mathematical judgement of the intended target and public release permissions remain separate tasks, not results of this writing. They are not additional scientific effect experiments proposed here. The original NS work remains attributed to its source authors. Publication priority for the present conceptual synthesis or local analytical use has not been independently established.</w:t>
      </w:r>
    </w:p>
    <w:bookmarkEnd w:id="40"/>
    <w:bookmarkEnd w:id="41"/>
    <w:bookmarkStart w:id="42" w:name="Xa36f29af9f669e0f902556cfac3df96fc93d444"/>
    <w:p>
      <w:pPr>
        <w:pStyle w:val="Heading2"/>
        <w:keepNext/>
        <w:widowControl/>
      </w:pPr>
      <w:r>
        <w:rPr>
          <w:rFonts w:ascii="Times New Roman" w:hAnsi="Times New Roman"/>
          <w:b/>
          <w:color w:val="000000"/>
          <w:sz w:val="24"/>
        </w:rPr>
        <w:t xml:space="preserve">Supplementary Note 8. Reproducibility layers</w:t>
      </w:r>
    </w:p>
    <w:p>
      <w:pPr>
        <w:pStyle w:val="FirstParagraph"/>
        <w:widowControl/>
      </w:pPr>
      <w:r>
        <w:t xml:space="preserve">Original evidence is preserved unchanged. Deterministic reanalysis and saved-candidate preparation are recorded in separate output directories and do not add experimental units. The review-support archive provides direct access to mathematical inputs, candidate mappings, Source Data and reproduction commands; its privacy and provenance map identifies the minimal transformations applied to shareable records.</w:t>
      </w:r>
    </w:p>
    <w:p>
      <w:pPr>
        <w:pStyle w:val="BodyText"/>
        <w:keepNext/>
        <w:widowControl/>
      </w:pPr>
      <w:r>
        <w:rPr>
          <w:b/>
          <w:bCs/>
        </w:rPr>
        <w:t xml:space="preserve">Supplementary Table 7 | Reproducibility layers and observed status.</w:t>
      </w:r>
    </w:p>
    <w:tbl>
      <w:tblPr>
        <w:tblStyle w:val="Table"/>
        <w:tblW w:type="pct" w:w="5000"/>
        <w:tblLayout w:type="fixed"/>
        <w:tblLook w:firstRow="1" w:lastRow="0" w:firstColumn="0" w:lastColumn="0" w:noHBand="0" w:noVBand="0" w:val="0020"/>
      </w:tblPr>
      <w:tblGrid>
        <w:gridCol w:w="3960"/>
        <w:gridCol w:w="3960"/>
      </w:tblGrid>
      <w:tr>
        <w:trPr>
          <w:tblHeader w:val="on"/>
          <w:cantSplit/>
          <w:tblHeader/>
        </w:trPr>
        <w:tc>
          <w:tcPr>
            <w:tcW w:type="dxa" w:w="2608"/>
            <w:shd w:fill="EEEEEE"/>
          </w:tcPr>
          <w:p>
            <w:pPr>
              <w:pStyle w:val="Compact"/>
              <w:spacing w:line="252" w:lineRule="auto" w:after="80" w:before="60"/>
            </w:pPr>
            <w:r>
              <w:rPr>
                <w:rFonts w:ascii="Times New Roman" w:hAnsi="Times New Roman"/>
                <w:b/>
                <w:sz w:val="18"/>
              </w:rPr>
              <w:t xml:space="preserve">Evidence or check</w:t>
            </w:r>
          </w:p>
        </w:tc>
        <w:tc>
          <w:tcPr>
            <w:tcW w:type="dxa" w:w="6690"/>
            <w:shd w:fill="EEEEEE"/>
          </w:tcPr>
          <w:p>
            <w:pPr>
              <w:pStyle w:val="Compact"/>
              <w:spacing w:line="252" w:lineRule="auto" w:after="80" w:before="60"/>
            </w:pPr>
            <w:r>
              <w:rPr>
                <w:rFonts w:ascii="Times New Roman" w:hAnsi="Times New Roman"/>
                <w:b/>
                <w:sz w:val="18"/>
              </w:rPr>
              <w:t xml:space="preserve">Actual identity in this analysis</w:t>
            </w:r>
          </w:p>
        </w:tc>
      </w:tr>
      <w:tr>
        <w:trPr>
          <w:cantSplit/>
        </w:trPr>
        <w:tc>
          <w:tcPr>
            <w:tcW w:type="dxa" w:w="2608"/>
          </w:tcPr>
          <w:p>
            <w:pPr>
              <w:pStyle w:val="Compact"/>
              <w:spacing w:line="252" w:lineRule="auto" w:after="80" w:before="60"/>
            </w:pPr>
            <w:r>
              <w:rPr>
                <w:rFonts w:ascii="Times New Roman" w:hAnsi="Times New Roman"/>
                <w:sz w:val="18"/>
              </w:rPr>
              <w:t xml:space="preserve">Analytical separation and sufficient repair</w:t>
            </w:r>
          </w:p>
        </w:tc>
        <w:tc>
          <w:tcPr>
            <w:tcW w:type="dxa" w:w="6690"/>
          </w:tcPr>
          <w:p>
            <w:pPr>
              <w:pStyle w:val="Compact"/>
              <w:spacing w:line="252" w:lineRule="auto" w:after="80" w:before="60"/>
            </w:pPr>
            <w:r>
              <w:rPr>
                <w:rFonts w:ascii="Times New Roman" w:hAnsi="Times New Roman"/>
                <w:sz w:val="18"/>
              </w:rPr>
              <w:t xml:space="preserve">Written proofs in Notes 2–3; standard algebra and state composition</w:t>
            </w:r>
          </w:p>
        </w:tc>
      </w:tr>
      <w:tr>
        <w:trPr>
          <w:cantSplit/>
        </w:trPr>
        <w:tc>
          <w:tcPr>
            <w:tcW w:type="dxa" w:w="2608"/>
          </w:tcPr>
          <w:p>
            <w:pPr>
              <w:pStyle w:val="Compact"/>
              <w:spacing w:line="252" w:lineRule="auto" w:after="80" w:before="60"/>
            </w:pPr>
            <w:r>
              <w:rPr>
                <w:rFonts w:ascii="Times New Roman" w:hAnsi="Times New Roman"/>
                <w:sz w:val="18"/>
              </w:rPr>
              <w:t xml:space="preserve">Exact algebra implementation</w:t>
            </w:r>
          </w:p>
        </w:tc>
        <w:tc>
          <w:tcPr>
            <w:tcW w:type="dxa" w:w="6690"/>
          </w:tcPr>
          <w:p>
            <w:pPr>
              <w:pStyle w:val="Compact"/>
              <w:spacing w:line="252" w:lineRule="auto" w:after="80" w:before="60"/>
            </w:pPr>
            <w:r>
              <w:rPr>
                <w:rStyle w:val="VerbatimChar"/>
                <w:rFonts w:ascii="Times New Roman" w:hAnsi="Times New Roman"/>
                <w:sz w:val="18"/>
              </w:rPr>
              <w:t xml:space="preserve">REPRODUCIBILITY/math/exact_checks.py</w:t>
            </w:r>
            <w:r>
              <w:rPr>
                <w:rFonts w:ascii="Times New Roman" w:hAnsi="Times New Roman"/>
                <w:sz w:val="18"/>
              </w:rPr>
              <w:t xml:space="preserve">, executed locally; output and logs retained</w:t>
            </w:r>
          </w:p>
        </w:tc>
      </w:tr>
      <w:tr>
        <w:trPr>
          <w:cantSplit/>
        </w:trPr>
        <w:tc>
          <w:tcPr>
            <w:tcW w:type="dxa" w:w="2608"/>
          </w:tcPr>
          <w:p>
            <w:pPr>
              <w:pStyle w:val="Compact"/>
              <w:spacing w:line="252" w:lineRule="auto" w:after="80" w:before="60"/>
            </w:pPr>
            <w:r>
              <w:rPr>
                <w:rFonts w:ascii="Times New Roman" w:hAnsi="Times New Roman"/>
                <w:sz w:val="18"/>
              </w:rPr>
              <w:t xml:space="preserve">Six-request record analysis</w:t>
            </w:r>
          </w:p>
        </w:tc>
        <w:tc>
          <w:tcPr>
            <w:tcW w:type="dxa" w:w="6690"/>
          </w:tcPr>
          <w:p>
            <w:pPr>
              <w:pStyle w:val="Compact"/>
              <w:spacing w:line="252" w:lineRule="auto" w:after="80" w:before="60"/>
            </w:pPr>
            <w:r>
              <w:rPr>
                <w:rFonts w:ascii="Times New Roman" w:hAnsi="Times New Roman"/>
                <w:sz w:val="18"/>
              </w:rPr>
              <w:t xml:space="preserve">Private full-record audit and source-mapped visible-record audit both reread streams, templates and compiler receipts; no new sampling</w:t>
            </w:r>
          </w:p>
        </w:tc>
      </w:tr>
      <w:tr>
        <w:trPr>
          <w:cantSplit/>
        </w:trPr>
        <w:tc>
          <w:tcPr>
            <w:tcW w:type="dxa" w:w="2608"/>
          </w:tcPr>
          <w:p>
            <w:pPr>
              <w:pStyle w:val="Compact"/>
              <w:spacing w:line="252" w:lineRule="auto" w:after="80" w:before="60"/>
            </w:pPr>
            <w:r>
              <w:rPr>
                <w:rFonts w:ascii="Times New Roman" w:hAnsi="Times New Roman"/>
                <w:sz w:val="18"/>
              </w:rPr>
              <w:t xml:space="preserve">Coefficient-continuation reanalysis</w:t>
            </w:r>
          </w:p>
        </w:tc>
        <w:tc>
          <w:tcPr>
            <w:tcW w:type="dxa" w:w="6690"/>
          </w:tcPr>
          <w:p>
            <w:pPr>
              <w:pStyle w:val="Compact"/>
              <w:spacing w:line="252" w:lineRule="auto" w:after="80" w:before="60"/>
            </w:pPr>
            <w:r>
              <w:rPr>
                <w:rFonts w:ascii="Times New Roman" w:hAnsi="Times New Roman"/>
                <w:sz w:val="18"/>
              </w:rPr>
              <w:t xml:space="preserve">Complete terminal rows and parent-state arrays reread; selected actual expressions evaluated separately; no new model sampling</w:t>
            </w:r>
          </w:p>
        </w:tc>
      </w:tr>
      <w:tr>
        <w:trPr>
          <w:cantSplit/>
        </w:trPr>
        <w:tc>
          <w:tcPr>
            <w:tcW w:type="dxa" w:w="2608"/>
          </w:tcPr>
          <w:p>
            <w:pPr>
              <w:pStyle w:val="Compact"/>
              <w:spacing w:line="252" w:lineRule="auto" w:after="80" w:before="60"/>
            </w:pPr>
            <w:r>
              <w:rPr>
                <w:rFonts w:ascii="Times New Roman" w:hAnsi="Times New Roman"/>
                <w:sz w:val="18"/>
              </w:rPr>
              <w:t xml:space="preserve">Independent diagnostic</w:t>
            </w:r>
          </w:p>
        </w:tc>
        <w:tc>
          <w:tcPr>
            <w:tcW w:type="dxa" w:w="6690"/>
          </w:tcPr>
          <w:p>
            <w:pPr>
              <w:pStyle w:val="Compact"/>
              <w:spacing w:line="252" w:lineRule="auto" w:after="80" w:before="60"/>
            </w:pPr>
            <w:r>
              <w:rPr>
                <w:rStyle w:val="VerbatimChar"/>
                <w:rFonts w:ascii="Times New Roman" w:hAnsi="Times New Roman"/>
                <w:sz w:val="18"/>
              </w:rPr>
              <w:t xml:space="preserve">32_INDEPENDENT_DIAGNOSTIC</w:t>
            </w:r>
            <w:r>
              <w:rPr>
                <w:rFonts w:ascii="Times New Roman" w:hAnsi="Times New Roman"/>
                <w:sz w:val="18"/>
              </w:rPr>
              <w:t xml:space="preserve">; its own task boundary and retained local compilation</w:t>
            </w:r>
          </w:p>
        </w:tc>
      </w:tr>
      <w:tr>
        <w:trPr>
          <w:cantSplit/>
        </w:trPr>
        <w:tc>
          <w:tcPr>
            <w:tcW w:type="dxa" w:w="2608"/>
          </w:tcPr>
          <w:p>
            <w:pPr>
              <w:pStyle w:val="Compact"/>
              <w:spacing w:line="252" w:lineRule="auto" w:after="80" w:before="60"/>
            </w:pPr>
            <w:r>
              <w:rPr>
                <w:rFonts w:ascii="Times New Roman" w:hAnsi="Times New Roman"/>
                <w:sz w:val="18"/>
              </w:rPr>
              <w:t xml:space="preserve">Researcher recheck</w:t>
            </w:r>
          </w:p>
        </w:tc>
        <w:tc>
          <w:tcPr>
            <w:tcW w:type="dxa" w:w="6690"/>
          </w:tcPr>
          <w:p>
            <w:pPr>
              <w:pStyle w:val="Compact"/>
              <w:spacing w:line="252" w:lineRule="auto" w:after="80" w:before="60"/>
            </w:pPr>
            <w:r>
              <w:rPr>
                <w:rStyle w:val="VerbatimChar"/>
                <w:rFonts w:ascii="Times New Roman" w:hAnsi="Times New Roman"/>
                <w:sz w:val="18"/>
              </w:rPr>
              <w:t xml:space="preserve">33_RESEARCHER_RECHECK</w:t>
            </w:r>
            <w:r>
              <w:rPr>
                <w:rFonts w:ascii="Times New Roman" w:hAnsi="Times New Roman"/>
                <w:sz w:val="18"/>
              </w:rPr>
              <w:t xml:space="preserve">; reference exposed, algebra only, no new Lean compilation in that record</w:t>
            </w:r>
          </w:p>
        </w:tc>
      </w:tr>
      <w:tr>
        <w:trPr>
          <w:cantSplit/>
        </w:trPr>
        <w:tc>
          <w:tcPr>
            <w:tcW w:type="dxa" w:w="2608"/>
          </w:tcPr>
          <w:p>
            <w:pPr>
              <w:pStyle w:val="Compact"/>
              <w:spacing w:line="252" w:lineRule="auto" w:after="80" w:before="60"/>
            </w:pPr>
            <w:r>
              <w:rPr>
                <w:rFonts w:ascii="Times New Roman" w:hAnsi="Times New Roman"/>
                <w:sz w:val="18"/>
              </w:rPr>
              <w:t xml:space="preserve">Saved five-candidate replay</w:t>
            </w:r>
          </w:p>
        </w:tc>
        <w:tc>
          <w:tcPr>
            <w:tcW w:type="dxa" w:w="6690"/>
          </w:tcPr>
          <w:p>
            <w:pPr>
              <w:pStyle w:val="Compact"/>
              <w:spacing w:line="252" w:lineRule="auto" w:after="80" w:before="60"/>
            </w:pPr>
            <w:r>
              <w:rPr>
                <w:rFonts w:ascii="Times New Roman" w:hAnsi="Times New Roman"/>
                <w:sz w:val="18"/>
              </w:rPr>
              <w:t xml:space="preserve">Source assembly and offline ordinary Lean 4.34.0-rc2 replay executed for five unmodified candidates: one accepted, four rejected; no independent-kernel check</w:t>
            </w:r>
          </w:p>
        </w:tc>
      </w:tr>
      <w:tr>
        <w:trPr>
          <w:cantSplit/>
        </w:trPr>
        <w:tc>
          <w:tcPr>
            <w:tcW w:type="dxa" w:w="2608"/>
          </w:tcPr>
          <w:p>
            <w:pPr>
              <w:pStyle w:val="Compact"/>
              <w:spacing w:line="252" w:lineRule="auto" w:after="80" w:before="60"/>
            </w:pPr>
            <w:r>
              <w:rPr>
                <w:rFonts w:ascii="Times New Roman" w:hAnsi="Times New Roman"/>
                <w:sz w:val="18"/>
              </w:rPr>
              <w:t xml:space="preserve">New model sampling / independent kernel</w:t>
            </w:r>
          </w:p>
        </w:tc>
        <w:tc>
          <w:tcPr>
            <w:tcW w:type="dxa" w:w="6690"/>
          </w:tcPr>
          <w:p>
            <w:pPr>
              <w:pStyle w:val="Compact"/>
              <w:spacing w:line="252" w:lineRule="auto" w:after="80" w:before="60"/>
            </w:pPr>
            <w:r>
              <w:rPr>
                <w:rFonts w:ascii="Times New Roman" w:hAnsi="Times New Roman"/>
                <w:sz w:val="18"/>
              </w:rPr>
              <w:t xml:space="preserve">NOT_RUN</w:t>
            </w:r>
          </w:p>
        </w:tc>
      </w:tr>
    </w:tbl>
    <w:p>
      <w:pPr>
        <w:pStyle w:val="BodyText"/>
        <w:widowControl/>
      </w:pPr>
      <w:r>
        <w:t xml:space="preserve">In the internal evidence package,</w:t>
      </w:r>
      <w:r>
        <w:t xml:space="preserve"> </w:t>
      </w:r>
      <w:r>
        <w:rPr>
          <w:rStyle w:val="VerbatimChar"/>
        </w:rPr>
        <w:t xml:space="preserve">python REPRODUCIBILITY/reproduce.py --out WORK/reproduction</w:t>
      </w:r>
      <w:r>
        <w:t xml:space="preserve"> </w:t>
      </w:r>
      <w:r>
        <w:t xml:space="preserve">verifies all 859 original payloads, reconstructs six returned requests and five candidates, calculates totals and runs exact algebra checks. In the review-support archive, the same entry point recomputes the corresponding tables from the shareable, source-mapped request, visible-response and compiler records. Neither entry contacts a model endpoint.</w:t>
      </w:r>
      <w:r>
        <w:t xml:space="preserve"> </w:t>
      </w:r>
      <w:r>
        <w:rPr>
          <w:rStyle w:val="VerbatimChar"/>
        </w:rPr>
        <w:t xml:space="preserve">python REPRODUCIBILITY/experiment/assemble_lean.py --out WORK/lean_project</w:t>
      </w:r>
      <w:r>
        <w:t xml:space="preserve"> </w:t>
      </w:r>
      <w:r>
        <w:t xml:space="preserve">assembles the preserved workspace with its public modules, including</w:t>
      </w:r>
      <w:r>
        <w:t xml:space="preserve"> </w:t>
      </w:r>
      <w:r>
        <w:rPr>
          <w:rStyle w:val="VerbatimChar"/>
        </w:rPr>
        <w:t xml:space="preserve">Checkpoint/NodeGoal.lean</w:t>
      </w:r>
      <w:r>
        <w:t xml:space="preserve">, and verifies the saved candidate/request mapping.</w:t>
      </w:r>
      <w:r>
        <w:t xml:space="preserve"> </w:t>
      </w:r>
      <w:r>
        <w:rPr>
          <w:rStyle w:val="VerbatimChar"/>
        </w:rPr>
        <w:t xml:space="preserve">python REPRODUCIBILITY/experiment/replay_lean.py --probe --prepared-project WORK/lean_project --out WORK/lean_probe</w:t>
      </w:r>
      <w:r>
        <w:t xml:space="preserve"> </w:t>
      </w:r>
      <w:r>
        <w:t xml:space="preserve">records toolchain availability. Compilation requires an explicit execute option and the isolated, dependency-ready environment described in the assembly README; it is not inferred from script availability.</w:t>
      </w:r>
    </w:p>
    <w:p>
      <w:pPr>
        <w:pStyle w:val="BodyText"/>
        <w:widowControl/>
      </w:pPr>
      <w:r>
        <w:t xml:space="preserve">The mathematical witness and hclose are different subproblems. The former proves a finite observation restriction and its compact repair. The latter records instantiation and transport of an existing theorem, construction of a specific proof object, and use by a supplied consumer. The coefficient records additionally observe changed-target reconstruction and renewed use. None of these evidence layers alone identifies a general mechanism governing all jointly formed research conditions.</w:t>
      </w:r>
    </w:p>
    <w:bookmarkEnd w:id="42"/>
    <w:bookmarkStart w:id="48" w:name="X760d51e856614cb4bd1c54a2b32e7456a550baf"/>
    <w:p>
      <w:pPr>
        <w:pStyle w:val="Heading2"/>
        <w:keepNext/>
        <w:widowControl/>
      </w:pPr>
      <w:r>
        <w:rPr>
          <w:rFonts w:ascii="Times New Roman" w:hAnsi="Times New Roman"/>
          <w:b/>
          <w:color w:val="000000"/>
          <w:sz w:val="24"/>
        </w:rPr>
        <w:t xml:space="preserve">Supplementary Note 9. Executed successor evidence</w:t>
      </w:r>
    </w:p>
    <w:bookmarkStart w:id="43" w:name="source-population-and-analysis-identity"/>
    <w:p>
      <w:pPr>
        <w:pStyle w:val="Heading3"/>
        <w:keepNext/>
        <w:widowControl/>
      </w:pPr>
      <w:r>
        <w:rPr>
          <w:rFonts w:ascii="Times New Roman" w:hAnsi="Times New Roman"/>
          <w:b/>
          <w:color w:val="000000"/>
          <w:sz w:val="24"/>
        </w:rPr>
        <w:t xml:space="preserve">9.1 Source, population and analysis identity</w:t>
      </w:r>
    </w:p>
    <w:p>
      <w:pPr>
        <w:pStyle w:val="FirstParagraph"/>
        <w:widowControl/>
      </w:pPr>
      <w:r>
        <w:t xml:space="preserve">The coefficient studies are separate from the proof-completion pair. The unchanged archive is</w:t>
      </w:r>
      <w:r>
        <w:t xml:space="preserve"> </w:t>
      </w:r>
      <w:r>
        <w:rPr>
          <w:rStyle w:val="VerbatimChar"/>
        </w:rPr>
        <w:t xml:space="preserve">NS_R6_AB_RAW_WITH_A_SUPPLEMENT_20260919_UNDER100MB.tar.xz</w:t>
      </w:r>
      <w:r>
        <w:t xml:space="preserve">, SHA-256</w:t>
      </w:r>
      <w:r>
        <w:t xml:space="preserve"> </w:t>
      </w:r>
      <w:r>
        <w:rPr>
          <w:rStyle w:val="VerbatimChar"/>
        </w:rPr>
        <w:t xml:space="preserve">9b8fde263413edceb5a980de182a347e4aa10995afc20c982e8e8f78dcb43ba4</w:t>
      </w:r>
      <w:r>
        <w:t xml:space="preserve">. The review-support files retain source-member paths and original hashes. No new model response is included in this reanalysis.</w:t>
      </w:r>
    </w:p>
    <w:p>
      <w:pPr>
        <w:pStyle w:val="BodyText"/>
        <w:widowControl/>
      </w:pPr>
      <w:r>
        <w:t xml:space="preserve">The assistance study has four formation episodes descended from two archived ancestors, 20 recorded stages and 40 complete returns. The version-adoption study has eight new formation episodes, 32 stages and 64 complete returns. All 104 complete returns have a recorded</w:t>
      </w:r>
      <w:r>
        <w:t xml:space="preserve"> </w:t>
      </w:r>
      <w:r>
        <w:rPr>
          <w:rStyle w:val="VerbatimChar"/>
        </w:rPr>
        <w:t xml:space="preserve">stop</w:t>
      </w:r>
      <w:r>
        <w:t xml:space="preserve">; a previous assistance request remains unknown. Its separately authorised supplementary observation is not the recovery of the original answer. The assistance first-continuation main endpoint was unaffected by that supplementary second-continuation observation. These version identities are retained, not merged into a homogeneous original run.</w:t>
      </w:r>
    </w:p>
    <w:p>
      <w:pPr>
        <w:pStyle w:val="BodyText"/>
        <w:widowControl/>
      </w:pPr>
      <w:r>
        <w:t xml:space="preserve">Each programme supplies two expressions</w:t>
      </w:r>
      <w:r>
        <w:t xml:space="preserve"> </w:t>
      </w:r>
      <m:oMath>
        <m:r>
          <m:t>B</m:t>
        </m:r>
        <m:r>
          <m:rPr>
            <m:sty m:val="p"/>
          </m:rPr>
          <m:t>(</m:t>
        </m:r>
        <m:r>
          <m:t>r</m:t>
        </m:r>
        <m:r>
          <m:rPr>
            <m:sty m:val="p"/>
          </m:rPr>
          <m:t>,</m:t>
        </m:r>
        <m:r>
          <m:t>u</m:t>
        </m:r>
        <m:r>
          <m:rPr>
            <m:sty m:val="p"/>
          </m:rPr>
          <m:t>)</m:t>
        </m:r>
      </m:oMath>
      <w:r>
        <w:t xml:space="preserve"> </w:t>
      </w:r>
      <w:r>
        <w:t xml:space="preserve">and</w:t>
      </w:r>
      <w:r>
        <w:t xml:space="preserve"> </w:t>
      </w:r>
      <m:oMath>
        <m:r>
          <m:t>C</m:t>
        </m:r>
        <m:r>
          <m:rPr>
            <m:sty m:val="p"/>
          </m:rPr>
          <m:t>(</m:t>
        </m:r>
        <m:r>
          <m:t>r</m:t>
        </m:r>
        <m:r>
          <m:rPr>
            <m:sty m:val="p"/>
          </m:rPr>
          <m:t>,</m:t>
        </m:r>
        <m:r>
          <m:t>u</m:t>
        </m:r>
        <m:r>
          <m:rPr>
            <m:sty m:val="p"/>
          </m:rPr>
          <m:t>)</m:t>
        </m:r>
      </m:oMath>
      <w:r>
        <w:t xml:space="preserve"> </w:t>
      </w:r>
      <w:r>
        <w:t xml:space="preserve">to a common operation</w:t>
      </w:r>
    </w:p>
    <w:p>
      <w:pPr>
        <w:pStyle w:val="BodyText"/>
        <w:widowControl/>
      </w:pPr>
      <m:oMathPara>
        <m:oMathParaPr>
          <m:jc m:val="center"/>
        </m:oMathParaPr>
        <m:oMath>
          <m:r>
            <m:t>g</m:t>
          </m:r>
          <m:r>
            <m:rPr>
              <m:sty m:val="p"/>
            </m:rPr>
            <m:t>=</m:t>
          </m:r>
          <m:r>
            <m:t>r</m:t>
          </m:r>
          <m:r>
            <m:rPr>
              <m:sty m:val="p"/>
            </m:rPr>
            <m:t>/</m:t>
          </m:r>
          <m:r>
            <m:t>2</m:t>
          </m:r>
          <m:r>
            <m:rPr>
              <m:sty m:val="p"/>
            </m:rPr>
            <m:t>+</m:t>
          </m:r>
          <m:r>
            <m:rPr>
              <m:sty m:val="p"/>
            </m:rPr>
            <m:t>Φ</m:t>
          </m:r>
          <m:r>
            <m:rPr>
              <m:sty m:val="p"/>
            </m:rPr>
            <m:t>(</m:t>
          </m:r>
          <m:r>
            <m:t>r</m:t>
          </m:r>
          <m:r>
            <m:rPr>
              <m:sty m:val="p"/>
            </m:rPr>
            <m:t>,</m:t>
          </m:r>
          <m:r>
            <m:t>u</m:t>
          </m:r>
          <m:r>
            <m:rPr>
              <m:sty m:val="p"/>
            </m:rPr>
            <m:t>)</m:t>
          </m:r>
          <m:r>
            <m:rPr>
              <m:sty m:val="p"/>
            </m:rPr>
            <m:t>[</m:t>
          </m:r>
          <m:sSup>
            <m:e>
              <m:r>
                <m:t>r</m:t>
              </m:r>
            </m:e>
            <m:sup>
              <m:r>
                <m:t>2</m:t>
              </m:r>
            </m:sup>
          </m:sSup>
          <m:r>
            <m:t>B</m:t>
          </m:r>
          <m:r>
            <m:rPr>
              <m:sty m:val="p"/>
            </m:rPr>
            <m:t>(</m:t>
          </m:r>
          <m:r>
            <m:t>r</m:t>
          </m:r>
          <m:r>
            <m:rPr>
              <m:sty m:val="p"/>
            </m:rPr>
            <m:t>,</m:t>
          </m:r>
          <m:r>
            <m:t>u</m:t>
          </m:r>
          <m:r>
            <m:rPr>
              <m:sty m:val="p"/>
            </m:rPr>
            <m:t>)</m:t>
          </m:r>
          <m:r>
            <m:rPr>
              <m:sty m:val="p"/>
            </m:rPr>
            <m:t>+</m:t>
          </m:r>
          <m:r>
            <m:t>u</m:t>
          </m:r>
          <m:r>
            <m:t>r</m:t>
          </m:r>
          <m:r>
            <m:t>C</m:t>
          </m:r>
          <m:r>
            <m:rPr>
              <m:sty m:val="p"/>
            </m:rPr>
            <m:t>(</m:t>
          </m:r>
          <m:r>
            <m:t>r</m:t>
          </m:r>
          <m:r>
            <m:rPr>
              <m:sty m:val="p"/>
            </m:rPr>
            <m:t>,</m:t>
          </m:r>
          <m:r>
            <m:t>u</m:t>
          </m:r>
          <m:r>
            <m:rPr>
              <m:sty m:val="p"/>
            </m:rPr>
            <m:t>)</m:t>
          </m:r>
          <m:r>
            <m:rPr>
              <m:sty m:val="p"/>
            </m:rPr>
            <m:t>]</m:t>
          </m:r>
          <m:r>
            <m:rPr>
              <m:sty m:val="p"/>
            </m:rPr>
            <m:t>,</m:t>
          </m:r>
          <m:r>
            <m:t>  </m:t>
          </m:r>
          <m:r>
            <m:t>E</m:t>
          </m:r>
          <m:r>
            <m:rPr>
              <m:sty m:val="p"/>
            </m:rPr>
            <m:t>=</m:t>
          </m:r>
          <m:r>
            <m:rPr>
              <m:sty m:val="p"/>
            </m:rPr>
            <m:t>(</m:t>
          </m:r>
          <m:r>
            <m:t>z</m:t>
          </m:r>
          <m:r>
            <m:rPr>
              <m:sty m:val="p"/>
            </m:rPr>
            <m:t>+</m:t>
          </m:r>
          <m:r>
            <m:t>g</m:t>
          </m:r>
          <m:sSup>
            <m:e>
              <m:r>
                <m:rPr>
                  <m:sty m:val="p"/>
                </m:rPr>
                <m:t>)</m:t>
              </m:r>
            </m:e>
            <m:sup>
              <m:r>
                <m:t>2</m:t>
              </m:r>
            </m:sup>
          </m:sSup>
          <m:r>
            <m:rPr>
              <m:sty m:val="p"/>
            </m:rPr>
            <m:t>−</m:t>
          </m:r>
          <m:r>
            <m:t>p</m:t>
          </m:r>
          <m:r>
            <m:rPr>
              <m:sty m:val="p"/>
            </m:rPr>
            <m:t>.</m:t>
          </m:r>
        </m:oMath>
      </m:oMathPara>
    </w:p>
    <w:p>
      <w:pPr>
        <w:pStyle w:val="FirstParagraph"/>
        <w:widowControl/>
      </w:pPr>
      <w:r>
        <w:t xml:space="preserve">The cutoff equals one in the stated safe core and zero outside the stated outer rectangle. Targets change according to the original fixed rules; the next source is calculated from the actual preceding</w:t>
      </w:r>
      <w:r>
        <w:t xml:space="preserve"> </w:t>
      </w:r>
      <m:oMath>
        <m:r>
          <m:t>z</m:t>
        </m:r>
      </m:oMath>
      <w:r>
        <w:t xml:space="preserve">, not an ideal solution. The operator template, source families, feedback and subsequent duties are supplied by the investigators. Numerical validity is not a certificate of complete PDE admissibility.</w:t>
      </w:r>
    </w:p>
    <w:p>
      <w:pPr>
        <w:pStyle w:val="BodyText"/>
        <w:widowControl/>
      </w:pPr>
      <w:r>
        <w:t xml:space="preserve">The present audit rereads all terminal programme and field files, checks the arithmetic of 18,720 terminal rows, matches 40 inherited arrays to their actual predecessor output strings and hashes, and evaluates nine displayed programme/coordinate combinations using a separate restricted expression interpreter at 100-digit precision. Stored 70-digit rounding is retained as recorded, not replaced by exact zero. The audit entry point is</w:t>
      </w:r>
      <w:r>
        <w:t xml:space="preserve"> </w:t>
      </w:r>
      <w:r>
        <w:rPr>
          <w:rStyle w:val="VerbatimChar"/>
        </w:rPr>
        <w:t xml:space="preserve">REPRODUCIBILITY/successor/audit_successor.py</w:t>
      </w:r>
      <w:r>
        <w:t xml:space="preserve">; its raw export and source-mapped reanalysis are separated.</w:t>
      </w:r>
    </w:p>
    <w:bookmarkEnd w:id="43"/>
    <w:bookmarkStart w:id="44" w:name="X3017c2e84bec05d87f93b1aa3eb62871005cd02"/>
    <w:p>
      <w:pPr>
        <w:pStyle w:val="Heading3"/>
        <w:keepNext/>
        <w:widowControl/>
      </w:pPr>
      <w:r>
        <w:rPr>
          <w:rFonts w:ascii="Times New Roman" w:hAnsi="Times New Roman"/>
          <w:b/>
          <w:color w:val="000000"/>
          <w:sz w:val="24"/>
        </w:rPr>
        <w:t xml:space="preserve">9.2 All original comparisons and null information</w:t>
      </w:r>
    </w:p>
    <w:p>
      <w:pPr>
        <w:pStyle w:val="FirstParagraph"/>
        <w:widowControl/>
      </w:pPr>
      <w:r>
        <w:t xml:space="preserve">The following differences are the original family-wise mean absolute residual in treatment minus control, after adaptation. The assistance treatment is structural feedback rather than ordinary numerical feedback; adoption compares the actual revised and initial programmes at the same first-continuation state. All planned formation episodes are in the denominators. Rows are repeated measurements, not independent histories.</w:t>
      </w:r>
    </w:p>
    <w:p>
      <w:pPr>
        <w:pStyle w:val="BodyText"/>
        <w:keepNext/>
        <w:widowControl/>
      </w:pPr>
      <w:r>
        <w:rPr>
          <w:b/>
          <w:bCs/>
        </w:rPr>
        <w:t xml:space="preserve">Supplementary Table 8 | Original complete-denominator contrasts.</w:t>
      </w:r>
    </w:p>
    <w:tbl>
      <w:tblPr>
        <w:tblStyle w:val="Table"/>
        <w:tblW w:type="pct" w:w="5000"/>
        <w:tblLayout w:type="fixed"/>
        <w:tblLook w:firstRow="1" w:lastRow="0" w:firstColumn="0" w:lastColumn="0" w:noHBand="0" w:noVBand="0" w:val="0020"/>
      </w:tblPr>
      <w:tblGrid>
        <w:gridCol w:w="1584"/>
        <w:gridCol w:w="2112"/>
        <w:gridCol w:w="2112"/>
        <w:gridCol w:w="2112"/>
      </w:tblGrid>
      <w:tr>
        <w:trPr>
          <w:tblHeader w:val="on"/>
          <w:cantSplit/>
          <w:tblHeader/>
        </w:trPr>
        <w:tc>
          <w:tcPr>
            <w:tcW w:type="dxa" w:w="2324"/>
            <w:shd w:fill="EEEEEE"/>
          </w:tcPr>
          <w:p>
            <w:pPr>
              <w:pStyle w:val="Compact"/>
              <w:spacing w:line="252" w:lineRule="auto" w:after="80" w:before="60"/>
            </w:pPr>
            <w:r>
              <w:rPr>
                <w:rFonts w:ascii="Times New Roman" w:hAnsi="Times New Roman"/>
                <w:b/>
                <w:sz w:val="18"/>
              </w:rPr>
              <w:t xml:space="preserve">Source family</w:t>
            </w:r>
          </w:p>
        </w:tc>
        <w:tc>
          <w:tcPr>
            <w:tcW w:type="dxa" w:w="2324"/>
            <w:shd w:fill="EEEEEE"/>
          </w:tcPr>
          <w:p>
            <w:pPr>
              <w:pStyle w:val="Compact"/>
              <w:spacing w:line="252" w:lineRule="auto" w:after="80" w:before="60"/>
              <w:jc w:val="right"/>
            </w:pPr>
            <w:r>
              <w:rPr>
                <w:rFonts w:ascii="Times New Roman" w:hAnsi="Times New Roman"/>
                <w:b/>
                <w:sz w:val="18"/>
              </w:rPr>
              <w:t xml:space="preserve">Assistance: first continuation</w:t>
            </w:r>
          </w:p>
        </w:tc>
        <w:tc>
          <w:tcPr>
            <w:tcW w:type="dxa" w:w="2324"/>
            <w:shd w:fill="EEEEEE"/>
          </w:tcPr>
          <w:p>
            <w:pPr>
              <w:pStyle w:val="Compact"/>
              <w:spacing w:line="252" w:lineRule="auto" w:after="80" w:before="60"/>
              <w:jc w:val="right"/>
            </w:pPr>
            <w:r>
              <w:rPr>
                <w:rFonts w:ascii="Times New Roman" w:hAnsi="Times New Roman"/>
                <w:b/>
                <w:sz w:val="18"/>
              </w:rPr>
              <w:t xml:space="preserve">Assistance: second continuation, supplementary view</w:t>
            </w:r>
          </w:p>
        </w:tc>
        <w:tc>
          <w:tcPr>
            <w:tcW w:type="dxa" w:w="2324"/>
            <w:shd w:fill="EEEEEE"/>
          </w:tcPr>
          <w:p>
            <w:pPr>
              <w:pStyle w:val="Compact"/>
              <w:spacing w:line="252" w:lineRule="auto" w:after="80" w:before="60"/>
              <w:jc w:val="right"/>
            </w:pPr>
            <w:r>
              <w:rPr>
                <w:rFonts w:ascii="Times New Roman" w:hAnsi="Times New Roman"/>
                <w:b/>
                <w:sz w:val="18"/>
              </w:rPr>
              <w:t xml:space="preserve">Adoption: second continuation</w:t>
            </w:r>
          </w:p>
        </w:tc>
      </w:tr>
      <w:tr>
        <w:trPr>
          <w:cantSplit/>
        </w:trPr>
        <w:tc>
          <w:tcPr>
            <w:tcW w:type="dxa" w:w="2324"/>
          </w:tcPr>
          <w:p>
            <w:pPr>
              <w:pStyle w:val="Compact"/>
              <w:spacing w:line="252" w:lineRule="auto" w:after="80" w:before="60"/>
            </w:pPr>
            <w:r>
              <w:rPr>
                <w:rFonts w:ascii="Times New Roman" w:hAnsi="Times New Roman"/>
                <w:sz w:val="18"/>
              </w:rPr>
              <w:t xml:space="preserve">ZERO</w:t>
            </w:r>
          </w:p>
        </w:tc>
        <w:tc>
          <w:tcPr>
            <w:tcW w:type="dxa" w:w="2324"/>
          </w:tcPr>
          <w:p>
            <w:pPr>
              <w:pStyle w:val="Compact"/>
              <w:spacing w:line="252" w:lineRule="auto" w:after="80" w:before="60"/>
              <w:jc w:val="right"/>
            </w:pPr>
            <w:r>
              <w:rPr>
                <w:rFonts w:ascii="Times New Roman" w:hAnsi="Times New Roman"/>
                <w:sz w:val="18"/>
              </w:rPr>
              <w:t xml:space="preserve">0</w:t>
            </w:r>
          </w:p>
        </w:tc>
        <w:tc>
          <w:tcPr>
            <w:tcW w:type="dxa" w:w="2324"/>
          </w:tcPr>
          <w:p>
            <w:pPr>
              <w:pStyle w:val="Compact"/>
              <w:spacing w:line="252" w:lineRule="auto" w:after="80" w:before="60"/>
              <w:jc w:val="right"/>
            </w:pPr>
            <w:r>
              <w:rPr>
                <w:rFonts w:ascii="Times New Roman" w:hAnsi="Times New Roman"/>
                <w:sz w:val="18"/>
              </w:rPr>
              <w:t xml:space="preserve">0</w:t>
            </w:r>
          </w:p>
        </w:tc>
        <w:tc>
          <w:tcPr>
            <w:tcW w:type="dxa" w:w="2324"/>
          </w:tcPr>
          <w:p>
            <w:pPr>
              <w:pStyle w:val="Compact"/>
              <w:spacing w:line="252" w:lineRule="auto" w:after="80" w:before="60"/>
              <w:jc w:val="right"/>
            </w:pPr>
            <w:r>
              <w:rPr>
                <w:rFonts w:ascii="Times New Roman" w:hAnsi="Times New Roman"/>
                <w:sz w:val="18"/>
              </w:rPr>
              <w:t xml:space="preserve">0</w:t>
            </w:r>
          </w:p>
        </w:tc>
      </w:tr>
      <w:tr>
        <w:trPr>
          <w:cantSplit/>
        </w:trPr>
        <w:tc>
          <w:tcPr>
            <w:tcW w:type="dxa" w:w="2324"/>
          </w:tcPr>
          <w:p>
            <w:pPr>
              <w:pStyle w:val="Compact"/>
              <w:spacing w:line="252" w:lineRule="auto" w:after="80" w:before="60"/>
            </w:pPr>
            <w:r>
              <w:rPr>
                <w:rFonts w:ascii="Times New Roman" w:hAnsi="Times New Roman"/>
                <w:sz w:val="18"/>
              </w:rPr>
              <w:t xml:space="preserve">UNIFORM</w:t>
            </w:r>
          </w:p>
        </w:tc>
        <w:tc>
          <w:tcPr>
            <w:tcW w:type="dxa" w:w="2324"/>
          </w:tcPr>
          <w:p>
            <w:pPr>
              <w:pStyle w:val="Compact"/>
              <w:spacing w:line="252" w:lineRule="auto" w:after="80" w:before="60"/>
              <w:jc w:val="right"/>
            </w:pPr>
            <w:r>
              <w:rPr>
                <w:rFonts w:ascii="Times New Roman" w:hAnsi="Times New Roman"/>
                <w:sz w:val="18"/>
              </w:rPr>
              <w:t xml:space="preserve">4.362002266e-06</w:t>
            </w:r>
          </w:p>
        </w:tc>
        <w:tc>
          <w:tcPr>
            <w:tcW w:type="dxa" w:w="2324"/>
          </w:tcPr>
          <w:p>
            <w:pPr>
              <w:pStyle w:val="Compact"/>
              <w:spacing w:line="252" w:lineRule="auto" w:after="80" w:before="60"/>
              <w:jc w:val="right"/>
            </w:pPr>
            <w:r>
              <w:rPr>
                <w:rFonts w:ascii="Times New Roman" w:hAnsi="Times New Roman"/>
                <w:sz w:val="18"/>
              </w:rPr>
              <w:t xml:space="preserve">-7.74210004e-11</w:t>
            </w:r>
          </w:p>
        </w:tc>
        <w:tc>
          <w:tcPr>
            <w:tcW w:type="dxa" w:w="2324"/>
          </w:tcPr>
          <w:p>
            <w:pPr>
              <w:pStyle w:val="Compact"/>
              <w:spacing w:line="252" w:lineRule="auto" w:after="80" w:before="60"/>
              <w:jc w:val="right"/>
            </w:pPr>
            <w:r>
              <w:rPr>
                <w:rFonts w:ascii="Times New Roman" w:hAnsi="Times New Roman"/>
                <w:sz w:val="18"/>
              </w:rPr>
              <w:t xml:space="preserve">-3.43616067e-08</w:t>
            </w:r>
          </w:p>
        </w:tc>
      </w:tr>
      <w:tr>
        <w:trPr>
          <w:cantSplit/>
        </w:trPr>
        <w:tc>
          <w:tcPr>
            <w:tcW w:type="dxa" w:w="2324"/>
          </w:tcPr>
          <w:p>
            <w:pPr>
              <w:pStyle w:val="Compact"/>
              <w:spacing w:line="252" w:lineRule="auto" w:after="80" w:before="60"/>
            </w:pPr>
            <w:r>
              <w:rPr>
                <w:rFonts w:ascii="Times New Roman" w:hAnsi="Times New Roman"/>
                <w:sz w:val="18"/>
              </w:rPr>
              <w:t xml:space="preserve">LEFT</w:t>
            </w:r>
          </w:p>
        </w:tc>
        <w:tc>
          <w:tcPr>
            <w:tcW w:type="dxa" w:w="2324"/>
          </w:tcPr>
          <w:p>
            <w:pPr>
              <w:pStyle w:val="Compact"/>
              <w:spacing w:line="252" w:lineRule="auto" w:after="80" w:before="60"/>
              <w:jc w:val="right"/>
            </w:pPr>
            <w:r>
              <w:rPr>
                <w:rFonts w:ascii="Times New Roman" w:hAnsi="Times New Roman"/>
                <w:sz w:val="18"/>
              </w:rPr>
              <w:t xml:space="preserve">-224.6653146</w:t>
            </w:r>
          </w:p>
        </w:tc>
        <w:tc>
          <w:tcPr>
            <w:tcW w:type="dxa" w:w="2324"/>
          </w:tcPr>
          <w:p>
            <w:pPr>
              <w:pStyle w:val="Compact"/>
              <w:spacing w:line="252" w:lineRule="auto" w:after="80" w:before="60"/>
              <w:jc w:val="right"/>
            </w:pPr>
            <w:r>
              <w:rPr>
                <w:rFonts w:ascii="Times New Roman" w:hAnsi="Times New Roman"/>
                <w:sz w:val="18"/>
              </w:rPr>
              <w:t xml:space="preserve">-1020169.24</w:t>
            </w:r>
          </w:p>
        </w:tc>
        <w:tc>
          <w:tcPr>
            <w:tcW w:type="dxa" w:w="2324"/>
          </w:tcPr>
          <w:p>
            <w:pPr>
              <w:pStyle w:val="Compact"/>
              <w:spacing w:line="252" w:lineRule="auto" w:after="80" w:before="60"/>
              <w:jc w:val="right"/>
            </w:pPr>
            <w:r>
              <w:rPr>
                <w:rFonts w:ascii="Times New Roman" w:hAnsi="Times New Roman"/>
                <w:sz w:val="18"/>
              </w:rPr>
              <w:t xml:space="preserve">1020169.24</w:t>
            </w:r>
          </w:p>
        </w:tc>
      </w:tr>
      <w:tr>
        <w:trPr>
          <w:cantSplit/>
        </w:trPr>
        <w:tc>
          <w:tcPr>
            <w:tcW w:type="dxa" w:w="2324"/>
          </w:tcPr>
          <w:p>
            <w:pPr>
              <w:pStyle w:val="Compact"/>
              <w:spacing w:line="252" w:lineRule="auto" w:after="80" w:before="60"/>
            </w:pPr>
            <w:r>
              <w:rPr>
                <w:rFonts w:ascii="Times New Roman" w:hAnsi="Times New Roman"/>
                <w:sz w:val="18"/>
              </w:rPr>
              <w:t xml:space="preserve">RIGHT</w:t>
            </w:r>
          </w:p>
        </w:tc>
        <w:tc>
          <w:tcPr>
            <w:tcW w:type="dxa" w:w="2324"/>
          </w:tcPr>
          <w:p>
            <w:pPr>
              <w:pStyle w:val="Compact"/>
              <w:spacing w:line="252" w:lineRule="auto" w:after="80" w:before="60"/>
              <w:jc w:val="right"/>
            </w:pPr>
            <w:r>
              <w:rPr>
                <w:rFonts w:ascii="Times New Roman" w:hAnsi="Times New Roman"/>
                <w:sz w:val="18"/>
              </w:rPr>
              <w:t xml:space="preserve">-224.6653322</w:t>
            </w:r>
          </w:p>
        </w:tc>
        <w:tc>
          <w:tcPr>
            <w:tcW w:type="dxa" w:w="2324"/>
          </w:tcPr>
          <w:p>
            <w:pPr>
              <w:pStyle w:val="Compact"/>
              <w:spacing w:line="252" w:lineRule="auto" w:after="80" w:before="60"/>
              <w:jc w:val="right"/>
            </w:pPr>
            <w:r>
              <w:rPr>
                <w:rFonts w:ascii="Times New Roman" w:hAnsi="Times New Roman"/>
                <w:sz w:val="18"/>
              </w:rPr>
              <w:t xml:space="preserve">-1020169.655</w:t>
            </w:r>
          </w:p>
        </w:tc>
        <w:tc>
          <w:tcPr>
            <w:tcW w:type="dxa" w:w="2324"/>
          </w:tcPr>
          <w:p>
            <w:pPr>
              <w:pStyle w:val="Compact"/>
              <w:spacing w:line="252" w:lineRule="auto" w:after="80" w:before="60"/>
              <w:jc w:val="right"/>
            </w:pPr>
            <w:r>
              <w:rPr>
                <w:rFonts w:ascii="Times New Roman" w:hAnsi="Times New Roman"/>
                <w:sz w:val="18"/>
              </w:rPr>
              <w:t xml:space="preserve">1020169.655</w:t>
            </w:r>
          </w:p>
        </w:tc>
      </w:tr>
      <w:tr>
        <w:trPr>
          <w:cantSplit/>
        </w:trPr>
        <w:tc>
          <w:tcPr>
            <w:tcW w:type="dxa" w:w="2324"/>
          </w:tcPr>
          <w:p>
            <w:pPr>
              <w:pStyle w:val="Compact"/>
              <w:spacing w:line="252" w:lineRule="auto" w:after="80" w:before="60"/>
            </w:pPr>
            <w:r>
              <w:rPr>
                <w:rFonts w:ascii="Times New Roman" w:hAnsi="Times New Roman"/>
                <w:sz w:val="18"/>
              </w:rPr>
              <w:t xml:space="preserve">BOTH</w:t>
            </w:r>
          </w:p>
        </w:tc>
        <w:tc>
          <w:tcPr>
            <w:tcW w:type="dxa" w:w="2324"/>
          </w:tcPr>
          <w:p>
            <w:pPr>
              <w:pStyle w:val="Compact"/>
              <w:spacing w:line="252" w:lineRule="auto" w:after="80" w:before="60"/>
              <w:jc w:val="right"/>
            </w:pPr>
            <w:r>
              <w:rPr>
                <w:rFonts w:ascii="Times New Roman" w:hAnsi="Times New Roman"/>
                <w:sz w:val="18"/>
              </w:rPr>
              <w:t xml:space="preserve">-282.4465954</w:t>
            </w:r>
          </w:p>
        </w:tc>
        <w:tc>
          <w:tcPr>
            <w:tcW w:type="dxa" w:w="2324"/>
          </w:tcPr>
          <w:p>
            <w:pPr>
              <w:pStyle w:val="Compact"/>
              <w:spacing w:line="252" w:lineRule="auto" w:after="80" w:before="60"/>
              <w:jc w:val="right"/>
            </w:pPr>
            <w:r>
              <w:rPr>
                <w:rFonts w:ascii="Times New Roman" w:hAnsi="Times New Roman"/>
                <w:sz w:val="18"/>
              </w:rPr>
              <w:t xml:space="preserve">-1497107.113</w:t>
            </w:r>
          </w:p>
        </w:tc>
        <w:tc>
          <w:tcPr>
            <w:tcW w:type="dxa" w:w="2324"/>
          </w:tcPr>
          <w:p>
            <w:pPr>
              <w:pStyle w:val="Compact"/>
              <w:spacing w:line="252" w:lineRule="auto" w:after="80" w:before="60"/>
              <w:jc w:val="right"/>
            </w:pPr>
            <w:r>
              <w:rPr>
                <w:rFonts w:ascii="Times New Roman" w:hAnsi="Times New Roman"/>
                <w:sz w:val="18"/>
              </w:rPr>
              <w:t xml:space="preserve">1497107.113</w:t>
            </w:r>
          </w:p>
        </w:tc>
      </w:tr>
    </w:tbl>
    <w:p>
      <w:pPr>
        <w:pStyle w:val="BodyText"/>
        <w:widowControl/>
      </w:pPr>
      <w:r>
        <w:t xml:space="preserve">Assistance includes 144 paired positions per source family from four formation episodes and two archived ancestors; adoption includes 288 from eight new episodes. A negative difference denotes a smaller value of this original unweighted observation, not universally better scientific performance. Zero-source outcomes remain zero. In the adoption study, initial and revised expressions were identical in seven of eight episodes. Those episodes remain included. In the single different-version episode, the initial-version branch could and did recover the accessible revised expression in its draft, before its final visible response was empty.</w:t>
      </w:r>
    </w:p>
    <w:p>
      <w:pPr>
        <w:pStyle w:val="BodyText"/>
        <w:widowControl/>
      </w:pPr>
      <w:r>
        <w:t xml:space="preserve">There is one empty final programme in assistance and four in adoption. All four adoption cases already had executable drafts; the protocol used only the final response to decide whether to apply the new update. The final-response semantics are preserved rather than retrospectively replacing empty responses with drafts. Outside the cutoff, all valid programmes apply the same linear increment while absent programmes apply none:</w:t>
      </w:r>
    </w:p>
    <w:p>
      <w:pPr>
        <w:pStyle w:val="BodyText"/>
        <w:widowControl/>
      </w:pPr>
      <m:oMathPara>
        <m:oMathParaPr>
          <m:jc m:val="center"/>
        </m:oMathParaPr>
        <m:oMath>
          <m:sSub>
            <m:e>
              <m:r>
                <m:t>E</m:t>
              </m:r>
            </m:e>
            <m:sub>
              <m:r>
                <m:rPr>
                  <m:sty m:val="p"/>
                </m:rPr>
                <m:t>l</m:t>
              </m:r>
              <m:r>
                <m:rPr>
                  <m:sty m:val="p"/>
                </m:rPr>
                <m:t>i</m:t>
              </m:r>
              <m:r>
                <m:rPr>
                  <m:sty m:val="p"/>
                </m:rPr>
                <m:t>n</m:t>
              </m:r>
              <m:r>
                <m:rPr>
                  <m:sty m:val="p"/>
                </m:rPr>
                <m:t>e</m:t>
              </m:r>
              <m:r>
                <m:rPr>
                  <m:sty m:val="p"/>
                </m:rPr>
                <m:t>a</m:t>
              </m:r>
              <m:r>
                <m:rPr>
                  <m:sty m:val="p"/>
                </m:rPr>
                <m:t>r</m:t>
              </m:r>
            </m:sub>
          </m:sSub>
          <m:r>
            <m:rPr>
              <m:sty m:val="p"/>
            </m:rPr>
            <m:t>=</m:t>
          </m:r>
          <m:r>
            <m:t>u</m:t>
          </m:r>
          <m:r>
            <m:t>r</m:t>
          </m:r>
          <m:r>
            <m:rPr>
              <m:sty m:val="p"/>
            </m:rPr>
            <m:t>+</m:t>
          </m:r>
          <m:sSup>
            <m:e>
              <m:r>
                <m:t>r</m:t>
              </m:r>
            </m:e>
            <m:sup>
              <m:r>
                <m:t>2</m:t>
              </m:r>
            </m:sup>
          </m:sSup>
          <m:r>
            <m:rPr>
              <m:sty m:val="p"/>
            </m:rPr>
            <m:t>/</m:t>
          </m:r>
          <m:r>
            <m:t>4</m:t>
          </m:r>
          <m:r>
            <m:rPr>
              <m:sty m:val="p"/>
            </m:rPr>
            <m:t>,</m:t>
          </m:r>
          <m:r>
            <m:t>  </m:t>
          </m:r>
          <m:sSub>
            <m:e>
              <m:r>
                <m:t>E</m:t>
              </m:r>
            </m:e>
            <m:sub>
              <m:r>
                <m:rPr>
                  <m:nor/>
                  <m:sty m:val="p"/>
                </m:rPr>
                <m:t>no update</m:t>
              </m:r>
            </m:sub>
          </m:sSub>
          <m:r>
            <m:rPr>
              <m:sty m:val="p"/>
            </m:rPr>
            <m:t>=</m:t>
          </m:r>
          <m:r>
            <m:rPr>
              <m:sty m:val="p"/>
            </m:rPr>
            <m:t>−</m:t>
          </m:r>
          <m:r>
            <m:t>r</m:t>
          </m:r>
          <m:r>
            <m:rPr>
              <m:sty m:val="p"/>
            </m:rPr>
            <m:t>,</m:t>
          </m:r>
        </m:oMath>
      </m:oMathPara>
    </w:p>
    <w:p>
      <w:pPr>
        <w:pStyle w:val="FirstParagraph"/>
        <w:widowControl/>
      </w:pPr>
      <m:oMathPara>
        <m:oMathParaPr>
          <m:jc m:val="center"/>
        </m:oMathParaPr>
        <m:oMath>
          <m:sSub>
            <m:e>
              <m:r>
                <m:t>E</m:t>
              </m:r>
            </m:e>
            <m:sub>
              <m:r>
                <m:rPr>
                  <m:sty m:val="p"/>
                </m:rPr>
                <m:t>l</m:t>
              </m:r>
              <m:r>
                <m:rPr>
                  <m:sty m:val="p"/>
                </m:rPr>
                <m:t>i</m:t>
              </m:r>
              <m:r>
                <m:rPr>
                  <m:sty m:val="p"/>
                </m:rPr>
                <m:t>n</m:t>
              </m:r>
              <m:r>
                <m:rPr>
                  <m:sty m:val="p"/>
                </m:rPr>
                <m:t>e</m:t>
              </m:r>
              <m:r>
                <m:rPr>
                  <m:sty m:val="p"/>
                </m:rPr>
                <m:t>a</m:t>
              </m:r>
              <m:r>
                <m:rPr>
                  <m:sty m:val="p"/>
                </m:rPr>
                <m:t>r</m:t>
              </m:r>
            </m:sub>
          </m:sSub>
          <m:r>
            <m:rPr>
              <m:sty m:val="p"/>
            </m:rPr>
            <m:t>−</m:t>
          </m:r>
          <m:sSub>
            <m:e>
              <m:r>
                <m:t>E</m:t>
              </m:r>
            </m:e>
            <m:sub>
              <m:r>
                <m:rPr>
                  <m:nor/>
                  <m:sty m:val="p"/>
                </m:rPr>
                <m:t>no update</m:t>
              </m:r>
            </m:sub>
          </m:sSub>
          <m:r>
            <m:rPr>
              <m:sty m:val="p"/>
            </m:rPr>
            <m:t>=</m:t>
          </m:r>
          <m:r>
            <m:t>z</m:t>
          </m:r>
          <m:r>
            <m:t>r</m:t>
          </m:r>
          <m:r>
            <m:rPr>
              <m:sty m:val="p"/>
            </m:rPr>
            <m:t>+</m:t>
          </m:r>
          <m:sSup>
            <m:e>
              <m:r>
                <m:t>r</m:t>
              </m:r>
            </m:e>
            <m:sup>
              <m:r>
                <m:t>2</m:t>
              </m:r>
            </m:sup>
          </m:sSup>
          <m:r>
            <m:rPr>
              <m:sty m:val="p"/>
            </m:rPr>
            <m:t>/</m:t>
          </m:r>
          <m:r>
            <m:t>4</m:t>
          </m:r>
          <m:r>
            <m:rPr>
              <m:sty m:val="p"/>
            </m:rPr>
            <m:t>.</m:t>
          </m:r>
        </m:oMath>
      </m:oMathPara>
    </w:p>
    <w:p>
      <w:pPr>
        <w:pStyle w:val="FirstParagraph"/>
        <w:widowControl/>
      </w:pPr>
      <w:r>
        <w:t xml:space="preserve">Consequently, extreme outer positions can dominate differences without depending on the submitted</w:t>
      </w:r>
      <w:r>
        <w:t xml:space="preserve"> </w:t>
      </w:r>
      <m:oMath>
        <m:r>
          <m:t>B</m:t>
        </m:r>
        <m:r>
          <m:rPr>
            <m:sty m:val="p"/>
          </m:rPr>
          <m:t>,</m:t>
        </m:r>
        <m:r>
          <m:t>C</m:t>
        </m:r>
      </m:oMath>
      <w:r>
        <w:t xml:space="preserve">. At one original position, repeated outer updates take the amplitude approximately through</w:t>
      </w:r>
      <w:r>
        <w:t xml:space="preserve"> </w:t>
      </w:r>
      <m:oMath>
        <m:r>
          <m:t>1</m:t>
        </m:r>
        <m:r>
          <m:rPr>
            <m:sty m:val="p"/>
          </m:rPr>
          <m:t>,</m:t>
        </m:r>
        <m:r>
          <m:rPr>
            <m:sty m:val="p"/>
          </m:rPr>
          <m:t>−</m:t>
        </m:r>
        <m:r>
          <m:t>15</m:t>
        </m:r>
        <m:r>
          <m:rPr>
            <m:sty m:val="p"/>
          </m:rPr>
          <m:t>,</m:t>
        </m:r>
        <m:r>
          <m:rPr>
            <m:sty m:val="p"/>
          </m:rPr>
          <m:t>−</m:t>
        </m:r>
        <m:r>
          <m:t>143</m:t>
        </m:r>
        <m:r>
          <m:rPr>
            <m:sty m:val="p"/>
          </m:rPr>
          <m:t>,</m:t>
        </m:r>
        <m:r>
          <m:rPr>
            <m:sty m:val="p"/>
          </m:rPr>
          <m:t>−</m:t>
        </m:r>
        <m:r>
          <m:t>10383</m:t>
        </m:r>
      </m:oMath>
      <w:r>
        <w:t xml:space="preserve">. That is an execution property of this finite workbench, not a physical NS singularity. It explains why the large family means are not evidence of large mathematical assistance benefits or of harmful revised knowledge. No empty case is removed to compute a preferred causal estimate, and no alternative weighting replaces the original primary observation. The record therefore establishes neither a stable average assistance benefit nor a stable adoption advantage.</w:t>
      </w:r>
    </w:p>
    <w:bookmarkEnd w:id="44"/>
    <w:bookmarkStart w:id="45" w:name="X54f8196d74c5379a800fdad1e3423420b244241"/>
    <w:p>
      <w:pPr>
        <w:pStyle w:val="Heading3"/>
        <w:keepNext/>
        <w:widowControl/>
      </w:pPr>
      <w:r>
        <w:rPr>
          <w:rFonts w:ascii="Times New Roman" w:hAnsi="Times New Roman"/>
          <w:b/>
          <w:color w:val="000000"/>
          <w:sz w:val="24"/>
        </w:rPr>
        <w:t xml:space="preserve">9.3 First actual revision: preserving a method, changing its use</w:t>
      </w:r>
    </w:p>
    <w:p>
      <w:pPr>
        <w:pStyle w:val="FirstParagraph"/>
        <w:widowControl/>
      </w:pPr>
      <w:r>
        <w:t xml:space="preserve">The following trace was selected after inspection as an explanatory example, not a confirmatory unit. Source identifiers are assistance P00, first continuation slot 0 and its actual successor. The existing programme uses</w:t>
      </w:r>
    </w:p>
    <w:p>
      <w:pPr>
        <w:pStyle w:val="BodyText"/>
        <w:widowControl/>
      </w:pPr>
      <m:oMathPara>
        <m:oMathParaPr>
          <m:jc m:val="center"/>
        </m:oMathParaPr>
        <m:oMath>
          <m:sSub>
            <m:e>
              <m:r>
                <m:t>B</m:t>
              </m:r>
            </m:e>
            <m:sub>
              <m:r>
                <m:t>0</m:t>
              </m:r>
            </m:sub>
          </m:sSub>
          <m:r>
            <m:rPr>
              <m:sty m:val="p"/>
            </m:rPr>
            <m:t>=</m:t>
          </m:r>
          <m:r>
            <m:rPr>
              <m:sty m:val="p"/>
            </m:rPr>
            <m:t>−</m:t>
          </m:r>
          <m:f>
            <m:fPr>
              <m:type m:val="bar"/>
            </m:fPr>
            <m:num>
              <m:r>
                <m:t>1</m:t>
              </m:r>
            </m:num>
            <m:den>
              <m:r>
                <m:t>2</m:t>
              </m:r>
              <m:r>
                <m:rPr>
                  <m:sty m:val="p"/>
                </m:rPr>
                <m:t>(</m:t>
              </m:r>
              <m:r>
                <m:t>1</m:t>
              </m:r>
              <m:r>
                <m:rPr>
                  <m:sty m:val="p"/>
                </m:rPr>
                <m:t>+</m:t>
              </m:r>
              <m:rad>
                <m:radPr>
                  <m:degHide m:val="on"/>
                </m:radPr>
                <m:deg/>
                <m:e>
                  <m:r>
                    <m:t>1</m:t>
                  </m:r>
                  <m:r>
                    <m:rPr>
                      <m:sty m:val="p"/>
                    </m:rPr>
                    <m:t>+</m:t>
                  </m:r>
                  <m:r>
                    <m:t>r</m:t>
                  </m:r>
                </m:e>
              </m:rad>
              <m:sSup>
                <m:e>
                  <m:r>
                    <m:rPr>
                      <m:sty m:val="p"/>
                    </m:rPr>
                    <m:t>)</m:t>
                  </m:r>
                </m:e>
                <m:sup>
                  <m:r>
                    <m:t>2</m:t>
                  </m:r>
                </m:sup>
              </m:sSup>
            </m:den>
          </m:f>
          <m:r>
            <m:rPr>
              <m:sty m:val="p"/>
            </m:rPr>
            <m:t>,</m:t>
          </m:r>
          <m:r>
            <m:t>  </m:t>
          </m:r>
          <m:sSub>
            <m:e>
              <m:r>
                <m:t>C</m:t>
              </m:r>
            </m:e>
            <m:sub>
              <m:r>
                <m:t>0</m:t>
              </m:r>
            </m:sub>
          </m:sSub>
          <m:r>
            <m:rPr>
              <m:sty m:val="p"/>
            </m:rPr>
            <m:t>=</m:t>
          </m:r>
          <m:r>
            <m:t>0</m:t>
          </m:r>
          <m:r>
            <m:rPr>
              <m:sty m:val="p"/>
            </m:rPr>
            <m:t>.</m:t>
          </m:r>
        </m:oMath>
      </m:oMathPara>
    </w:p>
    <w:p>
      <w:pPr>
        <w:pStyle w:val="FirstParagraph"/>
        <w:widowControl/>
      </w:pPr>
      <w:r>
        <w:t xml:space="preserve">Let</w:t>
      </w:r>
      <w:r>
        <w:t xml:space="preserve"> </w:t>
      </w:r>
      <m:oMath>
        <m:r>
          <m:t>s</m:t>
        </m:r>
        <m:r>
          <m:rPr>
            <m:sty m:val="p"/>
          </m:rPr>
          <m:t>=</m:t>
        </m:r>
        <m:rad>
          <m:radPr>
            <m:degHide m:val="on"/>
          </m:radPr>
          <m:deg/>
          <m:e>
            <m:r>
              <m:t>1</m:t>
            </m:r>
            <m:r>
              <m:rPr>
                <m:sty m:val="p"/>
              </m:rPr>
              <m:t>+</m:t>
            </m:r>
            <m:r>
              <m:t>r</m:t>
            </m:r>
          </m:e>
        </m:rad>
      </m:oMath>
      <w:r>
        <w:t xml:space="preserve">. In the safe core,</w:t>
      </w:r>
      <w:r>
        <w:t xml:space="preserve"> </w:t>
      </w:r>
      <m:oMath>
        <m:sSub>
          <m:e>
            <m:r>
              <m:t>g</m:t>
            </m:r>
          </m:e>
          <m:sub>
            <m:r>
              <m:t>0</m:t>
            </m:r>
          </m:sub>
        </m:sSub>
        <m:r>
          <m:rPr>
            <m:sty m:val="p"/>
          </m:rPr>
          <m:t>=</m:t>
        </m:r>
        <m:r>
          <m:t>s</m:t>
        </m:r>
        <m:r>
          <m:rPr>
            <m:sty m:val="p"/>
          </m:rPr>
          <m:t>−</m:t>
        </m:r>
        <m:r>
          <m:t>1</m:t>
        </m:r>
      </m:oMath>
      <w:r>
        <w:t xml:space="preserve"> </w:t>
      </w:r>
      <w:r>
        <w:t xml:space="preserve">has zero pure residual, while</w:t>
      </w:r>
      <w:r>
        <w:t xml:space="preserve"> </w:t>
      </w:r>
      <m:oMath>
        <m:sSub>
          <m:e>
            <m:r>
              <m:t>E</m:t>
            </m:r>
          </m:e>
          <m:sub>
            <m:r>
              <m:t>0</m:t>
            </m:r>
          </m:sub>
        </m:sSub>
        <m:r>
          <m:rPr>
            <m:sty m:val="p"/>
          </m:rPr>
          <m:t>=</m:t>
        </m:r>
        <m:r>
          <m:t>2</m:t>
        </m:r>
        <m:r>
          <m:t>u</m:t>
        </m:r>
        <m:r>
          <m:rPr>
            <m:sty m:val="p"/>
          </m:rPr>
          <m:t>(</m:t>
        </m:r>
        <m:r>
          <m:t>s</m:t>
        </m:r>
        <m:r>
          <m:rPr>
            <m:sty m:val="p"/>
          </m:rPr>
          <m:t>−</m:t>
        </m:r>
        <m:r>
          <m:t>1</m:t>
        </m:r>
        <m:r>
          <m:rPr>
            <m:sty m:val="p"/>
          </m:rPr>
          <m:t>)</m:t>
        </m:r>
      </m:oMath>
      <w:r>
        <w:t xml:space="preserve">. The first generated revision is</w:t>
      </w:r>
    </w:p>
    <w:p>
      <w:pPr>
        <w:pStyle w:val="BodyText"/>
        <w:widowControl/>
      </w:pPr>
      <m:oMathPara>
        <m:oMathParaPr>
          <m:jc m:val="center"/>
        </m:oMathParaPr>
        <m:oMath>
          <m:sSub>
            <m:e>
              <m:r>
                <m:t>C</m:t>
              </m:r>
            </m:e>
            <m:sub>
              <m:r>
                <m:t>1</m:t>
              </m:r>
            </m:sub>
          </m:sSub>
          <m:r>
            <m:rPr>
              <m:sty m:val="p"/>
            </m:rPr>
            <m:t>=</m:t>
          </m:r>
          <m:r>
            <m:rPr>
              <m:sty m:val="p"/>
            </m:rPr>
            <m:t>−</m:t>
          </m:r>
          <m:f>
            <m:fPr>
              <m:type m:val="bar"/>
            </m:fPr>
            <m:num>
              <m:r>
                <m:t>1</m:t>
              </m:r>
            </m:num>
            <m:den>
              <m:r>
                <m:t>s</m:t>
              </m:r>
              <m:r>
                <m:rPr>
                  <m:sty m:val="p"/>
                </m:rPr>
                <m:t>(</m:t>
              </m:r>
              <m:r>
                <m:t>1</m:t>
              </m:r>
              <m:r>
                <m:rPr>
                  <m:sty m:val="p"/>
                </m:rPr>
                <m:t>+</m:t>
              </m:r>
              <m:r>
                <m:t>s</m:t>
              </m:r>
              <m:r>
                <m:rPr>
                  <m:sty m:val="p"/>
                </m:rPr>
                <m:t>)</m:t>
              </m:r>
            </m:den>
          </m:f>
          <m:r>
            <m:rPr>
              <m:sty m:val="p"/>
            </m:rPr>
            <m:t>.</m:t>
          </m:r>
        </m:oMath>
      </m:oMathPara>
    </w:p>
    <w:p>
      <w:pPr>
        <w:pStyle w:val="FirstParagraph"/>
        <w:widowControl/>
      </w:pPr>
      <w:r>
        <w:t xml:space="preserve">Then</w:t>
      </w:r>
      <w:r>
        <w:t xml:space="preserve"> </w:t>
      </w:r>
      <m:oMath>
        <m:r>
          <m:t>z</m:t>
        </m:r>
        <m:r>
          <m:rPr>
            <m:sty m:val="p"/>
          </m:rPr>
          <m:t>+</m:t>
        </m:r>
        <m:sSub>
          <m:e>
            <m:r>
              <m:t>g</m:t>
            </m:r>
          </m:e>
          <m:sub>
            <m:r>
              <m:t>1</m:t>
            </m:r>
          </m:sub>
        </m:sSub>
        <m:r>
          <m:rPr>
            <m:sty m:val="p"/>
          </m:rPr>
          <m:t>=</m:t>
        </m:r>
        <m:r>
          <m:t>s</m:t>
        </m:r>
        <m:r>
          <m:rPr>
            <m:sty m:val="p"/>
          </m:rPr>
          <m:t>+</m:t>
        </m:r>
        <m:r>
          <m:t>u</m:t>
        </m:r>
        <m:r>
          <m:rPr>
            <m:sty m:val="p"/>
          </m:rPr>
          <m:t>/</m:t>
        </m:r>
        <m:r>
          <m:t>s</m:t>
        </m:r>
      </m:oMath>
      <w:r>
        <w:t xml:space="preserve">, and direct subtraction of the target</w:t>
      </w:r>
      <w:r>
        <w:t xml:space="preserve"> </w:t>
      </w:r>
      <m:oMath>
        <m:sSup>
          <m:e>
            <m:r>
              <m:t>s</m:t>
            </m:r>
          </m:e>
          <m:sup>
            <m:r>
              <m:t>2</m:t>
            </m:r>
          </m:sup>
        </m:sSup>
        <m:r>
          <m:rPr>
            <m:sty m:val="p"/>
          </m:rPr>
          <m:t>+</m:t>
        </m:r>
        <m:r>
          <m:t>2</m:t>
        </m:r>
        <m:r>
          <m:t>u</m:t>
        </m:r>
        <m:r>
          <m:rPr>
            <m:sty m:val="p"/>
          </m:rPr>
          <m:t>+</m:t>
        </m:r>
        <m:sSup>
          <m:e>
            <m:r>
              <m:t>u</m:t>
            </m:r>
          </m:e>
          <m:sup>
            <m:r>
              <m:t>2</m:t>
            </m:r>
          </m:sup>
        </m:sSup>
      </m:oMath>
      <w:r>
        <w:t xml:space="preserve"> </w:t>
      </w:r>
      <w:r>
        <w:t xml:space="preserve">gives</w:t>
      </w:r>
    </w:p>
    <w:p>
      <w:pPr>
        <w:pStyle w:val="BodyText"/>
        <w:widowControl/>
      </w:pPr>
      <m:oMathPara>
        <m:oMathParaPr>
          <m:jc m:val="center"/>
        </m:oMathParaPr>
        <m:oMath>
          <m:sSub>
            <m:e>
              <m:r>
                <m:t>E</m:t>
              </m:r>
            </m:e>
            <m:sub>
              <m:r>
                <m:t>1</m:t>
              </m:r>
            </m:sub>
          </m:sSub>
          <m:r>
            <m:rPr>
              <m:sty m:val="p"/>
            </m:rPr>
            <m:t>=</m:t>
          </m:r>
          <m:r>
            <m:rPr>
              <m:sty m:val="p"/>
            </m:rPr>
            <m:t>−</m:t>
          </m:r>
          <m:f>
            <m:fPr>
              <m:type m:val="bar"/>
            </m:fPr>
            <m:num>
              <m:sSup>
                <m:e>
                  <m:r>
                    <m:t>u</m:t>
                  </m:r>
                </m:e>
                <m:sup>
                  <m:r>
                    <m:t>2</m:t>
                  </m:r>
                </m:sup>
              </m:sSup>
              <m:r>
                <m:t>r</m:t>
              </m:r>
            </m:num>
            <m:den>
              <m:r>
                <m:t>1</m:t>
              </m:r>
              <m:r>
                <m:rPr>
                  <m:sty m:val="p"/>
                </m:rPr>
                <m:t>+</m:t>
              </m:r>
              <m:r>
                <m:t>r</m:t>
              </m:r>
            </m:den>
          </m:f>
          <m:r>
            <m:rPr>
              <m:sty m:val="p"/>
            </m:rPr>
            <m:t>.</m:t>
          </m:r>
        </m:oMath>
      </m:oMathPara>
    </w:p>
    <w:p>
      <w:pPr>
        <w:pStyle w:val="FirstParagraph"/>
        <w:widowControl/>
      </w:pPr>
      <w:r>
        <w:t xml:space="preserve">Following actual feedback, the final programme retains</w:t>
      </w:r>
      <w:r>
        <w:t xml:space="preserve"> </w:t>
      </w:r>
      <m:oMath>
        <m:sSub>
          <m:e>
            <m:r>
              <m:t>B</m:t>
            </m:r>
          </m:e>
          <m:sub>
            <m:r>
              <m:t>0</m:t>
            </m:r>
          </m:sub>
        </m:sSub>
      </m:oMath>
      <w:r>
        <w:t xml:space="preserve"> </w:t>
      </w:r>
      <w:r>
        <w:t xml:space="preserve">but sets</w:t>
      </w:r>
    </w:p>
    <w:p>
      <w:pPr>
        <w:pStyle w:val="BodyText"/>
        <w:widowControl/>
      </w:pPr>
      <m:oMathPara>
        <m:oMathParaPr>
          <m:jc m:val="center"/>
        </m:oMathParaPr>
        <m:oMath>
          <m:r>
            <m:t>w</m:t>
          </m:r>
          <m:r>
            <m:rPr>
              <m:sty m:val="p"/>
            </m:rPr>
            <m:t>=</m:t>
          </m:r>
          <m:rad>
            <m:radPr>
              <m:degHide m:val="on"/>
            </m:radPr>
            <m:deg/>
            <m:e>
              <m:r>
                <m:rPr>
                  <m:sty m:val="p"/>
                </m:rPr>
                <m:t>(</m:t>
              </m:r>
              <m:r>
                <m:t>1</m:t>
              </m:r>
              <m:r>
                <m:rPr>
                  <m:sty m:val="p"/>
                </m:rPr>
                <m:t>+</m:t>
              </m:r>
              <m:r>
                <m:t>u</m:t>
              </m:r>
              <m:sSup>
                <m:e>
                  <m:r>
                    <m:rPr>
                      <m:sty m:val="p"/>
                    </m:rPr>
                    <m:t>)</m:t>
                  </m:r>
                </m:e>
                <m:sup>
                  <m:r>
                    <m:t>2</m:t>
                  </m:r>
                </m:sup>
              </m:sSup>
              <m:r>
                <m:rPr>
                  <m:sty m:val="p"/>
                </m:rPr>
                <m:t>+</m:t>
              </m:r>
              <m:r>
                <m:t>r</m:t>
              </m:r>
            </m:e>
          </m:rad>
          <m:r>
            <m:rPr>
              <m:sty m:val="p"/>
            </m:rPr>
            <m:t>,</m:t>
          </m:r>
          <m:r>
            <m:t>  </m:t>
          </m:r>
          <m:sSub>
            <m:e>
              <m:r>
                <m:t>C</m:t>
              </m:r>
            </m:e>
            <m:sub>
              <m:r>
                <m:t>2</m:t>
              </m:r>
            </m:sub>
          </m:sSub>
          <m:r>
            <m:rPr>
              <m:sty m:val="p"/>
            </m:rPr>
            <m:t>=</m:t>
          </m:r>
          <m:r>
            <m:rPr>
              <m:sty m:val="p"/>
            </m:rPr>
            <m:t>−</m:t>
          </m:r>
          <m:f>
            <m:fPr>
              <m:type m:val="bar"/>
            </m:fPr>
            <m:num>
              <m:r>
                <m:t>1</m:t>
              </m:r>
              <m:r>
                <m:rPr>
                  <m:sty m:val="p"/>
                </m:rPr>
                <m:t>/</m:t>
              </m:r>
              <m:r>
                <m:rPr>
                  <m:sty m:val="p"/>
                </m:rPr>
                <m:t>(</m:t>
              </m:r>
              <m:r>
                <m:t>w</m:t>
              </m:r>
              <m:r>
                <m:rPr>
                  <m:sty m:val="p"/>
                </m:rPr>
                <m:t>+</m:t>
              </m:r>
              <m:r>
                <m:t>1</m:t>
              </m:r>
              <m:r>
                <m:rPr>
                  <m:sty m:val="p"/>
                </m:rPr>
                <m:t>+</m:t>
              </m:r>
              <m:r>
                <m:t>u</m:t>
              </m:r>
              <m:r>
                <m:rPr>
                  <m:sty m:val="p"/>
                </m:rPr>
                <m:t>)</m:t>
              </m:r>
              <m:r>
                <m:rPr>
                  <m:sty m:val="p"/>
                </m:rPr>
                <m:t>+</m:t>
              </m:r>
              <m:r>
                <m:t>1</m:t>
              </m:r>
              <m:r>
                <m:rPr>
                  <m:sty m:val="p"/>
                </m:rPr>
                <m:t>/</m:t>
              </m:r>
              <m:r>
                <m:rPr>
                  <m:sty m:val="p"/>
                </m:rPr>
                <m:t>(</m:t>
              </m:r>
              <m:r>
                <m:t>s</m:t>
              </m:r>
              <m:r>
                <m:rPr>
                  <m:sty m:val="p"/>
                </m:rPr>
                <m:t>+</m:t>
              </m:r>
              <m:r>
                <m:t>1</m:t>
              </m:r>
              <m:r>
                <m:rPr>
                  <m:sty m:val="p"/>
                </m:rPr>
                <m:t>)</m:t>
              </m:r>
            </m:num>
            <m:den>
              <m:r>
                <m:t>w</m:t>
              </m:r>
              <m:r>
                <m:rPr>
                  <m:sty m:val="p"/>
                </m:rPr>
                <m:t>+</m:t>
              </m:r>
              <m:r>
                <m:t>s</m:t>
              </m:r>
            </m:den>
          </m:f>
          <m:r>
            <m:rPr>
              <m:sty m:val="p"/>
            </m:rPr>
            <m:t>.</m:t>
          </m:r>
        </m:oMath>
      </m:oMathPara>
    </w:p>
    <w:p>
      <w:pPr>
        <w:pStyle w:val="FirstParagraph"/>
        <w:widowControl/>
      </w:pPr>
      <w:r>
        <w:t xml:space="preserve">Rationalising</w:t>
      </w:r>
      <w:r>
        <w:t xml:space="preserve"> </w:t>
      </w:r>
      <m:oMath>
        <m:sSup>
          <m:e>
            <m:r>
              <m:t>w</m:t>
            </m:r>
          </m:e>
          <m:sup>
            <m:r>
              <m:t>2</m:t>
            </m:r>
          </m:sup>
        </m:sSup>
        <m:r>
          <m:rPr>
            <m:sty m:val="p"/>
          </m:rPr>
          <m:t>−</m:t>
        </m:r>
        <m:r>
          <m:rPr>
            <m:sty m:val="p"/>
          </m:rPr>
          <m:t>(</m:t>
        </m:r>
        <m:r>
          <m:t>1</m:t>
        </m:r>
        <m:r>
          <m:rPr>
            <m:sty m:val="p"/>
          </m:rPr>
          <m:t>+</m:t>
        </m:r>
        <m:r>
          <m:t>u</m:t>
        </m:r>
        <m:sSup>
          <m:e>
            <m:r>
              <m:rPr>
                <m:sty m:val="p"/>
              </m:rPr>
              <m:t>)</m:t>
            </m:r>
          </m:e>
          <m:sup>
            <m:r>
              <m:t>2</m:t>
            </m:r>
          </m:sup>
        </m:sSup>
        <m:r>
          <m:rPr>
            <m:sty m:val="p"/>
          </m:rPr>
          <m:t>=</m:t>
        </m:r>
        <m:r>
          <m:t>r</m:t>
        </m:r>
      </m:oMath>
      <w:r>
        <w:t xml:space="preserve"> </w:t>
      </w:r>
      <w:r>
        <w:t xml:space="preserve">and</w:t>
      </w:r>
      <w:r>
        <w:t xml:space="preserve"> </w:t>
      </w:r>
      <m:oMath>
        <m:sSup>
          <m:e>
            <m:r>
              <m:t>s</m:t>
            </m:r>
          </m:e>
          <m:sup>
            <m:r>
              <m:t>2</m:t>
            </m:r>
          </m:sup>
        </m:sSup>
        <m:r>
          <m:rPr>
            <m:sty m:val="p"/>
          </m:rPr>
          <m:t>−</m:t>
        </m:r>
        <m:r>
          <m:t>1</m:t>
        </m:r>
        <m:r>
          <m:rPr>
            <m:sty m:val="p"/>
          </m:rPr>
          <m:t>=</m:t>
        </m:r>
        <m:r>
          <m:t>r</m:t>
        </m:r>
      </m:oMath>
      <w:r>
        <w:t xml:space="preserve"> </w:t>
      </w:r>
      <w:r>
        <w:t xml:space="preserve">yields</w:t>
      </w:r>
    </w:p>
    <w:p>
      <w:pPr>
        <w:pStyle w:val="BodyText"/>
        <w:widowControl/>
      </w:pPr>
      <m:oMathPara>
        <m:oMathParaPr>
          <m:jc m:val="center"/>
        </m:oMathParaPr>
        <m:oMath>
          <m:r>
            <m:t>u</m:t>
          </m:r>
          <m:r>
            <m:t>r</m:t>
          </m:r>
          <m:sSub>
            <m:e>
              <m:r>
                <m:t>C</m:t>
              </m:r>
            </m:e>
            <m:sub>
              <m:r>
                <m:t>2</m:t>
              </m:r>
            </m:sub>
          </m:sSub>
          <m:r>
            <m:rPr>
              <m:sty m:val="p"/>
            </m:rPr>
            <m:t>=</m:t>
          </m:r>
          <m:r>
            <m:t>w</m:t>
          </m:r>
          <m:r>
            <m:rPr>
              <m:sty m:val="p"/>
            </m:rPr>
            <m:t>−</m:t>
          </m:r>
          <m:r>
            <m:t>s</m:t>
          </m:r>
          <m:r>
            <m:rPr>
              <m:sty m:val="p"/>
            </m:rPr>
            <m:t>−</m:t>
          </m:r>
          <m:r>
            <m:t>u</m:t>
          </m:r>
          <m:r>
            <m:rPr>
              <m:sty m:val="p"/>
            </m:rPr>
            <m:t>,</m:t>
          </m:r>
        </m:oMath>
      </m:oMathPara>
    </w:p>
    <w:p>
      <w:pPr>
        <w:pStyle w:val="FirstParagraph"/>
        <w:widowControl/>
      </w:pPr>
      <w:r>
        <w:t xml:space="preserve">so</w:t>
      </w:r>
      <w:r>
        <w:t xml:space="preserve"> </w:t>
      </w:r>
      <m:oMath>
        <m:sSub>
          <m:e>
            <m:r>
              <m:t>g</m:t>
            </m:r>
          </m:e>
          <m:sub>
            <m:r>
              <m:t>2</m:t>
            </m:r>
          </m:sub>
        </m:sSub>
        <m:r>
          <m:rPr>
            <m:sty m:val="p"/>
          </m:rPr>
          <m:t>=</m:t>
        </m:r>
        <m:r>
          <m:t>w</m:t>
        </m:r>
        <m:r>
          <m:rPr>
            <m:sty m:val="p"/>
          </m:rPr>
          <m:t>−</m:t>
        </m:r>
        <m:r>
          <m:rPr>
            <m:sty m:val="p"/>
          </m:rPr>
          <m:t>(</m:t>
        </m:r>
        <m:r>
          <m:t>1</m:t>
        </m:r>
        <m:r>
          <m:rPr>
            <m:sty m:val="p"/>
          </m:rPr>
          <m:t>+</m:t>
        </m:r>
        <m:r>
          <m:t>u</m:t>
        </m:r>
        <m:r>
          <m:rPr>
            <m:sty m:val="p"/>
          </m:rPr>
          <m:t>)</m:t>
        </m:r>
      </m:oMath>
      <w:r>
        <w:t xml:space="preserve"> </w:t>
      </w:r>
      <w:r>
        <w:t xml:space="preserve">and</w:t>
      </w:r>
      <w:r>
        <w:t xml:space="preserve"> </w:t>
      </w:r>
      <m:oMath>
        <m:sSub>
          <m:e>
            <m:r>
              <m:t>E</m:t>
            </m:r>
          </m:e>
          <m:sub>
            <m:r>
              <m:t>2</m:t>
            </m:r>
          </m:sub>
        </m:sSub>
        <m:r>
          <m:rPr>
            <m:sty m:val="p"/>
          </m:rPr>
          <m:t>=</m:t>
        </m:r>
        <m:r>
          <m:t>0</m:t>
        </m:r>
      </m:oMath>
      <w:r>
        <w:t xml:space="preserve"> </w:t>
      </w:r>
      <w:r>
        <w:t xml:space="preserve">in the core. The formula does not divide by</w:t>
      </w:r>
      <w:r>
        <w:t xml:space="preserve"> </w:t>
      </w:r>
      <m:oMath>
        <m:r>
          <m:t>u</m:t>
        </m:r>
        <m:r>
          <m:t>r</m:t>
        </m:r>
      </m:oMath>
      <w:r>
        <w:t xml:space="preserve"> </w:t>
      </w:r>
      <w:r>
        <w:t xml:space="preserve">and extends across</w:t>
      </w:r>
      <w:r>
        <w:t xml:space="preserve"> </w:t>
      </w:r>
      <m:oMath>
        <m:r>
          <m:t>u</m:t>
        </m:r>
        <m:r>
          <m:rPr>
            <m:sty m:val="p"/>
          </m:rPr>
          <m:t>=</m:t>
        </m:r>
        <m:r>
          <m:t>0</m:t>
        </m:r>
      </m:oMath>
      <w:r>
        <w:t xml:space="preserve"> </w:t>
      </w:r>
      <w:r>
        <w:t xml:space="preserve">or</w:t>
      </w:r>
      <w:r>
        <w:t xml:space="preserve"> </w:t>
      </w:r>
      <m:oMath>
        <m:r>
          <m:t>r</m:t>
        </m:r>
        <m:r>
          <m:rPr>
            <m:sty m:val="p"/>
          </m:rPr>
          <m:t>=</m:t>
        </m:r>
        <m:r>
          <m:t>0</m:t>
        </m:r>
      </m:oMath>
      <w:r>
        <w:t xml:space="preserve">. On the outer closed rectangle,</w:t>
      </w:r>
      <w:r>
        <w:t xml:space="preserve"> </w:t>
      </w:r>
      <m:oMath>
        <m:r>
          <m:t>s</m:t>
        </m:r>
        <m:r>
          <m:rPr>
            <m:sty m:val="p"/>
          </m:rPr>
          <m:t>≥</m:t>
        </m:r>
        <m:r>
          <m:t>1</m:t>
        </m:r>
        <m:r>
          <m:rPr>
            <m:sty m:val="p"/>
          </m:rPr>
          <m:t>/</m:t>
        </m:r>
        <m:rad>
          <m:radPr>
            <m:degHide m:val="on"/>
          </m:radPr>
          <m:deg/>
          <m:e>
            <m:r>
              <m:t>2</m:t>
            </m:r>
          </m:e>
        </m:rad>
      </m:oMath>
      <w:r>
        <w:t xml:space="preserve">,</w:t>
      </w:r>
      <w:r>
        <w:t xml:space="preserve"> </w:t>
      </w:r>
      <m:oMath>
        <m:r>
          <m:t>1</m:t>
        </m:r>
        <m:r>
          <m:rPr>
            <m:sty m:val="p"/>
          </m:rPr>
          <m:t>+</m:t>
        </m:r>
        <m:r>
          <m:t>u</m:t>
        </m:r>
        <m:r>
          <m:rPr>
            <m:sty m:val="p"/>
          </m:rPr>
          <m:t>≥</m:t>
        </m:r>
        <m:r>
          <m:t>3</m:t>
        </m:r>
        <m:r>
          <m:rPr>
            <m:sty m:val="p"/>
          </m:rPr>
          <m:t>/</m:t>
        </m:r>
        <m:r>
          <m:t>4</m:t>
        </m:r>
      </m:oMath>
      <w:r>
        <w:t xml:space="preserve"> </w:t>
      </w:r>
      <w:r>
        <w:t xml:space="preserve">and</w:t>
      </w:r>
      <w:r>
        <w:t xml:space="preserve"> </w:t>
      </w:r>
      <m:oMath>
        <m:r>
          <m:t>w</m:t>
        </m:r>
        <m:r>
          <m:rPr>
            <m:sty m:val="p"/>
          </m:rPr>
          <m:t>≥</m:t>
        </m:r>
        <m:r>
          <m:t>1</m:t>
        </m:r>
        <m:r>
          <m:rPr>
            <m:sty m:val="p"/>
          </m:rPr>
          <m:t>/</m:t>
        </m:r>
        <m:r>
          <m:t>4</m:t>
        </m:r>
      </m:oMath>
      <w:r>
        <w:t xml:space="preserve">, so its denominators stay positive. This is a local smooth formula, not the non-smooth clipped root across a negative radicand.</w:t>
      </w:r>
    </w:p>
    <w:p>
      <w:pPr>
        <w:pStyle w:val="BodyText"/>
        <w:widowControl/>
      </w:pPr>
      <w:r>
        <w:t xml:space="preserve">At one original feedback position (uniform family,</w:t>
      </w:r>
      <w:r>
        <w:t xml:space="preserve"> </w:t>
      </w:r>
      <m:oMath>
        <m:r>
          <m:t>τ</m:t>
        </m:r>
        <m:r>
          <m:rPr>
            <m:sty m:val="p"/>
          </m:rPr>
          <m:t>=</m:t>
        </m:r>
        <m:r>
          <m:t>1</m:t>
        </m:r>
        <m:r>
          <m:rPr>
            <m:sty m:val="p"/>
          </m:rPr>
          <m:t>/</m:t>
        </m:r>
        <m:r>
          <m:t>64</m:t>
        </m:r>
      </m:oMath>
      <w:r>
        <w:t xml:space="preserve">,</w:t>
      </w:r>
      <w:r>
        <w:t xml:space="preserve"> </w:t>
      </w:r>
      <m:oMath>
        <m:r>
          <m:t>x</m:t>
        </m:r>
        <m:r>
          <m:rPr>
            <m:sty m:val="p"/>
          </m:rPr>
          <m:t>=</m:t>
        </m:r>
        <m:r>
          <m:t>1</m:t>
        </m:r>
        <m:r>
          <m:rPr>
            <m:sty m:val="p"/>
          </m:rPr>
          <m:t>/</m:t>
        </m:r>
        <m:r>
          <m:t>8</m:t>
        </m:r>
      </m:oMath>
      <w:r>
        <w:t xml:space="preserve">, slot 0), the initial, draft and final whole residuals are approximately</w:t>
      </w:r>
      <w:r>
        <w:t xml:space="preserve"> </w:t>
      </w:r>
      <m:oMath>
        <m:r>
          <m:t>1.5011272</m:t>
        </m:r>
        <m:r>
          <m:rPr>
            <m:sty m:val="p"/>
          </m:rPr>
          <m:t>×</m:t>
        </m:r>
        <m:sSup>
          <m:e>
            <m:r>
              <m:t>10</m:t>
            </m:r>
          </m:e>
          <m:sup>
            <m:r>
              <m:rPr>
                <m:sty m:val="p"/>
              </m:rPr>
              <m:t>−</m:t>
            </m:r>
            <m:r>
              <m:t>6</m:t>
            </m:r>
          </m:sup>
        </m:sSup>
      </m:oMath>
      <w:r>
        <w:t xml:space="preserve">,</w:t>
      </w:r>
      <w:r>
        <w:t xml:space="preserve"> </w:t>
      </w:r>
      <m:oMath>
        <m:r>
          <m:rPr>
            <m:sty m:val="p"/>
          </m:rPr>
          <m:t>−</m:t>
        </m:r>
        <m:r>
          <m:t>1.1680410</m:t>
        </m:r>
        <m:r>
          <m:rPr>
            <m:sty m:val="p"/>
          </m:rPr>
          <m:t>×</m:t>
        </m:r>
        <m:sSup>
          <m:e>
            <m:r>
              <m:t>10</m:t>
            </m:r>
          </m:e>
          <m:sup>
            <m:r>
              <m:rPr>
                <m:sty m:val="p"/>
              </m:rPr>
              <m:t>−</m:t>
            </m:r>
            <m:r>
              <m:t>8</m:t>
            </m:r>
          </m:sup>
        </m:sSup>
      </m:oMath>
      <w:r>
        <w:t xml:space="preserve"> </w:t>
      </w:r>
      <w:r>
        <w:t xml:space="preserve">and</w:t>
      </w:r>
      <w:r>
        <w:t xml:space="preserve"> </w:t>
      </w:r>
      <m:oMath>
        <m:r>
          <m:t>1.8111</m:t>
        </m:r>
        <m:r>
          <m:rPr>
            <m:sty m:val="p"/>
          </m:rPr>
          <m:t>×</m:t>
        </m:r>
        <m:sSup>
          <m:e>
            <m:r>
              <m:t>10</m:t>
            </m:r>
          </m:e>
          <m:sup>
            <m:r>
              <m:rPr>
                <m:sty m:val="p"/>
              </m:rPr>
              <m:t>−</m:t>
            </m:r>
            <m:r>
              <m:t>71</m:t>
            </m:r>
          </m:sup>
        </m:sSup>
      </m:oMath>
      <w:r>
        <w:t xml:space="preserve">. The final value is stored arithmetic roundoff. The final pure and inherited-state terms are approximately</w:t>
      </w:r>
      <w:r>
        <w:t xml:space="preserve"> </w:t>
      </w:r>
      <m:oMath>
        <m:r>
          <m:rPr>
            <m:sty m:val="p"/>
          </m:rPr>
          <m:t>−</m:t>
        </m:r>
        <m:r>
          <m:t>1.4895364</m:t>
        </m:r>
        <m:r>
          <m:rPr>
            <m:sty m:val="p"/>
          </m:rPr>
          <m:t>×</m:t>
        </m:r>
        <m:sSup>
          <m:e>
            <m:r>
              <m:t>10</m:t>
            </m:r>
          </m:e>
          <m:sup>
            <m:r>
              <m:rPr>
                <m:sty m:val="p"/>
              </m:rPr>
              <m:t>−</m:t>
            </m:r>
            <m:r>
              <m:t>6</m:t>
            </m:r>
          </m:sup>
        </m:sSup>
      </m:oMath>
      <w:r>
        <w:t xml:space="preserve"> </w:t>
      </w:r>
      <w:r>
        <w:t xml:space="preserve">and</w:t>
      </w:r>
      <w:r>
        <w:t xml:space="preserve"> </w:t>
      </w:r>
      <m:oMath>
        <m:r>
          <m:rPr>
            <m:sty m:val="p"/>
          </m:rPr>
          <m:t>+</m:t>
        </m:r>
        <m:r>
          <m:t>1.4895364</m:t>
        </m:r>
        <m:r>
          <m:rPr>
            <m:sty m:val="p"/>
          </m:rPr>
          <m:t>×</m:t>
        </m:r>
        <m:sSup>
          <m:e>
            <m:r>
              <m:t>10</m:t>
            </m:r>
          </m:e>
          <m:sup>
            <m:r>
              <m:rPr>
                <m:sty m:val="p"/>
              </m:rPr>
              <m:t>−</m:t>
            </m:r>
            <m:r>
              <m:t>6</m:t>
            </m:r>
          </m:sup>
        </m:sSup>
      </m:oMath>
      <w:r>
        <w:t xml:space="preserve">. Thus restoring the whole is not the same as keeping the previously exact pure component at zero. The next continuation received the real final programme and the actual resulting state, and retained that programme for its changed target. This is actual reuse, not a proposed successor run.</w:t>
      </w:r>
    </w:p>
    <w:bookmarkEnd w:id="45"/>
    <w:bookmarkStart w:id="46" w:name="Xf8af2b84c9be72999a378f243997141fbb3ad6c"/>
    <w:p>
      <w:pPr>
        <w:pStyle w:val="Heading3"/>
        <w:keepNext/>
        <w:widowControl/>
      </w:pPr>
      <w:r>
        <w:rPr>
          <w:rFonts w:ascii="Times New Roman" w:hAnsi="Times New Roman"/>
          <w:b/>
          <w:color w:val="000000"/>
          <w:sz w:val="24"/>
        </w:rPr>
        <w:t xml:space="preserve">9.4 Second actual revision: state terms across two duties</w:t>
      </w:r>
    </w:p>
    <w:p>
      <w:pPr>
        <w:pStyle w:val="FirstParagraph"/>
        <w:widowControl/>
      </w:pPr>
      <w:r>
        <w:t xml:space="preserve">In adoption episode P07, the actual sequence preserves</w:t>
      </w:r>
      <w:r>
        <w:t xml:space="preserve"> </w:t>
      </w:r>
      <m:oMath>
        <m:r>
          <m:t>B</m:t>
        </m:r>
        <m:r>
          <m:rPr>
            <m:sty m:val="p"/>
          </m:rPr>
          <m:t>=</m:t>
        </m:r>
        <m:r>
          <m:rPr>
            <m:sty m:val="p"/>
          </m:rPr>
          <m:t>−</m:t>
        </m:r>
        <m:r>
          <m:t>1</m:t>
        </m:r>
        <m:r>
          <m:rPr>
            <m:sty m:val="p"/>
          </m:rPr>
          <m:t>/</m:t>
        </m:r>
        <m:r>
          <m:t>8</m:t>
        </m:r>
      </m:oMath>
      <w:r>
        <w:t xml:space="preserve"> </w:t>
      </w:r>
      <w:r>
        <w:t xml:space="preserve">and changes</w:t>
      </w:r>
    </w:p>
    <w:p>
      <w:pPr>
        <w:pStyle w:val="BodyText"/>
        <w:widowControl/>
      </w:pPr>
      <m:oMathPara>
        <m:oMathParaPr>
          <m:jc m:val="center"/>
        </m:oMathParaPr>
        <m:oMath>
          <m:sSub>
            <m:e>
              <m:r>
                <m:t>C</m:t>
              </m:r>
            </m:e>
            <m:sub>
              <m:r>
                <m:t>0</m:t>
              </m:r>
            </m:sub>
          </m:sSub>
          <m:r>
            <m:rPr>
              <m:sty m:val="p"/>
            </m:rPr>
            <m:t>=</m:t>
          </m:r>
          <m:r>
            <m:rPr>
              <m:sty m:val="p"/>
            </m:rPr>
            <m:t>−</m:t>
          </m:r>
          <m:r>
            <m:t>1</m:t>
          </m:r>
          <m:r>
            <m:rPr>
              <m:sty m:val="p"/>
            </m:rPr>
            <m:t>/</m:t>
          </m:r>
          <m:r>
            <m:t>2</m:t>
          </m:r>
          <m:r>
            <m:rPr>
              <m:sty m:val="p"/>
            </m:rPr>
            <m:t>,</m:t>
          </m:r>
          <m:r>
            <m:t>  </m:t>
          </m:r>
          <m:sSub>
            <m:e>
              <m:r>
                <m:t>C</m:t>
              </m:r>
            </m:e>
            <m:sub>
              <m:r>
                <m:t>1</m:t>
              </m:r>
            </m:sub>
          </m:sSub>
          <m:r>
            <m:rPr>
              <m:sty m:val="p"/>
            </m:rPr>
            <m:t>=</m:t>
          </m:r>
          <m:r>
            <m:rPr>
              <m:sty m:val="p"/>
            </m:rPr>
            <m:t>−</m:t>
          </m:r>
          <m:r>
            <m:t>1</m:t>
          </m:r>
          <m:r>
            <m:rPr>
              <m:sty m:val="p"/>
            </m:rPr>
            <m:t>/</m:t>
          </m:r>
          <m:r>
            <m:t>2</m:t>
          </m:r>
          <m:r>
            <m:rPr>
              <m:sty m:val="p"/>
            </m:rPr>
            <m:t>+</m:t>
          </m:r>
          <m:r>
            <m:t>u</m:t>
          </m:r>
          <m:r>
            <m:rPr>
              <m:sty m:val="p"/>
            </m:rPr>
            <m:t>/</m:t>
          </m:r>
          <m:r>
            <m:t>2</m:t>
          </m:r>
          <m:r>
            <m:rPr>
              <m:sty m:val="p"/>
            </m:rPr>
            <m:t>,</m:t>
          </m:r>
          <m:r>
            <m:t>  </m:t>
          </m:r>
          <m:sSub>
            <m:e>
              <m:r>
                <m:t>C</m:t>
              </m:r>
            </m:e>
            <m:sub>
              <m:r>
                <m:t>2</m:t>
              </m:r>
            </m:sub>
          </m:sSub>
          <m:r>
            <m:rPr>
              <m:sty m:val="p"/>
            </m:rPr>
            <m:t>=</m:t>
          </m:r>
          <m:r>
            <m:rPr>
              <m:sty m:val="p"/>
            </m:rPr>
            <m:t>−</m:t>
          </m:r>
          <m:r>
            <m:t>1</m:t>
          </m:r>
          <m:r>
            <m:rPr>
              <m:sty m:val="p"/>
            </m:rPr>
            <m:t>/</m:t>
          </m:r>
          <m:r>
            <m:t>2</m:t>
          </m:r>
          <m:r>
            <m:rPr>
              <m:sty m:val="p"/>
            </m:rPr>
            <m:t>+</m:t>
          </m:r>
          <m:r>
            <m:t>u</m:t>
          </m:r>
          <m:r>
            <m:rPr>
              <m:sty m:val="p"/>
            </m:rPr>
            <m:t>/</m:t>
          </m:r>
          <m:r>
            <m:t>2</m:t>
          </m:r>
          <m:r>
            <m:rPr>
              <m:sty m:val="p"/>
            </m:rPr>
            <m:t>−</m:t>
          </m:r>
          <m:sSup>
            <m:e>
              <m:r>
                <m:t>u</m:t>
              </m:r>
            </m:e>
            <m:sup>
              <m:r>
                <m:t>2</m:t>
              </m:r>
            </m:sup>
          </m:sSup>
          <m:r>
            <m:rPr>
              <m:sty m:val="p"/>
            </m:rPr>
            <m:t>/</m:t>
          </m:r>
          <m:r>
            <m:t>2</m:t>
          </m:r>
          <m:r>
            <m:rPr>
              <m:sty m:val="p"/>
            </m:rPr>
            <m:t>.</m:t>
          </m:r>
        </m:oMath>
      </m:oMathPara>
    </w:p>
    <w:p>
      <w:pPr>
        <w:pStyle w:val="FirstParagraph"/>
        <w:widowControl/>
      </w:pPr>
      <w:r>
        <w:t xml:space="preserve">With</w:t>
      </w:r>
      <w:r>
        <w:t xml:space="preserve"> </w:t>
      </w:r>
      <m:oMath>
        <m:sSub>
          <m:e>
            <m:r>
              <m:t>g</m:t>
            </m:r>
          </m:e>
          <m:sub>
            <m:r>
              <m:t>j</m:t>
            </m:r>
          </m:sub>
        </m:sSub>
        <m:r>
          <m:rPr>
            <m:sty m:val="p"/>
          </m:rPr>
          <m:t>=</m:t>
        </m:r>
        <m:r>
          <m:t>r</m:t>
        </m:r>
        <m:r>
          <m:rPr>
            <m:sty m:val="p"/>
          </m:rPr>
          <m:t>/</m:t>
        </m:r>
        <m:r>
          <m:t>2</m:t>
        </m:r>
        <m:r>
          <m:rPr>
            <m:sty m:val="p"/>
          </m:rPr>
          <m:t>−</m:t>
        </m:r>
        <m:sSup>
          <m:e>
            <m:r>
              <m:t>r</m:t>
            </m:r>
          </m:e>
          <m:sup>
            <m:r>
              <m:t>2</m:t>
            </m:r>
          </m:sup>
        </m:sSup>
        <m:r>
          <m:rPr>
            <m:sty m:val="p"/>
          </m:rPr>
          <m:t>/</m:t>
        </m:r>
        <m:r>
          <m:t>8</m:t>
        </m:r>
        <m:r>
          <m:rPr>
            <m:sty m:val="p"/>
          </m:rPr>
          <m:t>+</m:t>
        </m:r>
        <m:r>
          <m:t>u</m:t>
        </m:r>
        <m:r>
          <m:t>r</m:t>
        </m:r>
        <m:sSub>
          <m:e>
            <m:r>
              <m:t>C</m:t>
            </m:r>
          </m:e>
          <m:sub>
            <m:r>
              <m:t>j</m:t>
            </m:r>
          </m:sub>
        </m:sSub>
      </m:oMath>
      <w:r>
        <w:t xml:space="preserve">, expansion for</w:t>
      </w:r>
      <w:r>
        <w:t xml:space="preserve"> </w:t>
      </w:r>
      <m:oMath>
        <m:r>
          <m:t>u</m:t>
        </m:r>
        <m:r>
          <m:rPr>
            <m:sty m:val="p"/>
          </m:rPr>
          <m:t>=</m:t>
        </m:r>
        <m:r>
          <m:t>a</m:t>
        </m:r>
        <m:r>
          <m:t>τ</m:t>
        </m:r>
        <m:r>
          <m:rPr>
            <m:sty m:val="p"/>
          </m:rPr>
          <m:t>,</m:t>
        </m:r>
        <m:r>
          <m:t>r</m:t>
        </m:r>
        <m:r>
          <m:rPr>
            <m:sty m:val="p"/>
          </m:rPr>
          <m:t>=</m:t>
        </m:r>
        <m:r>
          <m:t>b</m:t>
        </m:r>
        <m:sSup>
          <m:e>
            <m:r>
              <m:t>τ</m:t>
            </m:r>
          </m:e>
          <m:sup>
            <m:r>
              <m:t>3</m:t>
            </m:r>
          </m:sup>
        </m:sSup>
      </m:oMath>
      <w:r>
        <w:t xml:space="preserve"> </w:t>
      </w:r>
      <w:r>
        <w:t xml:space="preserve">gives</w:t>
      </w:r>
    </w:p>
    <w:p>
      <w:pPr>
        <w:pStyle w:val="BodyText"/>
        <w:widowControl/>
      </w:pPr>
      <m:oMathPara>
        <m:oMathParaPr>
          <m:jc m:val="center"/>
        </m:oMathParaPr>
        <m:oMath>
          <m:sSub>
            <m:e>
              <m:r>
                <m:t>E</m:t>
              </m:r>
            </m:e>
            <m:sub>
              <m:sSub>
                <m:e>
                  <m:r>
                    <m:t>C</m:t>
                  </m:r>
                </m:e>
                <m:sub>
                  <m:r>
                    <m:t>0</m:t>
                  </m:r>
                </m:sub>
              </m:sSub>
            </m:sub>
          </m:sSub>
          <m:r>
            <m:rPr>
              <m:sty m:val="p"/>
            </m:rPr>
            <m:t>=</m:t>
          </m:r>
          <m:r>
            <m:rPr>
              <m:sty m:val="p"/>
            </m:rPr>
            <m:t>−</m:t>
          </m:r>
          <m:sSup>
            <m:e>
              <m:r>
                <m:t>a</m:t>
              </m:r>
            </m:e>
            <m:sup>
              <m:r>
                <m:t>2</m:t>
              </m:r>
            </m:sup>
          </m:sSup>
          <m:r>
            <m:t>b</m:t>
          </m:r>
          <m:sSup>
            <m:e>
              <m:r>
                <m:t>τ</m:t>
              </m:r>
            </m:e>
            <m:sup>
              <m:r>
                <m:t>5</m:t>
              </m:r>
            </m:sup>
          </m:sSup>
          <m:r>
            <m:rPr>
              <m:sty m:val="p"/>
            </m:rPr>
            <m:t>+</m:t>
          </m:r>
          <m:r>
            <m:t>O</m:t>
          </m:r>
          <m:r>
            <m:rPr>
              <m:sty m:val="p"/>
            </m:rPr>
            <m:t>(</m:t>
          </m:r>
          <m:sSup>
            <m:e>
              <m:r>
                <m:t>τ</m:t>
              </m:r>
            </m:e>
            <m:sup>
              <m:r>
                <m:t>7</m:t>
              </m:r>
            </m:sup>
          </m:sSup>
          <m:r>
            <m:rPr>
              <m:sty m:val="p"/>
            </m:rPr>
            <m:t>)</m:t>
          </m:r>
          <m:r>
            <m:rPr>
              <m:sty m:val="p"/>
            </m:rPr>
            <m:t>,</m:t>
          </m:r>
        </m:oMath>
      </m:oMathPara>
    </w:p>
    <w:p>
      <w:pPr>
        <w:pStyle w:val="FirstParagraph"/>
        <w:widowControl/>
      </w:pPr>
      <m:oMathPara>
        <m:oMathParaPr>
          <m:jc m:val="center"/>
        </m:oMathParaPr>
        <m:oMath>
          <m:sSub>
            <m:e>
              <m:r>
                <m:t>E</m:t>
              </m:r>
            </m:e>
            <m:sub>
              <m:sSub>
                <m:e>
                  <m:r>
                    <m:t>C</m:t>
                  </m:r>
                </m:e>
                <m:sub>
                  <m:r>
                    <m:t>1</m:t>
                  </m:r>
                </m:sub>
              </m:sSub>
            </m:sub>
          </m:sSub>
          <m:r>
            <m:rPr>
              <m:sty m:val="p"/>
            </m:rPr>
            <m:t>=</m:t>
          </m:r>
          <m:sSup>
            <m:e>
              <m:r>
                <m:t>a</m:t>
              </m:r>
            </m:e>
            <m:sup>
              <m:r>
                <m:t>3</m:t>
              </m:r>
            </m:sup>
          </m:sSup>
          <m:r>
            <m:t>b</m:t>
          </m:r>
          <m:sSup>
            <m:e>
              <m:r>
                <m:t>τ</m:t>
              </m:r>
            </m:e>
            <m:sup>
              <m:r>
                <m:t>6</m:t>
              </m:r>
            </m:sup>
          </m:sSup>
          <m:r>
            <m:rPr>
              <m:sty m:val="p"/>
            </m:rPr>
            <m:t>+</m:t>
          </m:r>
          <m:r>
            <m:t>O</m:t>
          </m:r>
          <m:r>
            <m:rPr>
              <m:sty m:val="p"/>
            </m:rPr>
            <m:t>(</m:t>
          </m:r>
          <m:sSup>
            <m:e>
              <m:r>
                <m:t>τ</m:t>
              </m:r>
            </m:e>
            <m:sup>
              <m:r>
                <m:t>7</m:t>
              </m:r>
            </m:sup>
          </m:sSup>
          <m:r>
            <m:rPr>
              <m:sty m:val="p"/>
            </m:rPr>
            <m:t>)</m:t>
          </m:r>
          <m:r>
            <m:rPr>
              <m:sty m:val="p"/>
            </m:rPr>
            <m:t>,</m:t>
          </m:r>
        </m:oMath>
      </m:oMathPara>
    </w:p>
    <w:p>
      <w:pPr>
        <w:pStyle w:val="FirstParagraph"/>
        <w:widowControl/>
      </w:pPr>
      <m:oMathPara>
        <m:oMathParaPr>
          <m:jc m:val="center"/>
        </m:oMathParaPr>
        <m:oMath>
          <m:sSub>
            <m:e>
              <m:r>
                <m:t>E</m:t>
              </m:r>
            </m:e>
            <m:sub>
              <m:sSub>
                <m:e>
                  <m:r>
                    <m:t>C</m:t>
                  </m:r>
                </m:e>
                <m:sub>
                  <m:r>
                    <m:t>2</m:t>
                  </m:r>
                </m:sub>
              </m:sSub>
            </m:sub>
          </m:sSub>
          <m:r>
            <m:rPr>
              <m:sty m:val="p"/>
            </m:rPr>
            <m:t>=</m:t>
          </m:r>
          <m:r>
            <m:rPr>
              <m:sty m:val="p"/>
            </m:rPr>
            <m:t>−</m:t>
          </m:r>
          <m:r>
            <m:rPr>
              <m:sty m:val="p"/>
            </m:rPr>
            <m:t>(</m:t>
          </m:r>
          <m:sSup>
            <m:e>
              <m:r>
                <m:t>a</m:t>
              </m:r>
            </m:e>
            <m:sup>
              <m:r>
                <m:t>4</m:t>
              </m:r>
            </m:sup>
          </m:sSup>
          <m:r>
            <m:t>b</m:t>
          </m:r>
          <m:r>
            <m:rPr>
              <m:sty m:val="p"/>
            </m:rPr>
            <m:t>+</m:t>
          </m:r>
          <m:r>
            <m:t>3</m:t>
          </m:r>
          <m:r>
            <m:t>a</m:t>
          </m:r>
          <m:sSup>
            <m:e>
              <m:r>
                <m:t>b</m:t>
              </m:r>
            </m:e>
            <m:sup>
              <m:r>
                <m:t>2</m:t>
              </m:r>
            </m:sup>
          </m:sSup>
          <m:r>
            <m:rPr>
              <m:sty m:val="p"/>
            </m:rPr>
            <m:t>/</m:t>
          </m:r>
          <m:r>
            <m:t>4</m:t>
          </m:r>
          <m:r>
            <m:rPr>
              <m:sty m:val="p"/>
            </m:rPr>
            <m:t>)</m:t>
          </m:r>
          <m:sSup>
            <m:e>
              <m:r>
                <m:t>τ</m:t>
              </m:r>
            </m:e>
            <m:sup>
              <m:r>
                <m:t>7</m:t>
              </m:r>
            </m:sup>
          </m:sSup>
          <m:r>
            <m:rPr>
              <m:sty m:val="p"/>
            </m:rPr>
            <m:t>+</m:t>
          </m:r>
          <m:r>
            <m:t>O</m:t>
          </m:r>
          <m:r>
            <m:rPr>
              <m:sty m:val="p"/>
            </m:rPr>
            <m:t>(</m:t>
          </m:r>
          <m:sSup>
            <m:e>
              <m:r>
                <m:t>τ</m:t>
              </m:r>
            </m:e>
            <m:sup>
              <m:r>
                <m:t>8</m:t>
              </m:r>
            </m:sup>
          </m:sSup>
          <m:r>
            <m:rPr>
              <m:sty m:val="p"/>
            </m:rPr>
            <m:t>)</m:t>
          </m:r>
          <m:r>
            <m:rPr>
              <m:sty m:val="p"/>
            </m:rPr>
            <m:t>.</m:t>
          </m:r>
        </m:oMath>
      </m:oMathPara>
    </w:p>
    <w:p>
      <w:pPr>
        <w:pStyle w:val="FirstParagraph"/>
        <w:widowControl/>
      </w:pPr>
      <w:r>
        <w:t xml:space="preserve">These are standard series relations evaluated for the generated programmes. They are not a claim of mathematical priority or uniform improvement: vanishing leading coefficients change the order, and for</w:t>
      </w:r>
      <w:r>
        <w:t xml:space="preserve"> </w:t>
      </w:r>
      <m:oMath>
        <m:r>
          <m:t>r</m:t>
        </m:r>
        <m:r>
          <m:rPr>
            <m:sty m:val="p"/>
          </m:rPr>
          <m:t>=</m:t>
        </m:r>
        <m:r>
          <m:t>b</m:t>
        </m:r>
        <m:sSup>
          <m:e>
            <m:r>
              <m:t>τ</m:t>
            </m:r>
          </m:e>
          <m:sup>
            <m:r>
              <m:t>2</m:t>
            </m:r>
          </m:sup>
        </m:sSup>
      </m:oMath>
      <w:r>
        <w:t xml:space="preserve"> </w:t>
      </w:r>
      <w:r>
        <w:t xml:space="preserve">the two later programmes generally retain an order-</w:t>
      </w:r>
      <m:oMath>
        <m:sSup>
          <m:e>
            <m:r>
              <m:t>τ</m:t>
            </m:r>
          </m:e>
          <m:sup>
            <m:r>
              <m:t>5</m:t>
            </m:r>
          </m:sup>
        </m:sSup>
      </m:oMath>
      <w:r>
        <w:t xml:space="preserve"> </w:t>
      </w:r>
      <m:oMath>
        <m:r>
          <m:t>u</m:t>
        </m:r>
        <m:sSup>
          <m:e>
            <m:r>
              <m:t>r</m:t>
            </m:r>
          </m:e>
          <m:sup>
            <m:r>
              <m:t>2</m:t>
            </m:r>
          </m:sup>
        </m:sSup>
      </m:oMath>
      <w:r>
        <w:t xml:space="preserve"> </w:t>
      </w:r>
      <w:r>
        <w:t xml:space="preserve">channel.</w:t>
      </w:r>
    </w:p>
    <w:p>
      <w:pPr>
        <w:pStyle w:val="BodyText"/>
        <w:widowControl/>
      </w:pPr>
      <w:r>
        <w:t xml:space="preserve">On the same prestate within the first continuation, the recorded old/new residuals are approximately</w:t>
      </w:r>
      <w:r>
        <w:t xml:space="preserve"> </w:t>
      </w:r>
      <m:oMath>
        <m:r>
          <m:rPr>
            <m:sty m:val="p"/>
          </m:rPr>
          <m:t>−</m:t>
        </m:r>
        <m:r>
          <m:t>1.19294</m:t>
        </m:r>
        <m:r>
          <m:rPr>
            <m:sty m:val="p"/>
          </m:rPr>
          <m:t>×</m:t>
        </m:r>
        <m:sSup>
          <m:e>
            <m:r>
              <m:t>10</m:t>
            </m:r>
          </m:e>
          <m:sup>
            <m:r>
              <m:rPr>
                <m:sty m:val="p"/>
              </m:rPr>
              <m:t>−</m:t>
            </m:r>
            <m:r>
              <m:t>8</m:t>
            </m:r>
          </m:sup>
        </m:sSup>
      </m:oMath>
      <w:r>
        <w:t xml:space="preserve"> </w:t>
      </w:r>
      <w:r>
        <w:t xml:space="preserve">and</w:t>
      </w:r>
      <w:r>
        <w:t xml:space="preserve"> </w:t>
      </w:r>
      <m:oMath>
        <m:r>
          <m:rPr>
            <m:sty m:val="p"/>
          </m:rPr>
          <m:t>−</m:t>
        </m:r>
        <m:r>
          <m:t>1.26328</m:t>
        </m:r>
        <m:r>
          <m:rPr>
            <m:sty m:val="p"/>
          </m:rPr>
          <m:t>×</m:t>
        </m:r>
        <m:sSup>
          <m:e>
            <m:r>
              <m:t>10</m:t>
            </m:r>
          </m:e>
          <m:sup>
            <m:r>
              <m:rPr>
                <m:sty m:val="p"/>
              </m:rPr>
              <m:t>−</m:t>
            </m:r>
            <m:r>
              <m:t>10</m:t>
            </m:r>
          </m:sup>
        </m:sSup>
      </m:oMath>
      <w:r>
        <w:t xml:space="preserve">. On the distinct prestate within the second continuation they are</w:t>
      </w:r>
      <w:r>
        <w:t xml:space="preserve"> </w:t>
      </w:r>
      <m:oMath>
        <m:r>
          <m:rPr>
            <m:sty m:val="p"/>
          </m:rPr>
          <m:t>−</m:t>
        </m:r>
        <m:r>
          <m:t>5.37347</m:t>
        </m:r>
        <m:r>
          <m:rPr>
            <m:sty m:val="p"/>
          </m:rPr>
          <m:t>×</m:t>
        </m:r>
        <m:sSup>
          <m:e>
            <m:r>
              <m:t>10</m:t>
            </m:r>
          </m:e>
          <m:sup>
            <m:r>
              <m:rPr>
                <m:sty m:val="p"/>
              </m:rPr>
              <m:t>−</m:t>
            </m:r>
            <m:r>
              <m:t>13</m:t>
            </m:r>
          </m:sup>
        </m:sSup>
      </m:oMath>
      <w:r>
        <w:t xml:space="preserve"> </w:t>
      </w:r>
      <w:r>
        <w:t xml:space="preserve">and</w:t>
      </w:r>
      <w:r>
        <w:t xml:space="preserve"> </w:t>
      </w:r>
      <m:oMath>
        <m:r>
          <m:rPr>
            <m:sty m:val="p"/>
          </m:rPr>
          <m:t>−</m:t>
        </m:r>
        <m:r>
          <m:t>2.72164</m:t>
        </m:r>
        <m:r>
          <m:rPr>
            <m:sty m:val="p"/>
          </m:rPr>
          <m:t>×</m:t>
        </m:r>
        <m:sSup>
          <m:e>
            <m:r>
              <m:t>10</m:t>
            </m:r>
          </m:e>
          <m:sup>
            <m:r>
              <m:rPr>
                <m:sty m:val="p"/>
              </m:rPr>
              <m:t>−</m:t>
            </m:r>
            <m:r>
              <m:t>15</m:t>
            </m:r>
          </m:sup>
        </m:sSup>
      </m:oMath>
      <w:r>
        <w:t xml:space="preserve">. Figure 3 keeps these within-duty pairs separate. The second duty genuinely consumes the first one’s stored field and programme. It is not a rerun from the initial amplitude. A sign error in the generated prose about the remaining</w:t>
      </w:r>
      <w:r>
        <w:t xml:space="preserve"> </w:t>
      </w:r>
      <m:oMath>
        <m:r>
          <m:t>u</m:t>
        </m:r>
        <m:sSup>
          <m:e>
            <m:r>
              <m:t>r</m:t>
            </m:r>
          </m:e>
          <m:sup>
            <m:r>
              <m:t>2</m:t>
            </m:r>
          </m:sup>
        </m:sSup>
      </m:oMath>
      <w:r>
        <w:t xml:space="preserve"> </w:t>
      </w:r>
      <w:r>
        <w:t xml:space="preserve">term is retained in the source; the expression’s whole expansion has a negative coefficient. Valid execution and an accurate explanation are separate claims.</w:t>
      </w:r>
    </w:p>
    <w:bookmarkEnd w:id="46"/>
    <w:bookmarkStart w:id="47" w:name="what-the-combined-evidence-establishes"/>
    <w:p>
      <w:pPr>
        <w:pStyle w:val="Heading3"/>
        <w:keepNext/>
        <w:widowControl/>
      </w:pPr>
      <w:r>
        <w:rPr>
          <w:rFonts w:ascii="Times New Roman" w:hAnsi="Times New Roman"/>
          <w:b/>
          <w:color w:val="000000"/>
          <w:sz w:val="24"/>
        </w:rPr>
        <w:t xml:space="preserve">9.5 What the combined evidence establishes</w:t>
      </w:r>
    </w:p>
    <w:p>
      <w:pPr>
        <w:pStyle w:val="FirstParagraph"/>
        <w:widowControl/>
      </w:pPr>
      <w:r>
        <w:t xml:space="preserve">The coefficient records show actual formation, feedback, state-dependent revision and renewed use under new fixed targets. The hclose pair separately shows a shared result being converted into an applicable proof object and used by a supplied consumer. Neither justifies a claim that the entire human–AI research cycle, a stable average historical benefit, autonomous problem formation or the OpenAI discovery process has been causally identified. These limitations do not erase executed continuation. They locate the positive process observations and the unresolved comparative claims at their correct levels.</w:t>
      </w:r>
    </w:p>
    <w:bookmarkEnd w:id="47"/>
    <w:bookmarkEnd w:id="48"/>
    <w:sectPr>
      <w:headerReference w:type="default" r:id="rId9"/>
      <w:footerReference w:type="default" r:id="rId10"/>
      <w:footnotePr>
        <w:numRestart w:val="eachSect"/>
      </w:footnotePr>
      <w:pgSz w:h="16838" w:w="11906"/>
      <w:pgMar w:top="1247" w:bottom="1247" w:left="1361" w:right="1247" w:header="567" w:footer="56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suppressLineNumbers/>
    </w:pPr>
    <w:r>
      <w:rPr>
        <w:rFonts w:ascii="Arial" w:hAnsi="Arial"/>
        <w:sz w:val="16"/>
      </w:rPr>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uppressLineNumbers/>
    </w:pPr>
    <w:r>
      <w:rPr>
        <w:rFonts w:ascii="Arial" w:hAnsi="Arial"/>
        <w:color w:val="5F5F5F"/>
        <w:sz w:val="16"/>
      </w:rPr>
      <w:t>Supplementary Information</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GB"/>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00" w:line="276" w:lineRule="auto"/>
    </w:pPr>
    <w:rPr>
      <w:rFonts w:ascii="Times New Roman" w:hAnsi="Times New Roman" w:cs="Times New Roman" w:eastAsia="Noto Serif CJK SC"/>
      <w:sz w:val="22"/>
    </w:rPr>
  </w:style>
  <w:style w:styleId="BodyText" w:type="paragraph">
    <w:name w:val="Body Text"/>
    <w:basedOn w:val="Normal"/>
    <w:link w:val="BodyTextChar"/>
    <w:qFormat/>
    <w:pPr>
      <w:spacing w:after="100" w:before="180" w:line="276" w:lineRule="auto"/>
    </w:pPr>
    <w:rPr>
      <w:rFonts w:ascii="Times New Roman" w:hAnsi="Times New Roman" w:cs="Times New Roman" w:eastAsia="Noto Serif CJK SC"/>
      <w:sz w:val="22"/>
    </w:rPr>
  </w:style>
  <w:style w:customStyle="1" w:styleId="FirstParagraph" w:type="paragraph">
    <w:name w:val="First Paragraph"/>
    <w:basedOn w:val="BodyText"/>
    <w:next w:val="BodyText"/>
    <w:qFormat/>
    <w:pPr>
      <w:spacing w:after="100" w:line="276" w:lineRule="auto"/>
    </w:pPr>
    <w:rPr>
      <w:rFonts w:ascii="Times New Roman" w:hAnsi="Times New Roman" w:cs="Times New Roman" w:eastAsia="Noto Serif CJK SC"/>
      <w:sz w:val="22"/>
    </w:rPr>
  </w:style>
  <w:style w:customStyle="1" w:styleId="Compact" w:type="paragraph">
    <w:name w:val="Compact"/>
    <w:basedOn w:val="BodyText"/>
    <w:qFormat/>
    <w:pPr>
      <w:spacing w:after="100" w:before="36" w:line="276" w:lineRule="auto"/>
    </w:pPr>
    <w:rPr>
      <w:rFonts w:ascii="Times New Roman" w:hAnsi="Times New Roman" w:cs="Times New Roman" w:eastAsia="Noto Serif CJK SC"/>
      <w:sz w:val="22"/>
    </w:rPr>
  </w:style>
  <w:style w:styleId="Title" w:type="paragraph">
    <w:name w:val="Title"/>
    <w:basedOn w:val="Normal"/>
    <w:next w:val="BodyText"/>
    <w:link w:val="TitleChar"/>
    <w:uiPriority w:val="10"/>
    <w:qFormat/>
    <w:rsid w:val="00A10FD9"/>
    <w:pPr>
      <w:keepNext/>
      <w:spacing w:after="120" w:line="264" w:lineRule="auto" w:before="0"/>
      <w:contextualSpacing/>
      <w:jc w:val="center"/>
    </w:pPr>
    <w:rPr>
      <w:rFonts w:ascii="Times New Roman" w:hAnsi="Times New Roman" w:cs="Times New Roman" w:eastAsia="Noto Serif CJK SC"/>
      <w:color w:val="000000"/>
      <w:sz w:val="3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keepNext/>
      <w:numPr>
        <w:ilvl w:val="1"/>
      </w:numPr>
      <w:spacing w:after="120" w:line="264" w:lineRule="auto" w:before="0"/>
    </w:pPr>
    <w:rPr>
      <w:rFonts w:ascii="Times New Roman" w:hAnsi="Times New Roman" w:cs="Times New Roman" w:eastAsia="Noto Serif CJK SC"/>
      <w:color w:val="000000"/>
      <w:spacing w:val="15"/>
      <w:sz w:val="26"/>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spacing w:after="100" w:line="276" w:lineRule="auto"/>
    </w:pPr>
    <w:rPr>
      <w:rFonts w:ascii="Times New Roman" w:hAnsi="Times New Roman" w:cs="Times New Roman" w:eastAsia="Noto Serif CJK SC"/>
      <w:sz w:val="22"/>
      <w:szCs w:val="24"/>
    </w:rPr>
  </w:style>
  <w:style w:styleId="Date" w:type="paragraph">
    <w:name w:val="Date"/>
    <w:basedOn w:val="Title"/>
    <w:next w:val="BodyText"/>
    <w:qFormat/>
    <w:pPr>
      <w:keepNext/>
      <w:keepLines/>
      <w:spacing w:after="100" w:line="276" w:lineRule="auto"/>
    </w:pPr>
    <w:rPr>
      <w:rFonts w:ascii="Times New Roman" w:hAnsi="Times New Roman" w:cs="Times New Roman" w:eastAsia="Noto Serif CJK SC"/>
      <w:sz w:val="22"/>
      <w:szCs w:val="24"/>
    </w:rPr>
  </w:style>
  <w:style w:customStyle="1" w:styleId="AbstractTitle" w:type="paragraph">
    <w:name w:val="Abstract Title"/>
    <w:basedOn w:val="Normal"/>
    <w:next w:val="Abstract"/>
    <w:qFormat/>
    <w:pPr>
      <w:keepNext/>
      <w:keepLines/>
      <w:spacing w:after="100" w:before="300" w:line="276" w:lineRule="auto"/>
      <w:jc w:val="center"/>
    </w:pPr>
    <w:rPr>
      <w:rFonts w:ascii="Times New Roman" w:hAnsi="Times New Roman" w:cs="Times New Roman" w:eastAsia="Noto Serif CJK SC"/>
      <w:b/>
      <w:sz w:val="22"/>
      <w:szCs w:val="20"/>
    </w:rPr>
  </w:style>
  <w:style w:customStyle="1" w:styleId="Abstract" w:type="paragraph">
    <w:name w:val="Abstract"/>
    <w:basedOn w:val="Normal"/>
    <w:next w:val="BodyText"/>
    <w:qFormat/>
    <w:pPr>
      <w:keepNext/>
      <w:keepLines/>
      <w:spacing w:after="100" w:before="100" w:line="276" w:lineRule="auto"/>
    </w:pPr>
    <w:rPr>
      <w:rFonts w:ascii="Times New Roman" w:hAnsi="Times New Roman" w:cs="Times New Roman" w:eastAsia="Noto Serif CJK SC"/>
      <w:sz w:val="22"/>
      <w:szCs w:val="20"/>
    </w:rPr>
  </w:style>
  <w:style w:styleId="Bibliography" w:type="paragraph">
    <w:name w:val="Bibliography"/>
    <w:basedOn w:val="Normal"/>
    <w:next w:val="Bibliography"/>
    <w:qFormat/>
    <w:pPr>
      <w:spacing w:after="100" w:line="276" w:lineRule="auto"/>
    </w:pPr>
    <w:rPr>
      <w:rFonts w:ascii="Times New Roman" w:hAnsi="Times New Roman" w:cs="Times New Roman" w:eastAsia="Noto Serif CJK SC"/>
      <w:sz w:val="22"/>
    </w:rPr>
  </w:style>
  <w:style w:styleId="Heading1" w:type="paragraph">
    <w:name w:val="heading 1"/>
    <w:basedOn w:val="Normal"/>
    <w:next w:val="BodyText"/>
    <w:link w:val="Heading1Char"/>
    <w:uiPriority w:val="9"/>
    <w:qFormat/>
    <w:rsid w:val="00A10FD9"/>
    <w:pPr>
      <w:keepNext/>
      <w:keepLines/>
      <w:spacing w:after="120" w:before="240" w:line="288" w:lineRule="auto"/>
      <w:outlineLvl w:val="0"/>
    </w:pPr>
    <w:rPr>
      <w:rFonts w:ascii="Times New Roman" w:hAnsi="Times New Roman" w:cs="Times New Roman" w:eastAsia="Noto Serif CJK SC"/>
      <w:color w:val="000000"/>
      <w:sz w:val="30"/>
      <w:szCs w:val="40"/>
    </w:rPr>
  </w:style>
  <w:style w:styleId="Heading2" w:type="paragraph">
    <w:name w:val="heading 2"/>
    <w:basedOn w:val="Normal"/>
    <w:next w:val="BodyText"/>
    <w:link w:val="Heading2Char"/>
    <w:uiPriority w:val="9"/>
    <w:semiHidden/>
    <w:unhideWhenUsed/>
    <w:qFormat/>
    <w:rsid w:val="00A10FD9"/>
    <w:pPr>
      <w:keepNext/>
      <w:keepLines/>
      <w:spacing w:after="120" w:before="240" w:line="288" w:lineRule="auto"/>
      <w:outlineLvl w:val="1"/>
    </w:pPr>
    <w:rPr>
      <w:rFonts w:ascii="Times New Roman" w:hAnsi="Times New Roman" w:cs="Times New Roman" w:eastAsia="Noto Serif CJK SC"/>
      <w:color w:val="000000"/>
      <w:sz w:val="26"/>
      <w:szCs w:val="32"/>
    </w:rPr>
  </w:style>
  <w:style w:styleId="Heading3" w:type="paragraph">
    <w:name w:val="heading 3"/>
    <w:basedOn w:val="Normal"/>
    <w:next w:val="BodyText"/>
    <w:link w:val="Heading3Char"/>
    <w:uiPriority w:val="9"/>
    <w:semiHidden/>
    <w:unhideWhenUsed/>
    <w:qFormat/>
    <w:rsid w:val="00A10FD9"/>
    <w:pPr>
      <w:keepNext/>
      <w:keepLines/>
      <w:spacing w:after="120" w:before="240" w:line="288" w:lineRule="auto"/>
      <w:outlineLvl w:val="2"/>
    </w:pPr>
    <w:rPr>
      <w:rFonts w:ascii="Times New Roman" w:hAnsi="Times New Roman" w:cs="Times New Roman" w:eastAsia="Noto Serif CJK SC"/>
      <w:color w:val="000000"/>
      <w:sz w:val="23"/>
      <w:szCs w:val="28"/>
    </w:rPr>
  </w:style>
  <w:style w:styleId="Heading4" w:type="paragraph">
    <w:name w:val="heading 4"/>
    <w:basedOn w:val="Normal"/>
    <w:next w:val="BodyText"/>
    <w:link w:val="Heading4Char"/>
    <w:uiPriority w:val="9"/>
    <w:semiHidden/>
    <w:unhideWhenUsed/>
    <w:qFormat/>
    <w:rsid w:val="00A10FD9"/>
    <w:pPr>
      <w:keepNext/>
      <w:keepLines/>
      <w:spacing w:after="120" w:before="240" w:line="288" w:lineRule="auto"/>
      <w:outlineLvl w:val="3"/>
    </w:pPr>
    <w:rPr>
      <w:rFonts w:ascii="Times New Roman" w:hAnsi="Times New Roman" w:cs="Times New Roman" w:eastAsia="Noto Serif CJK SC"/>
      <w:i/>
      <w:iCs/>
      <w:color w:val="000000"/>
      <w:sz w:val="22"/>
    </w:rPr>
  </w:style>
  <w:style w:styleId="Heading5" w:type="paragraph">
    <w:name w:val="heading 5"/>
    <w:basedOn w:val="Normal"/>
    <w:next w:val="BodyText"/>
    <w:link w:val="Heading5Char"/>
    <w:uiPriority w:val="9"/>
    <w:semiHidden/>
    <w:unhideWhenUsed/>
    <w:qFormat/>
    <w:rsid w:val="00A10FD9"/>
    <w:pPr>
      <w:keepNext/>
      <w:keepLines/>
      <w:spacing w:after="100" w:before="80" w:line="276" w:lineRule="auto"/>
      <w:outlineLvl w:val="4"/>
    </w:pPr>
    <w:rPr>
      <w:rFonts w:ascii="Times New Roman" w:hAnsi="Times New Roman" w:cs="Times New Roman" w:eastAsia="Noto Serif CJK SC"/>
      <w:color w:themeColor="accent1" w:themeShade="BF" w:val="0F4761"/>
      <w:sz w:val="22"/>
    </w:rPr>
  </w:style>
  <w:style w:styleId="Heading6" w:type="paragraph">
    <w:name w:val="heading 6"/>
    <w:basedOn w:val="Normal"/>
    <w:next w:val="BodyText"/>
    <w:link w:val="Heading6Char"/>
    <w:uiPriority w:val="9"/>
    <w:semiHidden/>
    <w:unhideWhenUsed/>
    <w:qFormat/>
    <w:rsid w:val="00A10FD9"/>
    <w:pPr>
      <w:keepNext/>
      <w:keepLines/>
      <w:spacing w:after="100" w:before="40" w:line="276" w:lineRule="auto"/>
      <w:outlineLvl w:val="5"/>
    </w:pPr>
    <w:rPr>
      <w:rFonts w:ascii="Times New Roman" w:hAnsi="Times New Roman" w:cs="Times New Roman" w:eastAsia="Noto Serif CJK SC"/>
      <w:i/>
      <w:iCs/>
      <w:color w:themeColor="text1" w:themeTint="A6" w:val="595959"/>
      <w:sz w:val="22"/>
    </w:rPr>
  </w:style>
  <w:style w:styleId="Heading7" w:type="paragraph">
    <w:name w:val="heading 7"/>
    <w:basedOn w:val="Normal"/>
    <w:next w:val="BodyText"/>
    <w:link w:val="Heading7Char"/>
    <w:uiPriority w:val="9"/>
    <w:semiHidden/>
    <w:unhideWhenUsed/>
    <w:qFormat/>
    <w:rsid w:val="00A10FD9"/>
    <w:pPr>
      <w:keepNext/>
      <w:keepLines/>
      <w:spacing w:after="100" w:before="40" w:line="276" w:lineRule="auto"/>
      <w:outlineLvl w:val="6"/>
    </w:pPr>
    <w:rPr>
      <w:rFonts w:ascii="Times New Roman" w:hAnsi="Times New Roman" w:cs="Times New Roman" w:eastAsia="Noto Serif CJK SC"/>
      <w:color w:themeColor="text1" w:themeTint="A6" w:val="595959"/>
      <w:sz w:val="22"/>
    </w:rPr>
  </w:style>
  <w:style w:styleId="Heading8" w:type="paragraph">
    <w:name w:val="heading 8"/>
    <w:basedOn w:val="Normal"/>
    <w:next w:val="BodyText"/>
    <w:link w:val="Heading8Char"/>
    <w:uiPriority w:val="9"/>
    <w:semiHidden/>
    <w:unhideWhenUsed/>
    <w:qFormat/>
    <w:rsid w:val="00A10FD9"/>
    <w:pPr>
      <w:keepNext/>
      <w:keepLines/>
      <w:spacing w:after="100" w:line="276" w:lineRule="auto"/>
      <w:outlineLvl w:val="7"/>
    </w:pPr>
    <w:rPr>
      <w:rFonts w:ascii="Times New Roman" w:hAnsi="Times New Roman" w:cs="Times New Roman" w:eastAsia="Noto Serif CJK SC"/>
      <w:i/>
      <w:iCs/>
      <w:color w:themeColor="text1" w:themeTint="D8" w:val="272727"/>
      <w:sz w:val="22"/>
    </w:rPr>
  </w:style>
  <w:style w:styleId="Heading9" w:type="paragraph">
    <w:name w:val="heading 9"/>
    <w:basedOn w:val="Normal"/>
    <w:next w:val="BodyText"/>
    <w:link w:val="Heading9Char"/>
    <w:uiPriority w:val="9"/>
    <w:semiHidden/>
    <w:unhideWhenUsed/>
    <w:qFormat/>
    <w:rsid w:val="00A10FD9"/>
    <w:pPr>
      <w:keepNext/>
      <w:keepLines/>
      <w:spacing w:after="100" w:line="276" w:lineRule="auto"/>
      <w:outlineLvl w:val="8"/>
    </w:pPr>
    <w:rPr>
      <w:rFonts w:ascii="Times New Roman" w:hAnsi="Times New Roman" w:cs="Times New Roman" w:eastAsia="Noto Serif CJK SC"/>
      <w:color w:themeColor="text1" w:themeTint="D8" w:val="272727"/>
      <w:sz w:val="22"/>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line="276" w:lineRule="auto"/>
      <w:ind w:firstLine="0" w:left="480" w:right="480"/>
    </w:pPr>
    <w:rPr>
      <w:rFonts w:ascii="Times New Roman" w:hAnsi="Times New Roman" w:cs="Times New Roman" w:eastAsia="Noto Serif CJK SC"/>
      <w:sz w:val="22"/>
    </w:rPr>
  </w:style>
  <w:style w:styleId="FootnoteText" w:type="paragraph">
    <w:name w:val="Footnote Text"/>
    <w:basedOn w:val="Normal"/>
    <w:next w:val="FootnoteText"/>
    <w:uiPriority w:val="9"/>
    <w:unhideWhenUsed/>
    <w:qFormat/>
    <w:pPr>
      <w:spacing w:after="100" w:line="276" w:lineRule="auto"/>
    </w:pPr>
    <w:rPr>
      <w:rFonts w:ascii="Times New Roman" w:hAnsi="Times New Roman" w:cs="Times New Roman" w:eastAsia="Noto Serif CJK SC"/>
      <w:sz w:val="22"/>
    </w:rPr>
  </w:style>
  <w:style w:styleId="FootnoteBlockText" w:type="paragraph">
    <w:name w:val="Footnote Block Text"/>
    <w:basedOn w:val="FootnoteText"/>
    <w:next w:val="FootnoteText"/>
    <w:uiPriority w:val="9"/>
    <w:unhideWhenUsed/>
    <w:qFormat/>
    <w:pPr>
      <w:spacing w:after="100" w:before="100" w:line="276" w:lineRule="auto"/>
      <w:ind w:firstLine="0" w:left="480" w:right="480"/>
    </w:pPr>
    <w:rPr>
      <w:rFonts w:ascii="Times New Roman" w:hAnsi="Times New Roman" w:cs="Times New Roman" w:eastAsia="Noto Serif CJK SC"/>
      <w:sz w:val="22"/>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100" w:line="276" w:lineRule="auto"/>
    </w:pPr>
    <w:rPr>
      <w:rFonts w:ascii="Times New Roman" w:hAnsi="Times New Roman" w:cs="Times New Roman" w:eastAsia="Noto Serif CJK SC"/>
      <w:b/>
      <w:sz w:val="22"/>
    </w:rPr>
  </w:style>
  <w:style w:customStyle="1" w:styleId="Definition" w:type="paragraph">
    <w:name w:val="Definition"/>
    <w:basedOn w:val="Normal"/>
    <w:pPr>
      <w:spacing w:after="100" w:line="276" w:lineRule="auto"/>
    </w:pPr>
    <w:rPr>
      <w:rFonts w:ascii="Times New Roman" w:hAnsi="Times New Roman" w:cs="Times New Roman" w:eastAsia="Noto Serif CJK SC"/>
      <w:sz w:val="22"/>
    </w:rPr>
  </w:style>
  <w:style w:styleId="Caption" w:type="paragraph">
    <w:name w:val="Caption"/>
    <w:basedOn w:val="Normal"/>
    <w:link w:val="BodyTextChar"/>
    <w:pPr>
      <w:spacing w:after="100" w:before="0" w:line="276" w:lineRule="auto"/>
    </w:pPr>
    <w:rPr>
      <w:rFonts w:ascii="Times New Roman" w:hAnsi="Times New Roman" w:cs="Times New Roman" w:eastAsia="Noto Serif CJK SC"/>
      <w:i/>
      <w:sz w:val="22"/>
    </w:rPr>
  </w:style>
  <w:style w:customStyle="1" w:styleId="TableCaption" w:type="paragraph">
    <w:name w:val="Table Caption"/>
    <w:basedOn w:val="Caption"/>
    <w:pPr>
      <w:keepNext/>
      <w:spacing w:after="100" w:line="276" w:lineRule="auto"/>
    </w:pPr>
    <w:rPr>
      <w:rFonts w:ascii="Times New Roman" w:hAnsi="Times New Roman" w:cs="Times New Roman" w:eastAsia="Noto Serif CJK SC"/>
      <w:sz w:val="22"/>
    </w:rPr>
  </w:style>
  <w:style w:customStyle="1" w:styleId="ImageCaption" w:type="paragraph">
    <w:name w:val="Image Caption"/>
    <w:basedOn w:val="Caption"/>
    <w:pPr>
      <w:spacing w:after="100" w:line="276" w:lineRule="auto"/>
    </w:pPr>
    <w:rPr>
      <w:rFonts w:ascii="Times New Roman" w:hAnsi="Times New Roman" w:cs="Times New Roman" w:eastAsia="Noto Serif CJK SC"/>
      <w:sz w:val="22"/>
    </w:rPr>
  </w:style>
  <w:style w:customStyle="1" w:styleId="Figure" w:type="paragraph">
    <w:name w:val="Figure"/>
    <w:basedOn w:val="Normal"/>
    <w:pPr>
      <w:spacing w:after="100" w:line="276" w:lineRule="auto"/>
    </w:pPr>
    <w:rPr>
      <w:rFonts w:ascii="Times New Roman" w:hAnsi="Times New Roman" w:cs="Times New Roman" w:eastAsia="Noto Serif CJK SC"/>
      <w:sz w:val="22"/>
    </w:rPr>
  </w:style>
  <w:style w:customStyle="1" w:styleId="CaptionedFigure" w:type="paragraph">
    <w:name w:val="Captioned Figure"/>
    <w:basedOn w:val="Figure"/>
    <w:pPr>
      <w:keepNext/>
      <w:spacing w:after="100" w:line="276" w:lineRule="auto"/>
    </w:pPr>
    <w:rPr>
      <w:rFonts w:ascii="Times New Roman" w:hAnsi="Times New Roman" w:cs="Times New Roman" w:eastAsia="Noto Serif CJK SC"/>
      <w:sz w:val="22"/>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DejaVu Sans Mono" w:hAnsi="DejaVu Sans Mono" w:cs="DejaVu Sans Mono" w:eastAsia="Noto Sans CJK SC"/>
      <w:sz w:val="17"/>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76" w:lineRule="auto" w:after="100"/>
      <w:outlineLvl w:val="9"/>
    </w:pPr>
    <w:rPr>
      <w:rFonts w:ascii="Times New Roman" w:hAnsi="Times New Roman" w:cs="Times New Roman" w:eastAsia="Noto Serif CJK SC"/>
      <w:b w:val="0"/>
      <w:bCs w:val="0"/>
      <w:color w:themeColor="accent1" w:themeShade="BF" w:val="365F91"/>
      <w:sz w:val="22"/>
    </w:rPr>
  </w:style>
  <w:style w:type="paragraph" w:customStyle="1" w:styleId="SourceCode">
    <w:name w:val="Source Code"/>
    <w:basedOn w:val="Normal"/>
    <w:link w:val="VerbatimChar"/>
    <w:pPr>
      <w:wordWrap w:val="off"/>
      <w:spacing w:after="0" w:line="240" w:lineRule="auto"/>
    </w:pPr>
    <w:rPr>
      <w:rFonts w:ascii="DejaVu Sans Mono" w:hAnsi="DejaVu Sans Mono" w:cs="DejaVu Sans Mono" w:eastAsia="Noto Sans CJK SC"/>
      <w:sz w:val="15"/>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Why can equal results lead to different scientific futures</dc:title>
  <dc:creator/>
  <dc:language>en-GB</dc:language>
  <cp:keywords/>
  <dcterms:created xsi:type="dcterms:W3CDTF">2026-09-22T20:13:39Z</dcterms:created>
  <dcterms:modified xsi:type="dcterms:W3CDTF">2026-09-22T20:13:39Z</dcterms:modified>
  <cp:lastModifiedBy/>
  <dc:subject>Research Article</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Why can equal results lead to different scientific futures</vt:lpwstr>
  </property>
</Properties>
</file>