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rFonts w:ascii="Times New Roman" w:hAnsi="Times New Roman"/>
          <w:color w:val="000000"/>
        </w:rPr>
        <w:t xml:space="preserve">Why can equal results lead to different scientific futures</w:t>
      </w:r>
    </w:p>
    <w:p>
      <w:pPr>
        <w:pStyle w:val="FirstParagraph"/>
        <w:widowControl/>
      </w:pPr>
      <w:r>
        <w:rPr>
          <w:b/>
          <w:bCs/>
        </w:rPr>
        <w:t xml:space="preserve">AI now participates in mathematical research and sustained scientific work. How do humans and agents, through historically situated joint practice, form capacities that change their subsequent conditions of problem solving? Mathematicians’ concerns about understanding, OpenAI’s Navier–Stokes process account and persistent-agent workflows make this question concrete.¹–³ We examine the formation, adoption and reconstruction of relations connecting problems, methods, evidence and responsibilities. A finite construction establishes that equality of a specified current readout need not determine the correction required next: correction from that readout alone has a positive lower bound, removed by a compact state-aware rule. Archived agent records show feedback-driven programme revision and reuse under changed targets. In one revision, a non-zero component cancels an inherited-state term and improves the whole, relinquishing an already exact subresult. Separately, a selected known-proof completion turns shared declarations into a premise used downstream: with explicit researcher-written guidance, the third candidate is accepted in the saved compilation record, whereas the comparison remains incomplete. Convergence, unchanged versions and execution-dependent contrasts remain part of these records, which do not establish a general history effect. Together, the mathematical separation, sufficient repair and traceable instances distinguish obtaining results from forming and sustaining the relations that make them usable for further discovery.</w:t>
      </w:r>
    </w:p>
    <w:bookmarkStart w:id="9" w:name="introduction"/>
    <w:p>
      <w:pPr>
        <w:pStyle w:val="Heading2"/>
        <w:keepNext/>
        <w:widowControl/>
      </w:pPr>
      <w:r>
        <w:rPr>
          <w:rFonts w:ascii="Times New Roman" w:hAnsi="Times New Roman"/>
          <w:b/>
          <w:color w:val="000000"/>
          <w:sz w:val="26"/>
        </w:rPr>
        <w:t xml:space="preserve">Introduction</w:t>
      </w:r>
    </w:p>
    <w:p>
      <w:pPr>
        <w:pStyle w:val="FirstParagraph"/>
        <w:widowControl/>
      </w:pPr>
      <w:r>
        <w:t xml:space="preserve">As artificial intelligence becomes more capable and enters scientific work more directly, getting a result and sustaining the capacity to develop it become distinct practical concerns. Mathematicians’ joint statement stresses understanding, method transmission, training and new questions as purposes of problem solving.¹ OpenAI’s published Navier–Stokes (NS) account describes intermediate Euler results being incorporated into subsequent NS work and group insights being reorganised for further investigation.² In persistent Codex workflows, working files, notes, context transitions and tool feedback make retaining and revising earlier work concrete operations.³ These settings expose a common question: when people and AI produce useful results, what conditions do they also form for inquiry to continue?</w:t>
      </w:r>
    </w:p>
    <w:p>
      <w:pPr>
        <w:pStyle w:val="BodyText"/>
        <w:widowControl/>
      </w:pPr>
      <w:r>
        <w:t xml:space="preserve">Our central question is</w:t>
      </w:r>
      <w:r>
        <w:t xml:space="preserve"> </w:t>
      </w:r>
      <w:r>
        <w:rPr>
          <w:b/>
          <w:bCs/>
        </w:rPr>
        <w:t xml:space="preserve">how humans and agents, through historically situated joint practice, form capacities that change their own conditions of problem solving</w:t>
      </w:r>
      <w:r>
        <w:t xml:space="preserve">. Our candidate answer concerns the relations connecting problems, methods, evidence and responsibilities: research can form the conditions for subsequent research, and these conditions can themselves require maintenance or reconstruction. The same declared result need not determine how it can be checked, corrected or developed next. We establish one precise limitation on a result-centred description: equality of a specified current readout can leave an unavoidable discrepancy between the corrections required by different successor states. Preserving a compact, relevant state removes that discrepancy. “Equal” names a specified product, observation or current function, not a complete causal state; “scientific futures” names subsequent duties within stated tools, permissions and resources. Compact preservation and legitimate reconstruction are positive sufficient cases.</w:t>
      </w:r>
    </w:p>
    <w:p>
      <w:pPr>
        <w:pStyle w:val="BodyText"/>
        <w:widowControl/>
      </w:pPr>
      <w:r>
        <w:t xml:space="preserve">This distinction has established foundations. Proofs convey methodological knowledge beyond statements, and productivity need not coincide with understanding.⁴,⁵ Retrieval-assisted proving studies the availability of premises; truth-maintenance systems maintain reasons and revise dependent beliefs.⁶,⁷ Predictive representations characterise state through future action-dependent consequences, and equivalent expressive resources can have different optimisation dynamics.⁸,⁹ Organisational routines link situated performances with patterns they preserve and change.¹⁰ These accounts already address use, change and relationships. Our explanatory contribution is to organise the production, adoption and reconstruction of research conditions as a connected object of comparison: a usable method interface, an evidential obligation or an allocation of checking can be an outcome of earlier work and a condition of later work. We operationalise this object by separating what is available from what is actually used, what remains sufficient from what must be reconstructed, and a specified output from the state required for continuation. The finite witness and the two kinds of process record make different parts of these distinctions inspectable. Accordingly, an output comparison and a comparison of what can be done next need not hold the same things fixed.</w:t>
      </w:r>
    </w:p>
    <w:p>
      <w:pPr>
        <w:pStyle w:val="BodyText"/>
        <w:widowControl/>
      </w:pPr>
      <w:r>
        <w:t xml:space="preserve">Recent studies make this distinction timely. Research on model warmth tests a relation between desirable conversational properties rather than assuming their compatibility.¹¹ Model-collapse research examines how generated outputs alter later training conditions.¹² Paper2Agent converts papers and computational resources into interactive, executable research objects.¹³ Our concern is complementary: once a result or tool is available, how is its applicability established, used and reconstructed when its consequences expose a new requirement? We do not claim a newly discovered law of memory or proof application. We make this relation inspectable through a finite non-sufficiency result, a constructive repair, actual mathematical revision and successor-use records, and a known-proof application whose generated premise is consumed downstream. The mathematical result specifies a distinction between comparisons; the coefficient records make revision and changed-target reuse inspectable; and the Lean record shows a generated premise actually being consumed.</w:t>
      </w:r>
    </w:p>
    <w:bookmarkEnd w:id="9"/>
    <w:bookmarkStart w:id="10" w:name="practice-makes-future-conditions"/>
    <w:p>
      <w:pPr>
        <w:pStyle w:val="Heading2"/>
        <w:keepNext/>
        <w:widowControl/>
      </w:pPr>
      <w:r>
        <w:rPr>
          <w:rFonts w:ascii="Times New Roman" w:hAnsi="Times New Roman"/>
          <w:b/>
          <w:color w:val="000000"/>
          <w:sz w:val="26"/>
        </w:rPr>
        <w:t xml:space="preserve">Practice makes future conditions</w:t>
      </w:r>
    </w:p>
    <w:p>
      <w:pPr>
        <w:pStyle w:val="FirstParagraph"/>
        <w:widowControl/>
      </w:pPr>
      <w:r>
        <w:t xml:space="preserve">Consider a bounded research system containing people, agents, records, tools and the relevant environment. Let</w:t>
      </w:r>
      <w:r>
        <w:t xml:space="preserve"> </w:t>
      </w:r>
      <m:oMath>
        <m:sSub>
          <m:e>
            <m:r>
              <m:t>x</m:t>
            </m:r>
          </m:e>
          <m:sub>
            <m:r>
              <m:t>t</m:t>
            </m:r>
          </m:sub>
        </m:sSub>
      </m:oMath>
      <w:r>
        <w:t xml:space="preserve"> </w:t>
      </w:r>
      <w:r>
        <w:t xml:space="preserve">denote its causally relevant state and</w:t>
      </w:r>
      <w:r>
        <w:t xml:space="preserve"> </w:t>
      </w:r>
      <m:oMath>
        <m:sSub>
          <m:e>
            <m:r>
              <m:t>P</m:t>
            </m:r>
          </m:e>
          <m:sub>
            <m:r>
              <m:t>t</m:t>
            </m:r>
          </m:sub>
        </m:sSub>
        <m:r>
          <m:rPr>
            <m:sty m:val="p"/>
          </m:rPr>
          <m:t>=</m:t>
        </m:r>
        <m:r>
          <m:t>M</m:t>
        </m:r>
        <m:r>
          <m:rPr>
            <m:sty m:val="p"/>
          </m:rPr>
          <m:t>(</m:t>
        </m:r>
        <m:sSub>
          <m:e>
            <m:r>
              <m:t>x</m:t>
            </m:r>
          </m:e>
          <m:sub>
            <m:r>
              <m:t>t</m:t>
            </m:r>
          </m:sub>
        </m:sSub>
        <m:r>
          <m:rPr>
            <m:sty m:val="p"/>
          </m:rPr>
          <m:t>)</m:t>
        </m:r>
      </m:oMath>
      <w:r>
        <w:t xml:space="preserve"> </w:t>
      </w:r>
      <w:r>
        <w:t xml:space="preserve">a specified present product or observation. Its recorded history</w:t>
      </w:r>
      <w:r>
        <w:t xml:space="preserve"> </w:t>
      </w:r>
      <m:oMath>
        <m:sSub>
          <m:e>
            <m:r>
              <m:rPr>
                <m:scr m:val="script"/>
                <m:sty m:val="p"/>
              </m:rPr>
              <m:t>H</m:t>
            </m:r>
          </m:e>
          <m:sub>
            <m:r>
              <m:t>t</m:t>
            </m:r>
          </m:sub>
        </m:sSub>
      </m:oMath>
      <w:r>
        <w:t xml:space="preserve"> </w:t>
      </w:r>
      <w:r>
        <w:t xml:space="preserve">is evidence about how it reached that state, not a substitute for the state itself. A research arrangement links a problem to an admissible method, a method to evidence, and evidence to a participant or procedure authorised to use, challenge or revise it. These links have concrete carriers: parameter bindings, proof interfaces, test provenance, access rules, methodological explanations and assignments of responsibility. They may be explicit, distributed across participants or only partly recorded.</w:t>
      </w:r>
    </w:p>
    <w:p>
      <w:pPr>
        <w:pStyle w:val="BodyText"/>
        <w:widowControl/>
      </w:pPr>
      <w:r>
        <w:t xml:space="preserve">Four comparisons must therefore be separated. Product equivalence fixes a declared output or observation. Record equivalence fixes selected stored material. Complete causal-state equivalence fixes the relevant system and environment, rather than just their documentation. Finally, operational sufficiency is relative to a future regime</w:t>
      </w:r>
      <w:r>
        <w:t xml:space="preserve"> </w:t>
      </w:r>
      <m:oMath>
        <m:r>
          <m:rPr>
            <m:scr m:val="script"/>
            <m:sty m:val="p"/>
          </m:rPr>
          <m:t>F</m:t>
        </m:r>
      </m:oMath>
      <w:r>
        <w:t xml:space="preserve">: specified duties, tools, permissions, resources and a declared family of continuation policies. Two states are equivalent under</w:t>
      </w:r>
      <w:r>
        <w:t xml:space="preserve"> </w:t>
      </w:r>
      <m:oMath>
        <m:r>
          <m:rPr>
            <m:scr m:val="script"/>
            <m:sty m:val="p"/>
          </m:rPr>
          <m:t>F</m:t>
        </m:r>
      </m:oMath>
      <w:r>
        <w:t xml:space="preserve"> </w:t>
      </w:r>
      <w:r>
        <w:t xml:space="preserve">when their relevant future outcomes and costs have the same law under those matched policies. A proof, an error value or a list of lemmas can be equal while the other comparisons are not. If complete causal states and transition rules are equal, an unencoded historical force cannot explain different futures.</w:t>
      </w:r>
    </w:p>
    <w:p>
      <w:pPr>
        <w:pStyle w:val="BodyText"/>
        <w:widowControl/>
      </w:pPr>
      <w:r>
        <w:t xml:space="preserve">A research episode begins with an arrangement that makes some actions possible: a problem formulation, methods that participants know how to use, evidence with an assigned scope, and responsibilities for checking it. Joint work produces more than a saved answer when it changes this arrangement. A tested estimate may justify choosing a new route; a proof may expose a reusable parameter substitution; a failed derivation may identify a missing hypothesis. The relevant carrier can be a formula, an executable file, an explanation, a test receipt or a person’s acquired method. Formation is identified by an actual construction or revision history, not inferred merely because a useful object exists.</w:t>
      </w:r>
    </w:p>
    <w:p>
      <w:pPr>
        <w:pStyle w:val="BodyText"/>
        <w:widowControl/>
      </w:pPr>
      <w:r>
        <w:t xml:space="preserve">Adoption is the next distinct operation. A result becomes a working condition when it constrains a real decision or is instantiated as the premise of another inference. The resulting action produces consequences: a test confirms a limited range, a compiler rejects a binding, or a new application reveals that the evidence did not cover the intended case. Such feedback can leave the method unchanged, narrow its scope, alter an interface, or change who must check the claim. The changed arrangement becomes a reproduced research condition only when it participates in another action. Figure 1 distinguishes the established separation from its recorded operational instances. This sequence explains why accumulating correct outputs and maintaining future usability can coincide, but need not do so.</w:t>
      </w:r>
    </w:p>
    <w:p>
      <w:pPr>
        <w:pStyle w:val="BodyText"/>
        <w:widowControl/>
      </w:pPr>
      <w:r>
        <w:t xml:space="preserve">The human organiser belongs inside this sequence. Marx’s third thesis on Feuerbach challenges accounts that place the educator outside the process of change.¹⁴ Mao’s account of practice centres renewed action and revision under changed conditions.¹⁵ Here these ideas determine the boundary of the research system: selection, diagnosis, methodological explanation, checking labour and their possible errors must be recorded alongside agent behaviour. They do not prove a computational mechanism. In the retained study, human interventions altered the task and supplied an applicability strategy. Treating that contribution as free, infallible background would misattribute jointly organised performance to the model alone.</w:t>
      </w:r>
    </w:p>
    <w:p>
      <w:pPr>
        <w:pStyle w:val="BodyText"/>
        <w:widowControl/>
      </w:pPr>
      <w:r>
        <w:t xml:space="preserve">Three operations have different evidential requirements.</w:t>
      </w:r>
      <w:r>
        <w:t xml:space="preserve"> </w:t>
      </w:r>
      <w:r>
        <w:rPr>
          <w:b/>
          <w:bCs/>
        </w:rPr>
        <w:t xml:space="preserve">U1</w:t>
      </w:r>
      <w:r>
        <w:t xml:space="preserve">, using an existing method, includes applying a known theorem with the right substitutions.</w:t>
      </w:r>
      <w:r>
        <w:t xml:space="preserve"> </w:t>
      </w:r>
      <w:r>
        <w:rPr>
          <w:b/>
          <w:bCs/>
        </w:rPr>
        <w:t xml:space="preserve">U2</w:t>
      </w:r>
      <w:r>
        <w:t xml:space="preserve">, forming a method through practice, requires a newly established procedure or relation with an identifiable production history; constructing a particular proof object is a narrower instance than discovering a general method.</w:t>
      </w:r>
      <w:r>
        <w:t xml:space="preserve"> </w:t>
      </w:r>
      <w:r>
        <w:rPr>
          <w:b/>
          <w:bCs/>
        </w:rPr>
        <w:t xml:space="preserve">U3</w:t>
      </w:r>
      <w:r>
        <w:t xml:space="preserve">, reconstructing a method under changed conditions, requires a documented change in what the method must handle, a corresponding reconstruction and evidence of subsequent use. These operations need not occur in order or in every episode. A stable classical method may remain sufficient. A never-formed condition is not a lost one; an available but unused method is not forgotten; and restoration of a previously available arrangement differs from first formation or new reconstruction.</w:t>
      </w:r>
    </w:p>
    <w:p>
      <w:pPr>
        <w:pStyle w:val="BodyText"/>
        <w:widowControl/>
      </w:pPr>
      <w:r>
        <w:t xml:space="preserve">The account yields three conditional propositions. First, if a later duty depends on an applicability relation not determined by a specified current product, product equality alone cannot warrant continuation equality; the mathematical example below provides one exact case. Second, if a preserved or reconstructed interface supplies all required observations, updates and operations within budget, a more elaborate historical carrier is unnecessary for that regime. Third, a claim that joint practice produced a capacity requires a trace of formation, actual use and relevant consequences, not just a correlation between archive size and a final score. These propositions change what a comparison holds fixed: current output, available information, adopted working relation and complete state are different controls. An intervention that changes a purportedly relevant relation but leaves the predicted consequence unchanged, without repair through another route, would narrow its proposed role. Stable classical methods and adequate single-system implementations are substantive sufficient cases, not failed controls.</w:t>
      </w:r>
    </w:p>
    <w:bookmarkEnd w:id="10"/>
    <w:bookmarkStart w:id="11" w:name="equal-readouts-different-corrections"/>
    <w:p>
      <w:pPr>
        <w:pStyle w:val="Heading2"/>
        <w:keepNext/>
        <w:widowControl/>
      </w:pPr>
      <w:r>
        <w:rPr>
          <w:rFonts w:ascii="Times New Roman" w:hAnsi="Times New Roman"/>
          <w:b/>
          <w:color w:val="000000"/>
          <w:sz w:val="26"/>
        </w:rPr>
        <w:t xml:space="preserve">Equal readouts, different corrections</w:t>
      </w:r>
    </w:p>
    <w:p>
      <w:pPr>
        <w:pStyle w:val="FirstParagraph"/>
        <w:widowControl/>
      </w:pPr>
      <w:r>
        <w:t xml:space="preserve">The mathematical witness has a precise explanatory role: under its stated observation restriction, a present result does not determine the correction required next, whereas a compact state-aware operation does. A specified present readout is insufficient for exact correction across two admissible successor states. The source NS work uses a fixed primary wave and a covariance operator; positive amplitudes and an integral matrix support later signed corrections while retaining a quadratic remainder.¹⁶ We examine its explicitly derived coefficient reduction. Let</w:t>
      </w:r>
      <w:r>
        <w:t xml:space="preserve"> </w:t>
      </w:r>
      <m:oMath>
        <m:r>
          <m:t>z</m:t>
        </m:r>
      </m:oMath>
      <w:r>
        <w:t xml:space="preserve"> </w:t>
      </w:r>
      <w:r>
        <w:t xml:space="preserve">be the actual amplitude relative to a fixed base,</w:t>
      </w:r>
      <w:r>
        <w:t xml:space="preserve"> </w:t>
      </w:r>
      <m:oMath>
        <m:r>
          <m:t>p</m:t>
        </m:r>
      </m:oMath>
      <w:r>
        <w:t xml:space="preserve"> </w:t>
      </w:r>
      <w:r>
        <w:t xml:space="preserve">the target squared amplitude,</w:t>
      </w:r>
      <w:r>
        <w:t xml:space="preserve"> </w:t>
      </w:r>
      <m:oMath>
        <m:r>
          <m:t>r</m:t>
        </m:r>
        <m:r>
          <m:rPr>
            <m:sty m:val="p"/>
          </m:rPr>
          <m:t>=</m:t>
        </m:r>
        <m:r>
          <m:t>p</m:t>
        </m:r>
        <m:r>
          <m:rPr>
            <m:sty m:val="p"/>
          </m:rPr>
          <m:t>−</m:t>
        </m:r>
        <m:sSup>
          <m:e>
            <m:r>
              <m:t>z</m:t>
            </m:r>
          </m:e>
          <m:sup>
            <m:r>
              <m:t>2</m:t>
            </m:r>
          </m:sup>
        </m:sSup>
      </m:oMath>
      <w:r>
        <w:t xml:space="preserve"> </w:t>
      </w:r>
      <w:r>
        <w:t xml:space="preserve">the residual readout and</w:t>
      </w:r>
      <w:r>
        <w:t xml:space="preserve"> </w:t>
      </w:r>
      <m:oMath>
        <m:r>
          <m:t>g</m:t>
        </m:r>
      </m:oMath>
      <w:r>
        <w:t xml:space="preserve"> </w:t>
      </w:r>
      <w:r>
        <w:t xml:space="preserve">an applied increment. Writing</w:t>
      </w:r>
      <w:r>
        <w:t xml:space="preserve"> </w:t>
      </w:r>
      <m:oMath>
        <m:r>
          <m:t>u</m:t>
        </m:r>
        <m:r>
          <m:rPr>
            <m:sty m:val="p"/>
          </m:rPr>
          <m:t>=</m:t>
        </m:r>
        <m:r>
          <m:t>z</m:t>
        </m:r>
        <m:r>
          <m:rPr>
            <m:sty m:val="p"/>
          </m:rPr>
          <m:t>−</m:t>
        </m:r>
        <m:r>
          <m:t>1</m:t>
        </m:r>
      </m:oMath>
      <w:r>
        <w:t xml:space="preserve">, the complete consequence is</w:t>
      </w:r>
    </w:p>
    <w:p>
      <w:pPr>
        <w:pStyle w:val="BodyText"/>
        <w:widowControl/>
      </w:pPr>
      <m:oMathPara>
        <m:oMathParaPr>
          <m:jc m:val="center"/>
        </m:oMathParaPr>
        <m:oMath>
          <m:r>
            <m:t>E</m:t>
          </m:r>
          <m:r>
            <m:rPr>
              <m:sty m:val="p"/>
            </m:rPr>
            <m:t>=</m:t>
          </m:r>
          <m:r>
            <m:rPr>
              <m:sty m:val="p"/>
            </m:rPr>
            <m:t>(</m:t>
          </m:r>
          <m:r>
            <m:t>z</m:t>
          </m:r>
          <m:r>
            <m:rPr>
              <m:sty m:val="p"/>
            </m:rPr>
            <m:t>+</m:t>
          </m:r>
          <m:r>
            <m:t>g</m:t>
          </m:r>
          <m:sSup>
            <m:e>
              <m:r>
                <m:rPr>
                  <m:sty m:val="p"/>
                </m:rPr>
                <m:t>)</m:t>
              </m:r>
            </m:e>
            <m:sup>
              <m:r>
                <m:t>2</m:t>
              </m:r>
            </m:sup>
          </m:sSup>
          <m:r>
            <m:rPr>
              <m:sty m:val="p"/>
            </m:rPr>
            <m:t>−</m:t>
          </m:r>
          <m:r>
            <m:t>p</m:t>
          </m:r>
          <m:r>
            <m:rPr>
              <m:sty m:val="p"/>
            </m:rPr>
            <m:t>=</m:t>
          </m:r>
          <m:r>
            <m:rPr>
              <m:sty m:val="p"/>
            </m:rPr>
            <m:t>(</m:t>
          </m:r>
          <m:r>
            <m:t>2</m:t>
          </m:r>
          <m:r>
            <m:t>g</m:t>
          </m:r>
          <m:r>
            <m:rPr>
              <m:sty m:val="p"/>
            </m:rPr>
            <m:t>+</m:t>
          </m:r>
          <m:sSup>
            <m:e>
              <m:r>
                <m:t>g</m:t>
              </m:r>
            </m:e>
            <m:sup>
              <m:r>
                <m:t>2</m:t>
              </m:r>
            </m:sup>
          </m:sSup>
          <m:r>
            <m:rPr>
              <m:sty m:val="p"/>
            </m:rPr>
            <m:t>−</m:t>
          </m:r>
          <m:r>
            <m:t>r</m:t>
          </m:r>
          <m:r>
            <m:rPr>
              <m:sty m:val="p"/>
            </m:rPr>
            <m:t>)</m:t>
          </m:r>
          <m:r>
            <m:rPr>
              <m:sty m:val="p"/>
            </m:rPr>
            <m:t>+</m:t>
          </m:r>
          <m:r>
            <m:t>2</m:t>
          </m:r>
          <m:r>
            <m:t>u</m:t>
          </m:r>
          <m:r>
            <m:t>g</m:t>
          </m:r>
          <m:r>
            <m:rPr>
              <m:sty m:val="p"/>
            </m:rPr>
            <m:t>.</m:t>
          </m:r>
          <m:r>
            <m:t>  </m:t>
          </m:r>
          <m:r>
            <m:rPr>
              <m:sty m:val="p"/>
            </m:rPr>
            <m:t>(</m:t>
          </m:r>
          <m:r>
            <m:t>1</m:t>
          </m:r>
          <m:r>
            <m:rPr>
              <m:sty m:val="p"/>
            </m:rPr>
            <m:t>)</m:t>
          </m:r>
        </m:oMath>
      </m:oMathPara>
    </w:p>
    <w:p>
      <w:pPr>
        <w:pStyle w:val="FirstParagraph"/>
        <w:widowControl/>
      </w:pPr>
      <w:r>
        <w:t xml:space="preserve">The first term is the pure correction residual at the fixed base; the second contains the effect of the state already produced. Reducing the first term need not reduce their sum. Thus a continuation cannot be described solely as solving the same fresh problem repeatedly: the previous operation changes what the next one must receive.</w:t>
      </w:r>
    </w:p>
    <w:p>
      <w:pPr>
        <w:pStyle w:val="BodyText"/>
        <w:widowControl/>
      </w:pPr>
      <w:r>
        <w:t xml:space="preserve">Fix</w:t>
      </w:r>
      <w:r>
        <w:t xml:space="preserve"> </w:t>
      </w:r>
      <m:oMath>
        <m:r>
          <m:t>0</m:t>
        </m:r>
        <m:r>
          <m:rPr>
            <m:sty m:val="p"/>
          </m:rPr>
          <m:t>&lt;</m:t>
        </m:r>
        <m:r>
          <m:t>r</m:t>
        </m:r>
        <m:r>
          <m:rPr>
            <m:sty m:val="p"/>
          </m:rPr>
          <m:t>≤</m:t>
        </m:r>
        <m:r>
          <m:t>1</m:t>
        </m:r>
        <m:r>
          <m:rPr>
            <m:sty m:val="p"/>
          </m:rPr>
          <m:t>/</m:t>
        </m:r>
        <m:r>
          <m:t>4</m:t>
        </m:r>
      </m:oMath>
      <w:r>
        <w:t xml:space="preserve"> </w:t>
      </w:r>
      <w:r>
        <w:t xml:space="preserve">and</w:t>
      </w:r>
      <w:r>
        <w:t xml:space="preserve"> </w:t>
      </w:r>
      <m:oMath>
        <m:r>
          <m:t>0</m:t>
        </m:r>
        <m:r>
          <m:rPr>
            <m:sty m:val="p"/>
          </m:rPr>
          <m:t>&lt;</m:t>
        </m:r>
        <m:r>
          <m:t>v</m:t>
        </m:r>
        <m:r>
          <m:rPr>
            <m:sty m:val="p"/>
          </m:rPr>
          <m:t>≤</m:t>
        </m:r>
        <m:r>
          <m:t>1</m:t>
        </m:r>
        <m:r>
          <m:rPr>
            <m:sty m:val="p"/>
          </m:rPr>
          <m:t>/</m:t>
        </m:r>
        <m:r>
          <m:t>8</m:t>
        </m:r>
      </m:oMath>
      <w:r>
        <w:t xml:space="preserve">, and consider</w:t>
      </w:r>
      <w:r>
        <w:t xml:space="preserve"> </w:t>
      </w:r>
      <m:oMath>
        <m:sSub>
          <m:e>
            <m:r>
              <m:t>z</m:t>
            </m:r>
          </m:e>
          <m:sub>
            <m:r>
              <m:rPr>
                <m:sty m:val="p"/>
              </m:rPr>
              <m:t>±</m:t>
            </m:r>
          </m:sub>
        </m:sSub>
        <m:r>
          <m:rPr>
            <m:sty m:val="p"/>
          </m:rPr>
          <m:t>=</m:t>
        </m:r>
        <m:r>
          <m:t>1</m:t>
        </m:r>
        <m:r>
          <m:rPr>
            <m:sty m:val="p"/>
          </m:rPr>
          <m:t>±</m:t>
        </m:r>
        <m:r>
          <m:t>v</m:t>
        </m:r>
      </m:oMath>
      <w:r>
        <w:t xml:space="preserve"> </w:t>
      </w:r>
      <w:r>
        <w:t xml:space="preserve">with targets</w:t>
      </w:r>
      <w:r>
        <w:t xml:space="preserve"> </w:t>
      </w:r>
      <m:oMath>
        <m:sSub>
          <m:e>
            <m:r>
              <m:t>p</m:t>
            </m:r>
          </m:e>
          <m:sub>
            <m:r>
              <m:rPr>
                <m:sty m:val="p"/>
              </m:rPr>
              <m:t>±</m:t>
            </m:r>
          </m:sub>
        </m:sSub>
        <m:r>
          <m:rPr>
            <m:sty m:val="p"/>
          </m:rPr>
          <m:t>=</m:t>
        </m:r>
        <m:sSubSup>
          <m:e>
            <m:r>
              <m:t>z</m:t>
            </m:r>
          </m:e>
          <m:sub>
            <m:r>
              <m:rPr>
                <m:sty m:val="p"/>
              </m:rPr>
              <m:t>±</m:t>
            </m:r>
          </m:sub>
          <m:sup>
            <m:r>
              <m:t>2</m:t>
            </m:r>
          </m:sup>
        </m:sSubSup>
        <m:r>
          <m:rPr>
            <m:sty m:val="p"/>
          </m:rPr>
          <m:t>+</m:t>
        </m:r>
        <m:r>
          <m:t>r</m:t>
        </m:r>
      </m:oMath>
      <w:r>
        <w:t xml:space="preserve">. These two states have the same declared readout</w:t>
      </w:r>
      <w:r>
        <w:t xml:space="preserve"> </w:t>
      </w:r>
      <m:oMath>
        <m:r>
          <m:t>r</m:t>
        </m:r>
      </m:oMath>
      <w:r>
        <w:t xml:space="preserve">. Any deterministic action depending only on that readout must use the same</w:t>
      </w:r>
      <w:r>
        <w:t xml:space="preserve"> </w:t>
      </w:r>
      <m:oMath>
        <m:r>
          <m:t>g</m:t>
        </m:r>
      </m:oMath>
      <w:r>
        <w:t xml:space="preserve">, giving</w:t>
      </w:r>
    </w:p>
    <w:p>
      <w:pPr>
        <w:pStyle w:val="BodyText"/>
        <w:widowControl/>
      </w:pPr>
      <m:oMathPara>
        <m:oMathParaPr>
          <m:jc m:val="center"/>
        </m:oMathParaPr>
        <m:oMath>
          <m:sSub>
            <m:e>
              <m:r>
                <m:t>E</m:t>
              </m:r>
            </m:e>
            <m:sub>
              <m:r>
                <m:rPr>
                  <m:sty m:val="p"/>
                </m:rPr>
                <m:t>±</m:t>
              </m:r>
            </m:sub>
          </m:sSub>
          <m:r>
            <m:rPr>
              <m:sty m:val="p"/>
            </m:rPr>
            <m:t>=</m:t>
          </m:r>
          <m:sSup>
            <m:e>
              <m:r>
                <m:t>g</m:t>
              </m:r>
            </m:e>
            <m:sup>
              <m:r>
                <m:t>2</m:t>
              </m:r>
            </m:sup>
          </m:sSup>
          <m:r>
            <m:rPr>
              <m:sty m:val="p"/>
            </m:rPr>
            <m:t>+</m:t>
          </m:r>
          <m:r>
            <m:t>2</m:t>
          </m:r>
          <m:r>
            <m:rPr>
              <m:sty m:val="p"/>
            </m:rPr>
            <m:t>(</m:t>
          </m:r>
          <m:r>
            <m:t>1</m:t>
          </m:r>
          <m:r>
            <m:rPr>
              <m:sty m:val="p"/>
            </m:rPr>
            <m:t>±</m:t>
          </m:r>
          <m:r>
            <m:t>v</m:t>
          </m:r>
          <m:r>
            <m:rPr>
              <m:sty m:val="p"/>
            </m:rPr>
            <m:t>)</m:t>
          </m:r>
          <m:r>
            <m:t>g</m:t>
          </m:r>
          <m:r>
            <m:rPr>
              <m:sty m:val="p"/>
            </m:rPr>
            <m:t>−</m:t>
          </m:r>
          <m:r>
            <m:t>r</m:t>
          </m:r>
          <m:r>
            <m:rPr>
              <m:sty m:val="p"/>
            </m:rPr>
            <m:t>,</m:t>
          </m:r>
          <m:r>
            <m:t>  </m:t>
          </m:r>
          <m:sSub>
            <m:e>
              <m:r>
                <m:t>E</m:t>
              </m:r>
            </m:e>
            <m:sub>
              <m:r>
                <m:rPr>
                  <m:sty m:val="p"/>
                  <m:nor/>
                </m:rPr>
                <m:t>+</m:t>
              </m:r>
            </m:sub>
          </m:sSub>
          <m:r>
            <m:rPr>
              <m:sty m:val="p"/>
            </m:rPr>
            <m:t>−</m:t>
          </m:r>
          <m:sSub>
            <m:e>
              <m:r>
                <m:t>E</m:t>
              </m:r>
            </m:e>
            <m:sub>
              <m:r>
                <m:rPr>
                  <m:sty m:val="p"/>
                  <m:nor/>
                </m:rPr>
                <m:t>−</m:t>
              </m:r>
            </m:sub>
          </m:sSub>
          <m:r>
            <m:rPr>
              <m:sty m:val="p"/>
            </m:rPr>
            <m:t>=</m:t>
          </m:r>
          <m:r>
            <m:t>4</m:t>
          </m:r>
          <m:r>
            <m:t>v</m:t>
          </m:r>
          <m:r>
            <m:t>g</m:t>
          </m:r>
          <m:r>
            <m:rPr>
              <m:sty m:val="p"/>
            </m:rPr>
            <m:t>.</m:t>
          </m:r>
          <m:r>
            <m:t>  </m:t>
          </m:r>
          <m:r>
            <m:rPr>
              <m:sty m:val="p"/>
            </m:rPr>
            <m:t>(</m:t>
          </m:r>
          <m:r>
            <m:t>2</m:t>
          </m:r>
          <m:r>
            <m:rPr>
              <m:sty m:val="p"/>
            </m:rPr>
            <m:t>)</m:t>
          </m:r>
        </m:oMath>
      </m:oMathPara>
    </w:p>
    <w:p>
      <w:pPr>
        <w:pStyle w:val="FirstParagraph"/>
        <w:widowControl/>
      </w:pPr>
      <w:r>
        <w:t xml:space="preserve">Both residuals cannot vanish: that would require</w:t>
      </w:r>
      <w:r>
        <w:t xml:space="preserve"> </w:t>
      </w:r>
      <m:oMath>
        <m:r>
          <m:t>g</m:t>
        </m:r>
        <m:r>
          <m:rPr>
            <m:sty m:val="p"/>
          </m:rPr>
          <m:t>=</m:t>
        </m:r>
        <m:r>
          <m:t>0</m:t>
        </m:r>
      </m:oMath>
      <w:r>
        <w:t xml:space="preserve"> </w:t>
      </w:r>
      <w:r>
        <w:t xml:space="preserve">and hence</w:t>
      </w:r>
      <w:r>
        <w:t xml:space="preserve"> </w:t>
      </w:r>
      <m:oMath>
        <m:r>
          <m:t>r</m:t>
        </m:r>
        <m:r>
          <m:rPr>
            <m:sty m:val="p"/>
          </m:rPr>
          <m:t>=</m:t>
        </m:r>
        <m:r>
          <m:t>0</m:t>
        </m:r>
      </m:oMath>
      <w:r>
        <w:t xml:space="preserve">. More strongly,</w:t>
      </w:r>
    </w:p>
    <w:p>
      <w:pPr>
        <w:pStyle w:val="BodyText"/>
        <w:widowControl/>
      </w:pPr>
      <m:oMathPara>
        <m:oMathParaPr>
          <m:jc m:val="center"/>
        </m:oMathParaPr>
        <m:oMath>
          <m:limLow>
            <m:e>
              <m:r>
                <m:rPr>
                  <m:sty m:val="p"/>
                </m:rPr>
                <m:t>inf</m:t>
              </m:r>
            </m:e>
            <m:lim>
              <m:r>
                <m:t>g</m:t>
              </m:r>
              <m:r>
                <m:rPr>
                  <m:sty m:val="p"/>
                </m:rPr>
                <m:t>∈</m:t>
              </m:r>
              <m:r>
                <m:rPr>
                  <m:scr m:val="double-struck"/>
                  <m:sty m:val="p"/>
                </m:rPr>
                <m:t>R</m:t>
              </m:r>
            </m:lim>
          </m:limLow>
          <m:r>
            <m:rPr>
              <m:sty m:val="p"/>
              <m:nor/>
            </m:rPr>
            <m:t>max</m:t>
          </m:r>
          <m:d>
            <m:dPr>
              <m:begChr m:val="{"/>
              <m:sepChr m:val=""/>
              <m:endChr m:val="}"/>
              <m:grow/>
            </m:dPr>
            <m:e>
              <m:r>
                <m:rPr>
                  <m:sty m:val="p"/>
                </m:rPr>
                <m:t>|</m:t>
              </m:r>
              <m:sSub>
                <m:e>
                  <m:r>
                    <m:t>E</m:t>
                  </m:r>
                </m:e>
                <m:sub>
                  <m:r>
                    <m:rPr>
                      <m:sty m:val="p"/>
                      <m:nor/>
                    </m:rPr>
                    <m:t>+</m:t>
                  </m:r>
                </m:sub>
              </m:sSub>
              <m:r>
                <m:rPr>
                  <m:sty m:val="p"/>
                </m:rPr>
                <m:t>|</m:t>
              </m:r>
              <m:r>
                <m:rPr>
                  <m:sty m:val="p"/>
                </m:rPr>
                <m:t>,</m:t>
              </m:r>
              <m:r>
                <m:rPr>
                  <m:sty m:val="p"/>
                </m:rPr>
                <m:t>|</m:t>
              </m:r>
              <m:sSub>
                <m:e>
                  <m:r>
                    <m:t>E</m:t>
                  </m:r>
                </m:e>
                <m:sub>
                  <m:r>
                    <m:rPr>
                      <m:sty m:val="p"/>
                      <m:nor/>
                    </m:rPr>
                    <m:t>−</m:t>
                  </m:r>
                </m:sub>
              </m:sSub>
              <m:r>
                <m:rPr>
                  <m:sty m:val="p"/>
                </m:rPr>
                <m:t>|</m:t>
              </m:r>
            </m:e>
          </m:d>
          <m:r>
            <m:rPr>
              <m:sty m:val="p"/>
            </m:rPr>
            <m:t>=</m:t>
          </m:r>
          <m:r>
            <m:t>2</m:t>
          </m:r>
          <m:r>
            <m:t>v</m:t>
          </m:r>
          <m:d>
            <m:dPr>
              <m:begChr m:val="("/>
              <m:sepChr m:val=""/>
              <m:endChr m:val=")"/>
              <m:grow/>
            </m:dPr>
            <m:e>
              <m:rad>
                <m:radPr>
                  <m:degHide m:val="on"/>
                </m:radPr>
                <m:deg/>
                <m:e>
                  <m:r>
                    <m:t>1</m:t>
                  </m:r>
                  <m:r>
                    <m:rPr>
                      <m:sty m:val="p"/>
                    </m:rPr>
                    <m:t>+</m:t>
                  </m:r>
                  <m:r>
                    <m:t>r</m:t>
                  </m:r>
                </m:e>
              </m:rad>
              <m:r>
                <m:rPr>
                  <m:sty m:val="p"/>
                </m:rPr>
                <m:t>−</m:t>
              </m:r>
              <m:r>
                <m:t>1</m:t>
              </m:r>
            </m:e>
          </m:d>
          <m:r>
            <m:rPr>
              <m:sty m:val="p"/>
            </m:rPr>
            <m:t>&gt;</m:t>
          </m:r>
          <m:r>
            <m:t>0</m:t>
          </m:r>
          <m:r>
            <m:rPr>
              <m:sty m:val="p"/>
            </m:rPr>
            <m:t>.</m:t>
          </m:r>
          <m:r>
            <m:t>  </m:t>
          </m:r>
          <m:r>
            <m:rPr>
              <m:sty m:val="p"/>
            </m:rPr>
            <m:t>(</m:t>
          </m:r>
          <m:r>
            <m:t>3</m:t>
          </m:r>
          <m:r>
            <m:rPr>
              <m:sty m:val="p"/>
            </m:rPr>
            <m:t>)</m:t>
          </m:r>
        </m:oMath>
      </m:oMathPara>
    </w:p>
    <w:p>
      <w:pPr>
        <w:pStyle w:val="FirstParagraph"/>
        <w:widowControl/>
      </w:pPr>
      <w:r>
        <w:t xml:space="preserve">To see the bound, write the maximum as</w:t>
      </w:r>
      <w:r>
        <w:t xml:space="preserve"> </w:t>
      </w:r>
      <m:oMath>
        <m:r>
          <m:rPr>
            <m:sty m:val="p"/>
          </m:rPr>
          <m:t>|</m:t>
        </m:r>
        <m:sSup>
          <m:e>
            <m:r>
              <m:t>g</m:t>
            </m:r>
          </m:e>
          <m:sup>
            <m:r>
              <m:t>2</m:t>
            </m:r>
          </m:sup>
        </m:sSup>
        <m:r>
          <m:rPr>
            <m:sty m:val="p"/>
          </m:rPr>
          <m:t>+</m:t>
        </m:r>
        <m:r>
          <m:t>2</m:t>
        </m:r>
        <m:r>
          <m:t>g</m:t>
        </m:r>
        <m:r>
          <m:rPr>
            <m:sty m:val="p"/>
          </m:rPr>
          <m:t>−</m:t>
        </m:r>
        <m:r>
          <m:t>r</m:t>
        </m:r>
        <m:r>
          <m:rPr>
            <m:sty m:val="p"/>
          </m:rPr>
          <m:t>|</m:t>
        </m:r>
        <m:r>
          <m:rPr>
            <m:sty m:val="p"/>
          </m:rPr>
          <m:t>+</m:t>
        </m:r>
        <m:r>
          <m:t>2</m:t>
        </m:r>
        <m:r>
          <m:t>v</m:t>
        </m:r>
        <m:r>
          <m:rPr>
            <m:sty m:val="p"/>
          </m:rPr>
          <m:t>|</m:t>
        </m:r>
        <m:r>
          <m:t>g</m:t>
        </m:r>
        <m:r>
          <m:rPr>
            <m:sty m:val="p"/>
          </m:rPr>
          <m:t>|</m:t>
        </m:r>
      </m:oMath>
      <w:r>
        <w:t xml:space="preserve">. On</w:t>
      </w:r>
      <w:r>
        <w:t xml:space="preserve"> </w:t>
      </w:r>
      <m:oMath>
        <m:r>
          <m:t>g</m:t>
        </m:r>
        <m:r>
          <m:rPr>
            <m:sty m:val="p"/>
          </m:rPr>
          <m:t>≥</m:t>
        </m:r>
        <m:r>
          <m:t>0</m:t>
        </m:r>
      </m:oMath>
      <w:r>
        <w:t xml:space="preserve"> </w:t>
      </w:r>
      <w:r>
        <w:t xml:space="preserve">its minimum occurs at</w:t>
      </w:r>
      <w:r>
        <w:t xml:space="preserve"> </w:t>
      </w:r>
      <m:oMath>
        <m:r>
          <m:t>g</m:t>
        </m:r>
        <m:r>
          <m:rPr>
            <m:sty m:val="p"/>
          </m:rPr>
          <m:t>=</m:t>
        </m:r>
        <m:rad>
          <m:radPr>
            <m:degHide m:val="on"/>
          </m:radPr>
          <m:deg/>
          <m:e>
            <m:r>
              <m:t>1</m:t>
            </m:r>
            <m:r>
              <m:rPr>
                <m:sty m:val="p"/>
              </m:rPr>
              <m:t>+</m:t>
            </m:r>
            <m:r>
              <m:t>r</m:t>
            </m:r>
          </m:e>
        </m:rad>
        <m:r>
          <m:rPr>
            <m:sty m:val="p"/>
          </m:rPr>
          <m:t>−</m:t>
        </m:r>
        <m:r>
          <m:t>1</m:t>
        </m:r>
      </m:oMath>
      <w:r>
        <w:t xml:space="preserve">; on</w:t>
      </w:r>
      <w:r>
        <w:t xml:space="preserve"> </w:t>
      </w:r>
      <m:oMath>
        <m:r>
          <m:rPr>
            <m:sty m:val="p"/>
          </m:rPr>
          <m:t>[</m:t>
        </m:r>
        <m:r>
          <m:rPr>
            <m:sty m:val="p"/>
          </m:rPr>
          <m:t>−</m:t>
        </m:r>
        <m:r>
          <m:t>2</m:t>
        </m:r>
        <m:r>
          <m:rPr>
            <m:sty m:val="p"/>
          </m:rPr>
          <m:t>,</m:t>
        </m:r>
        <m:r>
          <m:t>0</m:t>
        </m:r>
        <m:r>
          <m:rPr>
            <m:sty m:val="p"/>
          </m:rPr>
          <m:t>]</m:t>
        </m:r>
      </m:oMath>
      <w:r>
        <w:t xml:space="preserve"> </w:t>
      </w:r>
      <w:r>
        <w:t xml:space="preserve">it is at least</w:t>
      </w:r>
      <w:r>
        <w:t xml:space="preserve"> </w:t>
      </w:r>
      <m:oMath>
        <m:r>
          <m:t>r</m:t>
        </m:r>
      </m:oMath>
      <w:r>
        <w:t xml:space="preserve">, and reflection of the remaining negative branch adds a positive offset. Supplementary Note 2 gives the piecewise proof. The restriction is explicit: the same deterministic action sees only</w:t>
      </w:r>
      <w:r>
        <w:t xml:space="preserve"> </w:t>
      </w:r>
      <m:oMath>
        <m:r>
          <m:t>r</m:t>
        </m:r>
      </m:oMath>
      <w:r>
        <w:t xml:space="preserve">, whereas</w:t>
      </w:r>
      <w:r>
        <w:t xml:space="preserve"> </w:t>
      </w:r>
      <m:oMath>
        <m:sSub>
          <m:e>
            <m:r>
              <m:t>z</m:t>
            </m:r>
          </m:e>
          <m:sub>
            <m:r>
              <m:rPr>
                <m:sty m:val="p"/>
              </m:rPr>
              <m:t>±</m:t>
            </m:r>
          </m:sub>
        </m:sSub>
      </m:oMath>
      <w:r>
        <w:t xml:space="preserve"> </w:t>
      </w:r>
      <w:r>
        <w:t xml:space="preserve">and</w:t>
      </w:r>
      <w:r>
        <w:t xml:space="preserve"> </w:t>
      </w:r>
      <m:oMath>
        <m:sSub>
          <m:e>
            <m:r>
              <m:t>p</m:t>
            </m:r>
          </m:e>
          <m:sub>
            <m:r>
              <m:rPr>
                <m:sty m:val="p"/>
              </m:rPr>
              <m:t>±</m:t>
            </m:r>
          </m:sub>
        </m:sSub>
      </m:oMath>
      <w:r>
        <w:t xml:space="preserve"> </w:t>
      </w:r>
      <w:r>
        <w:t xml:space="preserve">differ. This is not equality of complete current function, nor an assumption that the model in the later case ignored its state.</w:t>
      </w:r>
    </w:p>
    <w:p>
      <w:pPr>
        <w:pStyle w:val="BodyText"/>
        <w:widowControl/>
      </w:pPr>
      <w:r>
        <w:t xml:space="preserve">Adding the relevant state gives a constructive alternative. For</w:t>
      </w:r>
      <w:r>
        <w:t xml:space="preserve"> </w:t>
      </w:r>
      <m:oMath>
        <m:r>
          <m:t>r</m:t>
        </m:r>
        <m:r>
          <m:rPr>
            <m:sty m:val="p"/>
          </m:rPr>
          <m:t>∈</m:t>
        </m:r>
        <m:r>
          <m:rPr>
            <m:sty m:val="p"/>
          </m:rPr>
          <m:t>[</m:t>
        </m:r>
        <m:r>
          <m:rPr>
            <m:sty m:val="p"/>
          </m:rPr>
          <m:t>−</m:t>
        </m:r>
        <m:r>
          <m:t>1</m:t>
        </m:r>
        <m:r>
          <m:rPr>
            <m:sty m:val="p"/>
          </m:rPr>
          <m:t>/</m:t>
        </m:r>
        <m:r>
          <m:t>2</m:t>
        </m:r>
        <m:r>
          <m:rPr>
            <m:sty m:val="p"/>
          </m:rPr>
          <m:t>,</m:t>
        </m:r>
        <m:r>
          <m:t>1</m:t>
        </m:r>
        <m:r>
          <m:rPr>
            <m:sty m:val="p"/>
          </m:rPr>
          <m:t>/</m:t>
        </m:r>
        <m:r>
          <m:t>2</m:t>
        </m:r>
        <m:r>
          <m:rPr>
            <m:sty m:val="p"/>
          </m:rPr>
          <m:t>]</m:t>
        </m:r>
      </m:oMath>
      <w:r>
        <w:t xml:space="preserve"> </w:t>
      </w:r>
      <w:r>
        <w:t xml:space="preserve">and</w:t>
      </w:r>
      <w:r>
        <w:t xml:space="preserve"> </w:t>
      </w:r>
      <m:oMath>
        <m:r>
          <m:t>u</m:t>
        </m:r>
        <m:r>
          <m:rPr>
            <m:sty m:val="p"/>
          </m:rPr>
          <m:t>∈</m:t>
        </m:r>
        <m:r>
          <m:rPr>
            <m:sty m:val="p"/>
          </m:rPr>
          <m:t>[</m:t>
        </m:r>
        <m:r>
          <m:rPr>
            <m:sty m:val="p"/>
          </m:rPr>
          <m:t>−</m:t>
        </m:r>
        <m:r>
          <m:t>1</m:t>
        </m:r>
        <m:r>
          <m:rPr>
            <m:sty m:val="p"/>
          </m:rPr>
          <m:t>/</m:t>
        </m:r>
        <m:r>
          <m:t>4</m:t>
        </m:r>
        <m:r>
          <m:rPr>
            <m:sty m:val="p"/>
          </m:rPr>
          <m:t>,</m:t>
        </m:r>
        <m:r>
          <m:t>1</m:t>
        </m:r>
        <m:r>
          <m:rPr>
            <m:sty m:val="p"/>
          </m:rPr>
          <m:t>/</m:t>
        </m:r>
        <m:r>
          <m:t>4</m:t>
        </m:r>
        <m:r>
          <m:rPr>
            <m:sty m:val="p"/>
          </m:rPr>
          <m:t>]</m:t>
        </m:r>
      </m:oMath>
      <w:r>
        <w:t xml:space="preserve">, let</w:t>
      </w:r>
      <w:r>
        <w:t xml:space="preserve"> </w:t>
      </w:r>
      <m:oMath>
        <m:r>
          <m:t>z</m:t>
        </m:r>
        <m:r>
          <m:rPr>
            <m:sty m:val="p"/>
          </m:rPr>
          <m:t>=</m:t>
        </m:r>
        <m:r>
          <m:t>1</m:t>
        </m:r>
        <m:r>
          <m:rPr>
            <m:sty m:val="p"/>
          </m:rPr>
          <m:t>+</m:t>
        </m:r>
        <m:r>
          <m:t>u</m:t>
        </m:r>
      </m:oMath>
      <w:r>
        <w:t xml:space="preserve"> </w:t>
      </w:r>
      <w:r>
        <w:t xml:space="preserve">and</w:t>
      </w:r>
      <w:r>
        <w:t xml:space="preserve"> </w:t>
      </w:r>
      <m:oMath>
        <m:r>
          <m:t>w</m:t>
        </m:r>
        <m:r>
          <m:rPr>
            <m:sty m:val="p"/>
          </m:rPr>
          <m:t>=</m:t>
        </m:r>
        <m:rad>
          <m:radPr>
            <m:degHide m:val="on"/>
          </m:radPr>
          <m:deg/>
          <m:e>
            <m:sSup>
              <m:e>
                <m:r>
                  <m:t>z</m:t>
                </m:r>
              </m:e>
              <m:sup>
                <m:r>
                  <m:t>2</m:t>
                </m:r>
              </m:sup>
            </m:sSup>
            <m:r>
              <m:rPr>
                <m:sty m:val="p"/>
              </m:rPr>
              <m:t>+</m:t>
            </m:r>
            <m:r>
              <m:t>r</m:t>
            </m:r>
          </m:e>
        </m:rad>
      </m:oMath>
      <w:r>
        <w:t xml:space="preserve">. The radicand is at least</w:t>
      </w:r>
      <w:r>
        <w:t xml:space="preserve"> </w:t>
      </w:r>
      <m:oMath>
        <m:r>
          <m:t>1</m:t>
        </m:r>
        <m:r>
          <m:rPr>
            <m:sty m:val="p"/>
          </m:rPr>
          <m:t>/</m:t>
        </m:r>
        <m:r>
          <m:t>16</m:t>
        </m:r>
      </m:oMath>
      <w:r>
        <w:t xml:space="preserve">. Define smooth core functions</w:t>
      </w:r>
    </w:p>
    <w:p>
      <w:pPr>
        <w:pStyle w:val="BodyText"/>
        <w:widowControl/>
      </w:pPr>
      <m:oMathPara>
        <m:oMathParaPr>
          <m:jc m:val="center"/>
        </m:oMathParaPr>
        <m:oMath>
          <m:sSub>
            <m:e>
              <m:r>
                <m:t>C</m:t>
              </m:r>
            </m:e>
            <m:sub>
              <m:r>
                <m:rPr>
                  <m:sty m:val="p"/>
                  <m:nor/>
                </m:rPr>
                <m:t>*</m:t>
              </m:r>
            </m:sub>
          </m:sSub>
          <m:r>
            <m:rPr>
              <m:sty m:val="p"/>
            </m:rPr>
            <m:t>(</m:t>
          </m:r>
          <m:r>
            <m:t>r</m:t>
          </m:r>
          <m:r>
            <m:rPr>
              <m:sty m:val="p"/>
            </m:rPr>
            <m:t>,</m:t>
          </m:r>
          <m:r>
            <m:t>u</m:t>
          </m:r>
          <m:r>
            <m:rPr>
              <m:sty m:val="p"/>
            </m:rPr>
            <m:t>)</m:t>
          </m:r>
          <m:r>
            <m:rPr>
              <m:sty m:val="p"/>
            </m:rPr>
            <m:t>=</m:t>
          </m:r>
          <m:r>
            <m:rPr>
              <m:sty m:val="p"/>
            </m:rPr>
            <m:t>−</m:t>
          </m:r>
          <m:f>
            <m:fPr>
              <m:type m:val="bar"/>
            </m:fPr>
            <m:num>
              <m:r>
                <m:t>1</m:t>
              </m:r>
            </m:num>
            <m:den>
              <m:r>
                <m:t>2</m:t>
              </m:r>
              <m:r>
                <m:t>z</m:t>
              </m:r>
            </m:den>
          </m:f>
          <m:r>
            <m:rPr>
              <m:sty m:val="p"/>
            </m:rPr>
            <m:t>,</m:t>
          </m:r>
          <m:r>
            <m:t>  </m:t>
          </m:r>
          <m:sSub>
            <m:e>
              <m:r>
                <m:t>B</m:t>
              </m:r>
            </m:e>
            <m:sub>
              <m:r>
                <m:rPr>
                  <m:sty m:val="p"/>
                  <m:nor/>
                </m:rPr>
                <m:t>*</m:t>
              </m:r>
            </m:sub>
          </m:sSub>
          <m:r>
            <m:rPr>
              <m:sty m:val="p"/>
            </m:rPr>
            <m:t>(</m:t>
          </m:r>
          <m:r>
            <m:t>r</m:t>
          </m:r>
          <m:r>
            <m:rPr>
              <m:sty m:val="p"/>
            </m:rPr>
            <m:t>,</m:t>
          </m:r>
          <m:r>
            <m:t>u</m:t>
          </m:r>
          <m:r>
            <m:rPr>
              <m:sty m:val="p"/>
            </m:rPr>
            <m:t>)</m:t>
          </m:r>
          <m:r>
            <m:rPr>
              <m:sty m:val="p"/>
            </m:rPr>
            <m:t>=</m:t>
          </m:r>
          <m:r>
            <m:rPr>
              <m:sty m:val="p"/>
            </m:rPr>
            <m:t>−</m:t>
          </m:r>
          <m:f>
            <m:fPr>
              <m:type m:val="bar"/>
            </m:fPr>
            <m:num>
              <m:r>
                <m:t>1</m:t>
              </m:r>
            </m:num>
            <m:den>
              <m:r>
                <m:t>2</m:t>
              </m:r>
              <m:r>
                <m:t>z</m:t>
              </m:r>
              <m:r>
                <m:rPr>
                  <m:sty m:val="p"/>
                </m:rPr>
                <m:t>(</m:t>
              </m:r>
              <m:r>
                <m:t>w</m:t>
              </m:r>
              <m:r>
                <m:rPr>
                  <m:sty m:val="p"/>
                </m:rPr>
                <m:t>+</m:t>
              </m:r>
              <m:r>
                <m:t>z</m:t>
              </m:r>
              <m:sSup>
                <m:e>
                  <m:r>
                    <m:rPr>
                      <m:sty m:val="p"/>
                    </m:rPr>
                    <m:t>)</m:t>
                  </m:r>
                </m:e>
                <m:sup>
                  <m:r>
                    <m:t>2</m:t>
                  </m:r>
                </m:sup>
              </m:sSup>
            </m:den>
          </m:f>
          <m:r>
            <m:rPr>
              <m:sty m:val="p"/>
            </m:rPr>
            <m:t>.</m:t>
          </m:r>
          <m:r>
            <m:t>  </m:t>
          </m:r>
          <m:r>
            <m:rPr>
              <m:sty m:val="p"/>
            </m:rPr>
            <m:t>(</m:t>
          </m:r>
          <m:r>
            <m:t>4</m:t>
          </m:r>
          <m:r>
            <m:rPr>
              <m:sty m:val="p"/>
            </m:rPr>
            <m:t>)</m:t>
          </m:r>
        </m:oMath>
      </m:oMathPara>
    </w:p>
    <w:p>
      <w:pPr>
        <w:pStyle w:val="FirstParagraph"/>
        <w:widowControl/>
      </w:pPr>
      <w:r>
        <w:t xml:space="preserve">With a smooth cutoff</w:t>
      </w:r>
      <w:r>
        <w:t xml:space="preserve"> </w:t>
      </w:r>
      <m:oMath>
        <m:r>
          <m:rPr>
            <m:sty m:val="p"/>
          </m:rPr>
          <m:t>Φ</m:t>
        </m:r>
      </m:oMath>
      <w:r>
        <w:t xml:space="preserve"> </w:t>
      </w:r>
      <w:r>
        <w:t xml:space="preserve">equal to one on</w:t>
      </w:r>
      <w:r>
        <w:t xml:space="preserve"> </w:t>
      </w:r>
      <m:oMath>
        <m:r>
          <m:rPr>
            <m:sty m:val="p"/>
          </m:rPr>
          <m:t>|</m:t>
        </m:r>
        <m:r>
          <m:t>r</m:t>
        </m:r>
        <m:r>
          <m:rPr>
            <m:sty m:val="p"/>
          </m:rPr>
          <m:t>|</m:t>
        </m:r>
        <m:r>
          <m:rPr>
            <m:sty m:val="p"/>
          </m:rPr>
          <m:t>≤</m:t>
        </m:r>
        <m:r>
          <m:t>1</m:t>
        </m:r>
        <m:r>
          <m:rPr>
            <m:sty m:val="p"/>
          </m:rPr>
          <m:t>/</m:t>
        </m:r>
        <m:r>
          <m:t>4</m:t>
        </m:r>
      </m:oMath>
      <w:r>
        <w:t xml:space="preserve">,</w:t>
      </w:r>
      <w:r>
        <w:t xml:space="preserve"> </w:t>
      </w:r>
      <m:oMath>
        <m:r>
          <m:rPr>
            <m:sty m:val="p"/>
          </m:rPr>
          <m:t>|</m:t>
        </m:r>
        <m:r>
          <m:t>u</m:t>
        </m:r>
        <m:r>
          <m:rPr>
            <m:sty m:val="p"/>
          </m:rPr>
          <m:t>|</m:t>
        </m:r>
        <m:r>
          <m:rPr>
            <m:sty m:val="p"/>
          </m:rPr>
          <m:t>≤</m:t>
        </m:r>
        <m:r>
          <m:t>1</m:t>
        </m:r>
        <m:r>
          <m:rPr>
            <m:sty m:val="p"/>
          </m:rPr>
          <m:t>/</m:t>
        </m:r>
        <m:r>
          <m:t>8</m:t>
        </m:r>
      </m:oMath>
      <w:r>
        <w:t xml:space="preserve"> </w:t>
      </w:r>
      <w:r>
        <w:t xml:space="preserve">and zero outside the stated outer rectangle, the operation</w:t>
      </w:r>
    </w:p>
    <w:p>
      <w:pPr>
        <w:pStyle w:val="BodyText"/>
        <w:widowControl/>
      </w:pPr>
      <m:oMathPara>
        <m:oMathParaPr>
          <m:jc m:val="center"/>
        </m:oMathParaPr>
        <m:oMath>
          <m:r>
            <m:t>g</m:t>
          </m:r>
          <m:r>
            <m:rPr>
              <m:sty m:val="p"/>
            </m:rPr>
            <m:t>=</m:t>
          </m:r>
          <m:f>
            <m:fPr>
              <m:type m:val="bar"/>
            </m:fPr>
            <m:num>
              <m:r>
                <m:t>r</m:t>
              </m:r>
            </m:num>
            <m:den>
              <m:r>
                <m:t>2</m:t>
              </m:r>
            </m:den>
          </m:f>
          <m:r>
            <m:rPr>
              <m:sty m:val="p"/>
            </m:rPr>
            <m:t>+</m:t>
          </m:r>
          <m:r>
            <m:rPr>
              <m:sty m:val="p"/>
            </m:rPr>
            <m:t>Φ</m:t>
          </m:r>
          <m:d>
            <m:dPr>
              <m:begChr m:val="{"/>
              <m:sepChr m:val=""/>
              <m:endChr m:val="}"/>
              <m:grow/>
            </m:dPr>
            <m:e>
              <m:sSup>
                <m:e>
                  <m:r>
                    <m:t>r</m:t>
                  </m:r>
                </m:e>
                <m:sup>
                  <m:r>
                    <m:t>2</m:t>
                  </m:r>
                </m:sup>
              </m:sSup>
              <m:sSub>
                <m:e>
                  <m:r>
                    <m:t>B</m:t>
                  </m:r>
                </m:e>
                <m:sub>
                  <m:r>
                    <m:rPr>
                      <m:sty m:val="p"/>
                      <m:nor/>
                    </m:rPr>
                    <m:t>*</m:t>
                  </m:r>
                </m:sub>
              </m:sSub>
              <m:r>
                <m:rPr>
                  <m:sty m:val="p"/>
                </m:rPr>
                <m:t>+</m:t>
              </m:r>
              <m:r>
                <m:t>u</m:t>
              </m:r>
              <m:r>
                <m:t>r</m:t>
              </m:r>
              <m:sSub>
                <m:e>
                  <m:r>
                    <m:t>C</m:t>
                  </m:r>
                </m:e>
                <m:sub>
                  <m:r>
                    <m:rPr>
                      <m:sty m:val="p"/>
                      <m:nor/>
                    </m:rPr>
                    <m:t>*</m:t>
                  </m:r>
                </m:sub>
              </m:sSub>
            </m:e>
          </m:d>
          <m:r>
            <m:t>  </m:t>
          </m:r>
          <m:r>
            <m:rPr>
              <m:sty m:val="p"/>
            </m:rPr>
            <m:t>(</m:t>
          </m:r>
          <m:r>
            <m:t>5</m:t>
          </m:r>
          <m:r>
            <m:rPr>
              <m:sty m:val="p"/>
            </m:rPr>
            <m:t>)</m:t>
          </m:r>
        </m:oMath>
      </m:oMathPara>
    </w:p>
    <w:p>
      <w:pPr>
        <w:pStyle w:val="FirstParagraph"/>
        <w:widowControl/>
      </w:pPr>
      <w:r>
        <w:t xml:space="preserve">satisfies</w:t>
      </w:r>
      <w:r>
        <w:t xml:space="preserve"> </w:t>
      </w:r>
      <m:oMath>
        <m:r>
          <m:t>g</m:t>
        </m:r>
        <m:r>
          <m:rPr>
            <m:sty m:val="p"/>
          </m:rPr>
          <m:t>=</m:t>
        </m:r>
        <m:r>
          <m:t>w</m:t>
        </m:r>
        <m:r>
          <m:rPr>
            <m:sty m:val="p"/>
          </m:rPr>
          <m:t>−</m:t>
        </m:r>
        <m:r>
          <m:t>z</m:t>
        </m:r>
      </m:oMath>
      <w:r>
        <w:t xml:space="preserve"> </w:t>
      </w:r>
      <w:r>
        <w:t xml:space="preserve">and</w:t>
      </w:r>
      <w:r>
        <w:t xml:space="preserve"> </w:t>
      </w:r>
      <m:oMath>
        <m:r>
          <m:t>E</m:t>
        </m:r>
        <m:r>
          <m:rPr>
            <m:sty m:val="p"/>
          </m:rPr>
          <m:t>=</m:t>
        </m:r>
        <m:r>
          <m:t>0</m:t>
        </m:r>
      </m:oMath>
      <w:r>
        <w:t xml:space="preserve"> </w:t>
      </w:r>
      <w:r>
        <w:t xml:space="preserve">in the inner region. Outside the outer rectangle it returns to the signed linear correction; the transition remains smooth. The relevant state and a compact operation thus suffice for exact local correction. Positivity and all denominators are checked on an open neighbourhood of the stated outer rectangle, with no evaluation of a square root across a negative radicand.</w:t>
      </w:r>
    </w:p>
    <w:p>
      <w:pPr>
        <w:pStyle w:val="BodyText"/>
        <w:widowControl/>
      </w:pPr>
      <w:r>
        <w:t xml:space="preserve">This witness gives the title a precise meaning (Fig. 2): equality of a declared present quantity can coexist with a positive lower bound for observation-restricted correction, and the separation can disappear when the required state is preserved or reconstructed. These are standard algebraic tools applied to a specified continuation problem. Extending the construction to weighted wave classes requires the source derivative, support and multiplier assumptions. Neither the local witness nor a finite numerical check independently proves the global NS theorem, universal norm improvement or the properties of arbitrary generated code. Supplementary Note 2 states this mathematical scope once alongside the preserved counterexamples.</w:t>
      </w:r>
    </w:p>
    <w:bookmarkEnd w:id="11"/>
    <w:bookmarkStart w:id="12" w:name="when-compact-inheritance-is-enough"/>
    <w:p>
      <w:pPr>
        <w:pStyle w:val="Heading2"/>
        <w:keepNext/>
        <w:widowControl/>
      </w:pPr>
      <w:r>
        <w:rPr>
          <w:rFonts w:ascii="Times New Roman" w:hAnsi="Times New Roman"/>
          <w:b/>
          <w:color w:val="000000"/>
          <w:sz w:val="26"/>
        </w:rPr>
        <w:t xml:space="preserve">When compact inheritance is enough</w:t>
      </w:r>
    </w:p>
    <w:p>
      <w:pPr>
        <w:pStyle w:val="FirstParagraph"/>
        <w:widowControl/>
      </w:pPr>
      <w:r>
        <w:t xml:space="preserve">A compact record can preserve continuation without preserving the entire history. Suppose a compact record</w:t>
      </w:r>
      <w:r>
        <w:t xml:space="preserve"> </w:t>
      </w:r>
      <m:oMath>
        <m:r>
          <m:t>c</m:t>
        </m:r>
        <m:r>
          <m:rPr>
            <m:sty m:val="p"/>
          </m:rPr>
          <m:t>=</m:t>
        </m:r>
        <m:r>
          <m:t>C</m:t>
        </m:r>
        <m:r>
          <m:rPr>
            <m:sty m:val="p"/>
          </m:rPr>
          <m:t>(</m:t>
        </m:r>
        <m:r>
          <m:t>x</m:t>
        </m:r>
        <m:r>
          <m:rPr>
            <m:sty m:val="p"/>
          </m:rPr>
          <m:t>)</m:t>
        </m:r>
      </m:oMath>
      <w:r>
        <w:t xml:space="preserve"> </w:t>
      </w:r>
      <w:r>
        <w:t xml:space="preserve">supports the observations, permitted actions, successor updates and costs required by a declared family of future duties. If these laws factor through</w:t>
      </w:r>
      <w:r>
        <w:t xml:space="preserve"> </w:t>
      </w:r>
      <m:oMath>
        <m:r>
          <m:t>c</m:t>
        </m:r>
      </m:oMath>
      <w:r>
        <w:t xml:space="preserve"> </w:t>
      </w:r>
      <w:r>
        <w:t xml:space="preserve">and its successor can be updated by the same rule, a matched policy reproduces the relevant finite continuation law. This is the standard sufficient-state composition principle, proved by induction in Supplementary Note 3 and consistent with predictive representations.⁸ The result includes the transitions: reproducing today’s answer alone is insufficient. Legitimate rederivation also supplies a sufficient route when its construction and retrieval costs fit the specified budget.</w:t>
      </w:r>
    </w:p>
    <w:p>
      <w:pPr>
        <w:pStyle w:val="BodyText"/>
        <w:widowControl/>
      </w:pPr>
      <w:r>
        <w:t xml:space="preserve">The scientific problem is consequently not to maximise retained history. It is to identify what must remain actionable as the duties change. A compact interface, a conventional method or a single integrated solver can be fully sufficient; copying an entire transcript may add no value. An archive can preserve information without making it usable at the relevant time. Conversely, a summary can preserve the right conditions without preserving their entire production history. A shift to new duties can invalidate a previous sufficiency judgement, making the representation or method itself a legitimate object of further practice. This is the transition from inheritance to reconstruction, rather than an assumption of inevitable degradation.</w:t>
      </w:r>
    </w:p>
    <w:bookmarkEnd w:id="12"/>
    <w:bookmarkStart w:id="13" w:name="recorded-revision-and-continued-use"/>
    <w:p>
      <w:pPr>
        <w:pStyle w:val="Heading2"/>
        <w:keepNext/>
        <w:widowControl/>
      </w:pPr>
      <w:r>
        <w:rPr>
          <w:rFonts w:ascii="Times New Roman" w:hAnsi="Times New Roman"/>
          <w:b/>
          <w:color w:val="000000"/>
          <w:sz w:val="26"/>
        </w:rPr>
        <w:t xml:space="preserve">Recorded revision and continued use</w:t>
      </w:r>
    </w:p>
    <w:p>
      <w:pPr>
        <w:pStyle w:val="FirstParagraph"/>
        <w:widowControl/>
      </w:pPr>
      <w:r>
        <w:t xml:space="preserve">The coefficient records connect the distinction in equation (1) to actual formation, feedback-driven revision and subsequent use: an exact pure component can leave a whole residual through its interaction with the inherited state. Archived coefficient studies record actual revision and reuse under changed targets. Four formation episodes in an assistance comparison and eight in a version-adoption comparison produced 52 recorded stages and 104 completed model returns. Real programmes, feedback and the resulting amplitude fields were carried forward to changed targets. The common operation was</w:t>
      </w:r>
      <w:r>
        <w:t xml:space="preserve"> </w:t>
      </w:r>
      <m:oMath>
        <m:r>
          <m:t>g</m:t>
        </m:r>
        <m:r>
          <m:rPr>
            <m:sty m:val="p"/>
          </m:rPr>
          <m:t>=</m:t>
        </m:r>
        <m:r>
          <m:t>r</m:t>
        </m:r>
        <m:r>
          <m:rPr>
            <m:sty m:val="p"/>
          </m:rPr>
          <m:t>/</m:t>
        </m:r>
        <m:r>
          <m:t>2</m:t>
        </m:r>
        <m:r>
          <m:rPr>
            <m:sty m:val="p"/>
          </m:rPr>
          <m:t>+</m:t>
        </m:r>
        <m:r>
          <m:rPr>
            <m:sty m:val="p"/>
          </m:rPr>
          <m:t>Φ</m:t>
        </m:r>
        <m:r>
          <m:rPr>
            <m:sty m:val="p"/>
          </m:rPr>
          <m:t>(</m:t>
        </m:r>
        <m:r>
          <m:t>r</m:t>
        </m:r>
        <m:r>
          <m:rPr>
            <m:sty m:val="p"/>
          </m:rPr>
          <m:t>,</m:t>
        </m:r>
        <m:r>
          <m:t>u</m:t>
        </m:r>
        <m:r>
          <m:rPr>
            <m:sty m:val="p"/>
          </m:rPr>
          <m:t>)</m:t>
        </m:r>
        <m:r>
          <m:rPr>
            <m:sty m:val="p"/>
          </m:rPr>
          <m:t>[</m:t>
        </m:r>
        <m:sSup>
          <m:e>
            <m:r>
              <m:t>r</m:t>
            </m:r>
          </m:e>
          <m:sup>
            <m:r>
              <m:t>2</m:t>
            </m:r>
          </m:sup>
        </m:sSup>
        <m:r>
          <m:t>B</m:t>
        </m:r>
        <m:r>
          <m:rPr>
            <m:sty m:val="p"/>
          </m:rPr>
          <m:t>(</m:t>
        </m:r>
        <m:r>
          <m:t>r</m:t>
        </m:r>
        <m:r>
          <m:rPr>
            <m:sty m:val="p"/>
          </m:rPr>
          <m:t>,</m:t>
        </m:r>
        <m:r>
          <m:t>u</m:t>
        </m:r>
        <m:r>
          <m:rPr>
            <m:sty m:val="p"/>
          </m:rPr>
          <m:t>)</m:t>
        </m:r>
        <m:r>
          <m:rPr>
            <m:sty m:val="p"/>
          </m:rPr>
          <m:t>+</m:t>
        </m:r>
        <m:r>
          <m:t>u</m:t>
        </m:r>
        <m:r>
          <m:t>r</m:t>
        </m:r>
        <m:r>
          <m:t>C</m:t>
        </m:r>
        <m:r>
          <m:rPr>
            <m:sty m:val="p"/>
          </m:rPr>
          <m:t>(</m:t>
        </m:r>
        <m:r>
          <m:t>r</m:t>
        </m:r>
        <m:r>
          <m:rPr>
            <m:sty m:val="p"/>
          </m:rPr>
          <m:t>,</m:t>
        </m:r>
        <m:r>
          <m:t>u</m:t>
        </m:r>
        <m:r>
          <m:rPr>
            <m:sty m:val="p"/>
          </m:rPr>
          <m:t>)</m:t>
        </m:r>
        <m:r>
          <m:rPr>
            <m:sty m:val="p"/>
          </m:rPr>
          <m:t>]</m:t>
        </m:r>
      </m:oMath>
      <w:r>
        <w:t xml:space="preserve">; the agent supplied</w:t>
      </w:r>
      <w:r>
        <w:t xml:space="preserve"> </w:t>
      </w:r>
      <m:oMath>
        <m:r>
          <m:t>B</m:t>
        </m:r>
        <m:r>
          <m:rPr>
            <m:sty m:val="p"/>
          </m:rPr>
          <m:t>,</m:t>
        </m:r>
        <m:r>
          <m:t>C</m:t>
        </m:r>
      </m:oMath>
      <w:r>
        <w:t xml:space="preserve">, while the investigators supplied the template, cutoff, sources and duties. These observations directly instantiate equation (1), but not a complete NS construction. Two post-selected traces make the mathematical content of this continuation explicit (Fig. 3; Supplementary Note 9).</w:t>
      </w:r>
    </w:p>
    <w:p>
      <w:pPr>
        <w:pStyle w:val="BodyText"/>
        <w:widowControl/>
      </w:pPr>
      <w:r>
        <w:t xml:space="preserve">In one assistance episode, the initially formed rule retained</w:t>
      </w:r>
      <w:r>
        <w:t xml:space="preserve"> </w:t>
      </w:r>
      <m:oMath>
        <m:sSub>
          <m:e>
            <m:r>
              <m:t>B</m:t>
            </m:r>
          </m:e>
          <m:sub>
            <m:r>
              <m:t>0</m:t>
            </m:r>
          </m:sub>
        </m:sSub>
        <m:r>
          <m:rPr>
            <m:sty m:val="p"/>
          </m:rPr>
          <m:t>=</m:t>
        </m:r>
        <m:r>
          <m:rPr>
            <m:sty m:val="p"/>
          </m:rPr>
          <m:t>−</m:t>
        </m:r>
        <m:r>
          <m:t>1</m:t>
        </m:r>
        <m:r>
          <m:rPr>
            <m:sty m:val="p"/>
          </m:rPr>
          <m:t>/</m:t>
        </m:r>
        <m:r>
          <m:rPr>
            <m:sty m:val="p"/>
          </m:rPr>
          <m:t>[</m:t>
        </m:r>
        <m:r>
          <m:t>2</m:t>
        </m:r>
        <m:r>
          <m:rPr>
            <m:sty m:val="p"/>
          </m:rPr>
          <m:t>(</m:t>
        </m:r>
        <m:r>
          <m:t>1</m:t>
        </m:r>
        <m:r>
          <m:rPr>
            <m:sty m:val="p"/>
          </m:rPr>
          <m:t>+</m:t>
        </m:r>
        <m:rad>
          <m:radPr>
            <m:degHide m:val="on"/>
          </m:radPr>
          <m:deg/>
          <m:e>
            <m:r>
              <m:t>1</m:t>
            </m:r>
            <m:r>
              <m:rPr>
                <m:sty m:val="p"/>
              </m:rPr>
              <m:t>+</m:t>
            </m:r>
            <m:r>
              <m:t>r</m:t>
            </m:r>
          </m:e>
        </m:rad>
        <m:sSup>
          <m:e>
            <m:r>
              <m:rPr>
                <m:sty m:val="p"/>
              </m:rPr>
              <m:t>)</m:t>
            </m:r>
          </m:e>
          <m:sup>
            <m:r>
              <m:t>2</m:t>
            </m:r>
          </m:sup>
        </m:sSup>
        <m:r>
          <m:rPr>
            <m:sty m:val="p"/>
          </m:rPr>
          <m:t>]</m:t>
        </m:r>
      </m:oMath>
      <w:r>
        <w:t xml:space="preserve"> </w:t>
      </w:r>
      <w:r>
        <w:t xml:space="preserve">and</w:t>
      </w:r>
      <w:r>
        <w:t xml:space="preserve"> </w:t>
      </w:r>
      <m:oMath>
        <m:sSub>
          <m:e>
            <m:r>
              <m:t>C</m:t>
            </m:r>
          </m:e>
          <m:sub>
            <m:r>
              <m:t>0</m:t>
            </m:r>
          </m:sub>
        </m:sSub>
        <m:r>
          <m:rPr>
            <m:sty m:val="p"/>
          </m:rPr>
          <m:t>=</m:t>
        </m:r>
        <m:r>
          <m:t>0</m:t>
        </m:r>
      </m:oMath>
      <w:r>
        <w:t xml:space="preserve">. Writing</w:t>
      </w:r>
      <w:r>
        <w:t xml:space="preserve"> </w:t>
      </w:r>
      <m:oMath>
        <m:r>
          <m:t>s</m:t>
        </m:r>
        <m:r>
          <m:rPr>
            <m:sty m:val="p"/>
          </m:rPr>
          <m:t>=</m:t>
        </m:r>
        <m:rad>
          <m:radPr>
            <m:degHide m:val="on"/>
          </m:radPr>
          <m:deg/>
          <m:e>
            <m:r>
              <m:t>1</m:t>
            </m:r>
            <m:r>
              <m:rPr>
                <m:sty m:val="p"/>
              </m:rPr>
              <m:t>+</m:t>
            </m:r>
            <m:r>
              <m:t>r</m:t>
            </m:r>
          </m:e>
        </m:rad>
      </m:oMath>
      <w:r>
        <w:t xml:space="preserve">, it gives</w:t>
      </w:r>
      <w:r>
        <w:t xml:space="preserve"> </w:t>
      </w:r>
      <m:oMath>
        <m:r>
          <m:t>g</m:t>
        </m:r>
        <m:r>
          <m:rPr>
            <m:sty m:val="p"/>
          </m:rPr>
          <m:t>=</m:t>
        </m:r>
        <m:r>
          <m:t>s</m:t>
        </m:r>
        <m:r>
          <m:rPr>
            <m:sty m:val="p"/>
          </m:rPr>
          <m:t>−</m:t>
        </m:r>
        <m:r>
          <m:t>1</m:t>
        </m:r>
      </m:oMath>
      <w:r>
        <w:t xml:space="preserve">: its pure residual is exactly zero, yet its full successor residual is</w:t>
      </w:r>
      <w:r>
        <w:t xml:space="preserve"> </w:t>
      </w:r>
      <m:oMath>
        <m:r>
          <m:t>2</m:t>
        </m:r>
        <m:r>
          <m:t>u</m:t>
        </m:r>
        <m:r>
          <m:rPr>
            <m:sty m:val="p"/>
          </m:rPr>
          <m:t>(</m:t>
        </m:r>
        <m:r>
          <m:t>s</m:t>
        </m:r>
        <m:r>
          <m:rPr>
            <m:sty m:val="p"/>
          </m:rPr>
          <m:t>−</m:t>
        </m:r>
        <m:r>
          <m:t>1</m:t>
        </m:r>
        <m:r>
          <m:rPr>
            <m:sty m:val="p"/>
          </m:rPr>
          <m:t>)</m:t>
        </m:r>
      </m:oMath>
      <w:r>
        <w:t xml:space="preserve">. The agent’s first revision introduced</w:t>
      </w:r>
      <w:r>
        <w:t xml:space="preserve"> </w:t>
      </w:r>
      <m:oMath>
        <m:sSub>
          <m:e>
            <m:r>
              <m:t>C</m:t>
            </m:r>
          </m:e>
          <m:sub>
            <m:r>
              <m:t>1</m:t>
            </m:r>
          </m:sub>
        </m:sSub>
        <m:r>
          <m:rPr>
            <m:sty m:val="p"/>
          </m:rPr>
          <m:t>=</m:t>
        </m:r>
        <m:r>
          <m:rPr>
            <m:sty m:val="p"/>
          </m:rPr>
          <m:t>−</m:t>
        </m:r>
        <m:r>
          <m:t>1</m:t>
        </m:r>
        <m:r>
          <m:rPr>
            <m:sty m:val="p"/>
          </m:rPr>
          <m:t>/</m:t>
        </m:r>
        <m:r>
          <m:rPr>
            <m:sty m:val="p"/>
          </m:rPr>
          <m:t>[</m:t>
        </m:r>
        <m:r>
          <m:t>s</m:t>
        </m:r>
        <m:r>
          <m:rPr>
            <m:sty m:val="p"/>
          </m:rPr>
          <m:t>(</m:t>
        </m:r>
        <m:r>
          <m:t>1</m:t>
        </m:r>
        <m:r>
          <m:rPr>
            <m:sty m:val="p"/>
          </m:rPr>
          <m:t>+</m:t>
        </m:r>
        <m:r>
          <m:t>s</m:t>
        </m:r>
        <m:r>
          <m:rPr>
            <m:sty m:val="p"/>
          </m:rPr>
          <m:t>)</m:t>
        </m:r>
        <m:r>
          <m:rPr>
            <m:sty m:val="p"/>
          </m:rPr>
          <m:t>]</m:t>
        </m:r>
      </m:oMath>
      <w:r>
        <w:t xml:space="preserve">, changing the complete residual to</w:t>
      </w:r>
      <w:r>
        <w:t xml:space="preserve"> </w:t>
      </w:r>
      <m:oMath>
        <m:r>
          <m:rPr>
            <m:sty m:val="p"/>
          </m:rPr>
          <m:t>−</m:t>
        </m:r>
        <m:sSup>
          <m:e>
            <m:r>
              <m:t>u</m:t>
            </m:r>
          </m:e>
          <m:sup>
            <m:r>
              <m:t>2</m:t>
            </m:r>
          </m:sup>
        </m:sSup>
        <m:r>
          <m:t>r</m:t>
        </m:r>
        <m:r>
          <m:rPr>
            <m:sty m:val="p"/>
          </m:rPr>
          <m:t>/</m:t>
        </m:r>
        <m:r>
          <m:rPr>
            <m:sty m:val="p"/>
          </m:rPr>
          <m:t>(</m:t>
        </m:r>
        <m:r>
          <m:t>1</m:t>
        </m:r>
        <m:r>
          <m:rPr>
            <m:sty m:val="p"/>
          </m:rPr>
          <m:t>+</m:t>
        </m:r>
        <m:r>
          <m:t>r</m:t>
        </m:r>
        <m:r>
          <m:rPr>
            <m:sty m:val="p"/>
          </m:rPr>
          <m:t>)</m:t>
        </m:r>
      </m:oMath>
      <w:r>
        <w:t xml:space="preserve">. After numerical feedback, it produced a smooth secant expression for</w:t>
      </w:r>
      <w:r>
        <w:t xml:space="preserve"> </w:t>
      </w:r>
      <m:oMath>
        <m:r>
          <m:t>C</m:t>
        </m:r>
      </m:oMath>
      <w:r>
        <w:t xml:space="preserve">, while retaining</w:t>
      </w:r>
      <w:r>
        <w:t xml:space="preserve"> </w:t>
      </w:r>
      <m:oMath>
        <m:sSub>
          <m:e>
            <m:r>
              <m:t>B</m:t>
            </m:r>
          </m:e>
          <m:sub>
            <m:r>
              <m:t>0</m:t>
            </m:r>
          </m:sub>
        </m:sSub>
      </m:oMath>
      <w:r>
        <w:t xml:space="preserve">. On the declared core this gives</w:t>
      </w:r>
      <w:r>
        <w:t xml:space="preserve"> </w:t>
      </w:r>
      <m:oMath>
        <m:r>
          <m:t>g</m:t>
        </m:r>
        <m:r>
          <m:rPr>
            <m:sty m:val="p"/>
          </m:rPr>
          <m:t>=</m:t>
        </m:r>
        <m:rad>
          <m:radPr>
            <m:degHide m:val="on"/>
          </m:radPr>
          <m:deg/>
          <m:e>
            <m:r>
              <m:rPr>
                <m:sty m:val="p"/>
              </m:rPr>
              <m:t>(</m:t>
            </m:r>
            <m:r>
              <m:t>1</m:t>
            </m:r>
            <m:r>
              <m:rPr>
                <m:sty m:val="p"/>
              </m:rPr>
              <m:t>+</m:t>
            </m:r>
            <m:r>
              <m:t>u</m:t>
            </m:r>
            <m:sSup>
              <m:e>
                <m:r>
                  <m:rPr>
                    <m:sty m:val="p"/>
                  </m:rPr>
                  <m:t>)</m:t>
                </m:r>
              </m:e>
              <m:sup>
                <m:r>
                  <m:t>2</m:t>
                </m:r>
              </m:sup>
            </m:sSup>
            <m:r>
              <m:rPr>
                <m:sty m:val="p"/>
              </m:rPr>
              <m:t>+</m:t>
            </m:r>
            <m:r>
              <m:t>r</m:t>
            </m:r>
          </m:e>
        </m:rad>
        <m:r>
          <m:rPr>
            <m:sty m:val="p"/>
          </m:rPr>
          <m:t>−</m:t>
        </m:r>
        <m:r>
          <m:rPr>
            <m:sty m:val="p"/>
          </m:rPr>
          <m:t>(</m:t>
        </m:r>
        <m:r>
          <m:t>1</m:t>
        </m:r>
        <m:r>
          <m:rPr>
            <m:sty m:val="p"/>
          </m:rPr>
          <m:t>+</m:t>
        </m:r>
        <m:r>
          <m:t>u</m:t>
        </m:r>
        <m:r>
          <m:rPr>
            <m:sty m:val="p"/>
          </m:rPr>
          <m:t>)</m:t>
        </m:r>
      </m:oMath>
      <w:r>
        <w:t xml:space="preserve"> </w:t>
      </w:r>
      <w:r>
        <w:t xml:space="preserve">and an exactly zero complete residual. The recorded next continuation received and retained that actual programme and used its predecessor’s state. Crucially, the revised pure residual is generally non-zero: it cancels the inherited-state cross term. Correct continuation here required relinquishing a locally exact subresult, not improving every component separately.</w:t>
      </w:r>
    </w:p>
    <w:p>
      <w:pPr>
        <w:pStyle w:val="BodyText"/>
        <w:widowControl/>
      </w:pPr>
      <w:r>
        <w:t xml:space="preserve">A second episode recorded</w:t>
      </w:r>
      <w:r>
        <w:t xml:space="preserve"> </w:t>
      </w:r>
      <m:oMath>
        <m:r>
          <m:t>B</m:t>
        </m:r>
        <m:r>
          <m:rPr>
            <m:sty m:val="p"/>
          </m:rPr>
          <m:t>=</m:t>
        </m:r>
        <m:r>
          <m:rPr>
            <m:sty m:val="p"/>
          </m:rPr>
          <m:t>−</m:t>
        </m:r>
        <m:r>
          <m:t>1</m:t>
        </m:r>
        <m:r>
          <m:rPr>
            <m:sty m:val="p"/>
          </m:rPr>
          <m:t>/</m:t>
        </m:r>
        <m:r>
          <m:t>8</m:t>
        </m:r>
      </m:oMath>
      <w:r>
        <w:t xml:space="preserve"> </w:t>
      </w:r>
      <w:r>
        <w:t xml:space="preserve">and successive programmes with</w:t>
      </w:r>
      <w:r>
        <w:t xml:space="preserve"> </w:t>
      </w:r>
      <m:oMath>
        <m:r>
          <m:t>C</m:t>
        </m:r>
        <m:r>
          <m:rPr>
            <m:sty m:val="p"/>
          </m:rPr>
          <m:t>=</m:t>
        </m:r>
        <m:r>
          <m:rPr>
            <m:sty m:val="p"/>
          </m:rPr>
          <m:t>−</m:t>
        </m:r>
        <m:r>
          <m:t>1</m:t>
        </m:r>
        <m:r>
          <m:rPr>
            <m:sty m:val="p"/>
          </m:rPr>
          <m:t>/</m:t>
        </m:r>
        <m:r>
          <m:t>2</m:t>
        </m:r>
      </m:oMath>
      <w:r>
        <w:t xml:space="preserve">,</w:t>
      </w:r>
      <w:r>
        <w:t xml:space="preserve"> </w:t>
      </w:r>
      <m:oMath>
        <m:r>
          <m:rPr>
            <m:sty m:val="p"/>
          </m:rPr>
          <m:t>−</m:t>
        </m:r>
        <m:r>
          <m:t>1</m:t>
        </m:r>
        <m:r>
          <m:rPr>
            <m:sty m:val="p"/>
          </m:rPr>
          <m:t>/</m:t>
        </m:r>
        <m:r>
          <m:t>2</m:t>
        </m:r>
        <m:r>
          <m:rPr>
            <m:sty m:val="p"/>
          </m:rPr>
          <m:t>+</m:t>
        </m:r>
        <m:r>
          <m:t>u</m:t>
        </m:r>
        <m:r>
          <m:rPr>
            <m:sty m:val="p"/>
          </m:rPr>
          <m:t>/</m:t>
        </m:r>
        <m:r>
          <m:t>2</m:t>
        </m:r>
      </m:oMath>
      <w:r>
        <w:t xml:space="preserve">, and</w:t>
      </w:r>
      <w:r>
        <w:t xml:space="preserve"> </w:t>
      </w:r>
      <m:oMath>
        <m:r>
          <m:rPr>
            <m:sty m:val="p"/>
          </m:rPr>
          <m:t>−</m:t>
        </m:r>
        <m:r>
          <m:t>1</m:t>
        </m:r>
        <m:r>
          <m:rPr>
            <m:sty m:val="p"/>
          </m:rPr>
          <m:t>/</m:t>
        </m:r>
        <m:r>
          <m:t>2</m:t>
        </m:r>
        <m:r>
          <m:rPr>
            <m:sty m:val="p"/>
          </m:rPr>
          <m:t>+</m:t>
        </m:r>
        <m:r>
          <m:t>u</m:t>
        </m:r>
        <m:r>
          <m:rPr>
            <m:sty m:val="p"/>
          </m:rPr>
          <m:t>/</m:t>
        </m:r>
        <m:r>
          <m:t>2</m:t>
        </m:r>
        <m:r>
          <m:rPr>
            <m:sty m:val="p"/>
          </m:rPr>
          <m:t>−</m:t>
        </m:r>
        <m:sSup>
          <m:e>
            <m:r>
              <m:t>u</m:t>
            </m:r>
          </m:e>
          <m:sup>
            <m:r>
              <m:t>2</m:t>
            </m:r>
          </m:sup>
        </m:sSup>
        <m:r>
          <m:rPr>
            <m:sty m:val="p"/>
          </m:rPr>
          <m:t>/</m:t>
        </m:r>
        <m:r>
          <m:t>2</m:t>
        </m:r>
      </m:oMath>
      <w:r>
        <w:t xml:space="preserve">. These were generated, applied and passed onward, rather than inserted retrospectively by the analyst. For</w:t>
      </w:r>
      <w:r>
        <w:t xml:space="preserve"> </w:t>
      </w:r>
      <m:oMath>
        <m:r>
          <m:t>u</m:t>
        </m:r>
        <m:r>
          <m:rPr>
            <m:sty m:val="p"/>
          </m:rPr>
          <m:t>=</m:t>
        </m:r>
        <m:r>
          <m:t>a</m:t>
        </m:r>
        <m:r>
          <m:t>τ</m:t>
        </m:r>
      </m:oMath>
      <w:r>
        <w:t xml:space="preserve"> </w:t>
      </w:r>
      <w:r>
        <w:t xml:space="preserve">and</w:t>
      </w:r>
      <w:r>
        <w:t xml:space="preserve"> </w:t>
      </w:r>
      <m:oMath>
        <m:r>
          <m:t>r</m:t>
        </m:r>
        <m:r>
          <m:rPr>
            <m:sty m:val="p"/>
          </m:rPr>
          <m:t>=</m:t>
        </m:r>
        <m:r>
          <m:t>b</m:t>
        </m:r>
        <m:sSup>
          <m:e>
            <m:r>
              <m:t>τ</m:t>
            </m:r>
          </m:e>
          <m:sup>
            <m:r>
              <m:t>3</m:t>
            </m:r>
          </m:sup>
        </m:sSup>
      </m:oMath>
      <w:r>
        <w:t xml:space="preserve">, their whole residuals generally begin at orders</w:t>
      </w:r>
      <w:r>
        <w:t xml:space="preserve"> </w:t>
      </w:r>
      <m:oMath>
        <m:sSup>
          <m:e>
            <m:r>
              <m:t>τ</m:t>
            </m:r>
          </m:e>
          <m:sup>
            <m:r>
              <m:t>5</m:t>
            </m:r>
          </m:sup>
        </m:sSup>
      </m:oMath>
      <w:r>
        <w:t xml:space="preserve">,</w:t>
      </w:r>
      <w:r>
        <w:t xml:space="preserve"> </w:t>
      </w:r>
      <m:oMath>
        <m:sSup>
          <m:e>
            <m:r>
              <m:t>τ</m:t>
            </m:r>
          </m:e>
          <m:sup>
            <m:r>
              <m:t>6</m:t>
            </m:r>
          </m:sup>
        </m:sSup>
      </m:oMath>
      <w:r>
        <w:t xml:space="preserve"> </w:t>
      </w:r>
      <w:r>
        <w:t xml:space="preserve">and</w:t>
      </w:r>
      <w:r>
        <w:t xml:space="preserve"> </w:t>
      </w:r>
      <m:oMath>
        <m:sSup>
          <m:e>
            <m:r>
              <m:t>τ</m:t>
            </m:r>
          </m:e>
          <m:sup>
            <m:r>
              <m:t>7</m:t>
            </m:r>
          </m:sup>
        </m:sSup>
      </m:oMath>
      <w:r>
        <w:t xml:space="preserve">. The later duty was evaluated on the actual inherited field, not a reset base. This is a finite instance of revision under a changed target and renewed use. It is not a new general series method: the coefficients follow a familiar expansion, and the original explanation of one remaining term contained a sign error that is distinguished from the effective programme in Supplementary Note 9.</w:t>
      </w:r>
    </w:p>
    <w:p>
      <w:pPr>
        <w:pStyle w:val="BodyText"/>
        <w:widowControl/>
      </w:pPr>
      <w:r>
        <w:t xml:space="preserve">These traces are process evidence, not substitutes for the original comparisons. Seven of eight version pairs had identical initial and revised code; five final responses across the two studies were empty. In the fixed outer region, any valid programme applied</w:t>
      </w:r>
      <w:r>
        <w:t xml:space="preserve"> </w:t>
      </w:r>
      <m:oMath>
        <m:r>
          <m:t>r</m:t>
        </m:r>
        <m:r>
          <m:rPr>
            <m:sty m:val="p"/>
          </m:rPr>
          <m:t>/</m:t>
        </m:r>
        <m:r>
          <m:t>2</m:t>
        </m:r>
      </m:oMath>
      <w:r>
        <w:t xml:space="preserve">, whereas an empty final response applied no update. This route dominated large positive or negative aggregate contrasts. All original denominators and outcomes are retained, including the separately authorised supplementary observation replacing an unavailable analysis slot without resolving its historical unknown request. No stable average assistance or adoption benefit was established. Earlier finite-scalar comparisons also converged after adaptation. Thus revision and renewed use were observed, whereas their general causal advantage remains unresolved. This distinction replaces neither null results with selected successes nor executed work with a claim that no continuation occurred.</w:t>
      </w:r>
    </w:p>
    <w:bookmarkEnd w:id="13"/>
    <w:bookmarkStart w:id="14" w:name="an-available-result-becomes-a-premise"/>
    <w:p>
      <w:pPr>
        <w:pStyle w:val="Heading2"/>
        <w:keepNext/>
        <w:widowControl/>
      </w:pPr>
      <w:r>
        <w:rPr>
          <w:rFonts w:ascii="Times New Roman" w:hAnsi="Times New Roman"/>
          <w:b/>
          <w:color w:val="000000"/>
          <w:sz w:val="26"/>
        </w:rPr>
        <w:t xml:space="preserve">An available result becomes a premise</w:t>
      </w:r>
    </w:p>
    <w:p>
      <w:pPr>
        <w:pStyle w:val="FirstParagraph"/>
        <w:widowControl/>
      </w:pPr>
      <w:r>
        <w:t xml:space="preserve">A separate proof-completion record shows an existing mathematical result being made usable by a supplied consumer, at a different location in the covariance construction. The recorded task completes</w:t>
      </w:r>
      <w:r>
        <w:t xml:space="preserve"> </w:t>
      </w:r>
      <w:r>
        <w:rPr>
          <w:rStyle w:val="VerbatimChar"/>
        </w:rPr>
        <w:t xml:space="preserve">hclose</w:t>
      </w:r>
      <w:r>
        <w:t xml:space="preserve"> </w:t>
      </w:r>
      <w:r>
        <w:t xml:space="preserve">inside the supplied Lean theorem</w:t>
      </w:r>
      <w:r>
        <w:t xml:space="preserve"> </w:t>
      </w:r>
      <w:r>
        <w:rPr>
          <w:rStyle w:val="VerbatimChar"/>
        </w:rPr>
        <w:t xml:space="preserve">compact_chart_pair_bounds</w:t>
      </w:r>
      <w:r>
        <w:t xml:space="preserve">.¹⁷,¹⁸ The outer proof and two relevant lemma declarations were identical in the two conditions. An additional note in one condition explained how to apply those results to the current obligation. This deliberately selected, known-proof task supplies a local record of turning existing mathematics into an accepted premise; it is not a controlled instantiation of the two-state lower bound in equation (3).</w:t>
      </w:r>
    </w:p>
    <w:p>
      <w:pPr>
        <w:pStyle w:val="BodyText"/>
        <w:widowControl/>
      </w:pPr>
      <w:r>
        <w:t xml:space="preserve">The common mathematical assumption bounds a pulse-ratio error on an interval of length</w:t>
      </w:r>
      <w:r>
        <w:t xml:space="preserve"> </w:t>
      </w:r>
      <m:oMath>
        <m:sSub>
          <m:e>
            <m:r>
              <m:t>L</m:t>
            </m:r>
          </m:e>
          <m:sub>
            <m:r>
              <m:t>n</m:t>
            </m:r>
          </m:sub>
        </m:sSub>
      </m:oMath>
      <w:r>
        <w:t xml:space="preserve">. The available integral estimate expects the interval, denominator and centre in terms of</w:t>
      </w:r>
      <w:r>
        <w:t xml:space="preserve"> </w:t>
      </w:r>
      <m:oMath>
        <m:sSubSup>
          <m:e>
            <m:r>
              <m:t>R</m:t>
            </m:r>
          </m:e>
          <m:sub>
            <m:r>
              <m:t>n</m:t>
            </m:r>
          </m:sub>
          <m:sup>
            <m:r>
              <m:t>2</m:t>
            </m:r>
          </m:sup>
        </m:sSubSup>
      </m:oMath>
      <w:r>
        <w:t xml:space="preserve">. A second common lemma states</w:t>
      </w:r>
      <w:r>
        <w:t xml:space="preserve"> </w:t>
      </w:r>
      <m:oMath>
        <m:sSubSup>
          <m:e>
            <m:r>
              <m:t>R</m:t>
            </m:r>
          </m:e>
          <m:sub>
            <m:r>
              <m:t>n</m:t>
            </m:r>
          </m:sub>
          <m:sup>
            <m:r>
              <m:t>2</m:t>
            </m:r>
          </m:sup>
        </m:sSubSup>
        <m:r>
          <m:rPr>
            <m:sty m:val="p"/>
          </m:rPr>
          <m:t>=</m:t>
        </m:r>
        <m:sSub>
          <m:e>
            <m:r>
              <m:t>L</m:t>
            </m:r>
          </m:e>
          <m:sub>
            <m:r>
              <m:t>n</m:t>
            </m:r>
          </m:sub>
        </m:sSub>
      </m:oMath>
      <w:r>
        <w:t xml:space="preserve">. The obligation is therefore not to discover a missing numerical inequality, but to transport the entire dependent premise into the representation required by the integral estimate. Rewriting interval membership alone is insufficient: the conclusion obtained from that membership must also be rewritten. Figure 4 locates the exact application and its fixed downstream use.</w:t>
      </w:r>
    </w:p>
    <w:p>
      <w:pPr>
        <w:pStyle w:val="BodyText"/>
        <w:widowControl/>
      </w:pPr>
      <w:r>
        <w:t xml:space="preserve">After this transport, the supplied integral lemma yields</w:t>
      </w:r>
    </w:p>
    <w:p>
      <w:pPr>
        <w:pStyle w:val="BodyText"/>
        <w:widowControl/>
      </w:pPr>
      <m:oMathPara>
        <m:oMathParaPr>
          <m:jc m:val="center"/>
        </m:oMathParaPr>
        <m:oMath>
          <m:r>
            <m:rPr>
              <m:sty m:val="p"/>
            </m:rPr>
            <m:t>|</m:t>
          </m:r>
          <m:bar>
            <m:barPr>
              <m:pos m:val="top"/>
            </m:barPr>
            <m:e>
              <m:r>
                <m:t>H</m:t>
              </m:r>
            </m:e>
          </m:bar>
          <m:r>
            <m:rPr>
              <m:sty m:val="p"/>
            </m:rPr>
            <m:t>(</m:t>
          </m:r>
          <m:r>
            <m:t>P</m:t>
          </m:r>
          <m:sSub>
            <m:e>
              <m:r>
                <m:rPr>
                  <m:sty m:val="p"/>
                </m:rPr>
                <m:t>)</m:t>
              </m:r>
            </m:e>
            <m:sub>
              <m:r>
                <m:t>i</m:t>
              </m:r>
              <m:r>
                <m:t>j</m:t>
              </m:r>
            </m:sub>
          </m:sSub>
          <m:r>
            <m:rPr>
              <m:sty m:val="p"/>
            </m:rPr>
            <m:t>−</m:t>
          </m:r>
          <m:sSub>
            <m:e>
              <m:r>
                <m:t>H</m:t>
              </m:r>
            </m:e>
            <m:sub>
              <m:r>
                <m:t>0</m:t>
              </m:r>
            </m:sub>
          </m:sSub>
          <m:r>
            <m:rPr>
              <m:sty m:val="p"/>
            </m:rPr>
            <m:t>(</m:t>
          </m:r>
          <m:r>
            <m:t>ξ</m:t>
          </m:r>
          <m:sSub>
            <m:e>
              <m:r>
                <m:rPr>
                  <m:sty m:val="p"/>
                </m:rPr>
                <m:t>)</m:t>
              </m:r>
            </m:e>
            <m:sub>
              <m:r>
                <m:t>i</m:t>
              </m:r>
              <m:r>
                <m:t>j</m:t>
              </m:r>
            </m:sub>
          </m:sSub>
          <m:r>
            <m:rPr>
              <m:sty m:val="p"/>
            </m:rPr>
            <m:t>|</m:t>
          </m:r>
          <m:r>
            <m:rPr>
              <m:sty m:val="p"/>
            </m:rPr>
            <m:t>≤</m:t>
          </m:r>
          <m:f>
            <m:fPr>
              <m:type m:val="bar"/>
            </m:fPr>
            <m:num>
              <m:r>
                <m:t>e</m:t>
              </m:r>
              <m:r>
                <m:rPr>
                  <m:sty m:val="p"/>
                </m:rPr>
                <m:t>+</m:t>
              </m:r>
              <m:r>
                <m:t>d</m:t>
              </m:r>
              <m:r>
                <m:t>c</m:t>
              </m:r>
            </m:num>
            <m:den>
              <m:sSub>
                <m:e>
                  <m:r>
                    <m:t>R</m:t>
                  </m:r>
                </m:e>
                <m:sub>
                  <m:r>
                    <m:t>n</m:t>
                  </m:r>
                </m:sub>
              </m:sSub>
            </m:den>
          </m:f>
          <m:r>
            <m:rPr>
              <m:sty m:val="p"/>
            </m:rPr>
            <m:t>≤</m:t>
          </m:r>
          <m:f>
            <m:fPr>
              <m:type m:val="bar"/>
            </m:fPr>
            <m:num>
              <m:r>
                <m:t>e</m:t>
              </m:r>
              <m:r>
                <m:rPr>
                  <m:sty m:val="p"/>
                </m:rPr>
                <m:t>+</m:t>
              </m:r>
              <m:r>
                <m:t>d</m:t>
              </m:r>
              <m:r>
                <m:rPr>
                  <m:sty m:val="p"/>
                </m:rPr>
                <m:t>|</m:t>
              </m:r>
              <m:r>
                <m:t>c</m:t>
              </m:r>
              <m:r>
                <m:rPr>
                  <m:sty m:val="p"/>
                </m:rPr>
                <m:t>|</m:t>
              </m:r>
            </m:num>
            <m:den>
              <m:sSub>
                <m:e>
                  <m:r>
                    <m:t>R</m:t>
                  </m:r>
                </m:e>
                <m:sub>
                  <m:r>
                    <m:t>n</m:t>
                  </m:r>
                </m:sub>
              </m:sSub>
            </m:den>
          </m:f>
          <m:r>
            <m:rPr>
              <m:sty m:val="p"/>
            </m:rPr>
            <m:t>=</m:t>
          </m:r>
          <m:f>
            <m:fPr>
              <m:type m:val="bar"/>
            </m:fPr>
            <m:num>
              <m:r>
                <m:t>Q</m:t>
              </m:r>
            </m:num>
            <m:den>
              <m:sSub>
                <m:e>
                  <m:r>
                    <m:t>R</m:t>
                  </m:r>
                </m:e>
                <m:sub>
                  <m:r>
                    <m:t>n</m:t>
                  </m:r>
                </m:sub>
              </m:sSub>
            </m:den>
          </m:f>
          <m:r>
            <m:rPr>
              <m:sty m:val="p"/>
            </m:rPr>
            <m:t>≤</m:t>
          </m:r>
          <m:r>
            <m:t>ρ</m:t>
          </m:r>
          <m:r>
            <m:rPr>
              <m:sty m:val="p"/>
            </m:rPr>
            <m:t>.</m:t>
          </m:r>
          <m:r>
            <m:t>  </m:t>
          </m:r>
          <m:r>
            <m:rPr>
              <m:sty m:val="p"/>
            </m:rPr>
            <m:t>(</m:t>
          </m:r>
          <m:r>
            <m:t>6</m:t>
          </m:r>
          <m:r>
            <m:rPr>
              <m:sty m:val="p"/>
            </m:rPr>
            <m:t>)</m:t>
          </m:r>
        </m:oMath>
      </m:oMathPara>
    </w:p>
    <w:p>
      <w:pPr>
        <w:pStyle w:val="FirstParagraph"/>
        <w:widowControl/>
      </w:pPr>
      <w:r>
        <w:t xml:space="preserve">Here</w:t>
      </w:r>
      <w:r>
        <w:t xml:space="preserve"> </w:t>
      </w:r>
      <m:oMath>
        <m:r>
          <m:t>d</m:t>
        </m:r>
        <m:r>
          <m:rPr>
            <m:sty m:val="p"/>
          </m:rPr>
          <m:t>≥</m:t>
        </m:r>
        <m:r>
          <m:t>0</m:t>
        </m:r>
      </m:oMath>
      <w:r>
        <w:t xml:space="preserve">,</w:t>
      </w:r>
      <w:r>
        <w:t xml:space="preserve"> </w:t>
      </w:r>
      <m:oMath>
        <m:sSub>
          <m:e>
            <m:r>
              <m:t>R</m:t>
            </m:r>
          </m:e>
          <m:sub>
            <m:r>
              <m:t>n</m:t>
            </m:r>
          </m:sub>
        </m:sSub>
        <m:r>
          <m:rPr>
            <m:sty m:val="p"/>
          </m:rPr>
          <m:t>&gt;</m:t>
        </m:r>
        <m:r>
          <m:t>0</m:t>
        </m:r>
      </m:oMath>
      <w:r>
        <w:t xml:space="preserve">,</w:t>
      </w:r>
      <w:r>
        <w:t xml:space="preserve"> </w:t>
      </w:r>
      <m:oMath>
        <m:r>
          <m:t>Q</m:t>
        </m:r>
        <m:r>
          <m:rPr>
            <m:sty m:val="p"/>
          </m:rPr>
          <m:t>=</m:t>
        </m:r>
        <m:r>
          <m:t>e</m:t>
        </m:r>
        <m:r>
          <m:rPr>
            <m:sty m:val="p"/>
          </m:rPr>
          <m:t>+</m:t>
        </m:r>
        <m:r>
          <m:t>d</m:t>
        </m:r>
        <m:r>
          <m:rPr>
            <m:sty m:val="p"/>
          </m:rPr>
          <m:t>|</m:t>
        </m:r>
        <m:r>
          <m:t>c</m:t>
        </m:r>
        <m:r>
          <m:rPr>
            <m:sty m:val="p"/>
          </m:rPr>
          <m:t>|</m:t>
        </m:r>
        <m:r>
          <m:rPr>
            <m:sty m:val="p"/>
          </m:rPr>
          <m:t>≥</m:t>
        </m:r>
        <m:r>
          <m:t>0</m:t>
        </m:r>
      </m:oMath>
      <w:r>
        <w:t xml:space="preserve">, and the last comparison is already provided. The symbol</w:t>
      </w:r>
      <w:r>
        <w:t xml:space="preserve"> </w:t>
      </w:r>
      <m:oMath>
        <m:r>
          <m:t>e</m:t>
        </m:r>
      </m:oMath>
      <w:r>
        <w:t xml:space="preserve"> </w:t>
      </w:r>
      <w:r>
        <w:t xml:space="preserve">denotes the source error coefficient, not the residual</w:t>
      </w:r>
      <w:r>
        <w:t xml:space="preserve"> </w:t>
      </w:r>
      <m:oMath>
        <m:r>
          <m:t>E</m:t>
        </m:r>
      </m:oMath>
      <w:r>
        <w:t xml:space="preserve"> </w:t>
      </w:r>
      <w:r>
        <w:t xml:space="preserve">in equation (1). No division by</w:t>
      </w:r>
      <w:r>
        <w:t xml:space="preserve"> </w:t>
      </w:r>
      <m:oMath>
        <m:r>
          <m:t>Q</m:t>
        </m:r>
      </m:oMath>
      <w:r>
        <w:t xml:space="preserve"> </w:t>
      </w:r>
      <w:r>
        <w:t xml:space="preserve">is required, so the case</w:t>
      </w:r>
      <w:r>
        <w:t xml:space="preserve"> </w:t>
      </w:r>
      <m:oMath>
        <m:r>
          <m:t>Q</m:t>
        </m:r>
        <m:r>
          <m:rPr>
            <m:sty m:val="p"/>
          </m:rPr>
          <m:t>=</m:t>
        </m:r>
        <m:r>
          <m:t>0</m:t>
        </m:r>
      </m:oMath>
      <w:r>
        <w:t xml:space="preserve"> </w:t>
      </w:r>
      <w:r>
        <w:t xml:space="preserve">is retained. The resulting</w:t>
      </w:r>
      <w:r>
        <w:t xml:space="preserve"> </w:t>
      </w:r>
      <w:r>
        <w:rPr>
          <w:rStyle w:val="VerbatimChar"/>
        </w:rPr>
        <w:t xml:space="preserve">hclose</w:t>
      </w:r>
      <w:r>
        <w:t xml:space="preserve"> </w:t>
      </w:r>
      <w:r>
        <w:t xml:space="preserve">object is passed to the pre-written</w:t>
      </w:r>
      <w:r>
        <w:t xml:space="preserve"> </w:t>
      </w:r>
      <w:r>
        <w:rPr>
          <w:rStyle w:val="VerbatimChar"/>
        </w:rPr>
        <w:t xml:space="preserve">hmargin</w:t>
      </w:r>
      <w:r>
        <w:t xml:space="preserve"> </w:t>
      </w:r>
      <w:r>
        <w:t xml:space="preserve">application, which supplies margins subsequently combined with column-scale bounds to construct</w:t>
      </w:r>
      <w:r>
        <w:t xml:space="preserve"> </w:t>
      </w:r>
      <w:r>
        <w:rPr>
          <w:rStyle w:val="VerbatimChar"/>
        </w:rPr>
        <w:t xml:space="preserve">ZeroOrderBounds</w:t>
      </w:r>
      <w:r>
        <w:t xml:space="preserve">. This is actual consumption of a local proof object by downstream code, not an inferred relevance relation. The pulse construction, integral estimate, compactness argument and downstream plan themselves were supplied.</w:t>
      </w:r>
    </w:p>
    <w:p>
      <w:pPr>
        <w:pStyle w:val="BodyText"/>
        <w:widowControl/>
      </w:pPr>
      <w:r>
        <w:t xml:space="preserve">Abstractly, a result</w:t>
      </w:r>
      <w:r>
        <w:t xml:space="preserve"> </w:t>
      </w:r>
      <m:oMath>
        <m:r>
          <m:t>L</m:t>
        </m:r>
        <m:r>
          <m:rPr>
            <m:sty m:val="p"/>
          </m:rPr>
          <m:t>:</m:t>
        </m:r>
        <m:r>
          <m:rPr>
            <m:sty m:val="p"/>
          </m:rPr>
          <m:t>∀</m:t>
        </m:r>
        <m:r>
          <m:t>θ</m:t>
        </m:r>
        <m:r>
          <m:rPr>
            <m:sty m:val="p"/>
          </m:rPr>
          <m:t>,</m:t>
        </m:r>
        <m:r>
          <m:t> </m:t>
        </m:r>
        <m:r>
          <m:t>A</m:t>
        </m:r>
        <m:r>
          <m:rPr>
            <m:sty m:val="p"/>
          </m:rPr>
          <m:t>(</m:t>
        </m:r>
        <m:r>
          <m:t>θ</m:t>
        </m:r>
        <m:r>
          <m:rPr>
            <m:sty m:val="p"/>
          </m:rPr>
          <m:t>)</m:t>
        </m:r>
        <m:r>
          <m:rPr>
            <m:sty m:val="p"/>
          </m:rPr>
          <m:t>→</m:t>
        </m:r>
        <m:r>
          <m:t>C</m:t>
        </m:r>
        <m:r>
          <m:rPr>
            <m:sty m:val="p"/>
          </m:rPr>
          <m:t>(</m:t>
        </m:r>
        <m:r>
          <m:t>θ</m:t>
        </m:r>
        <m:r>
          <m:rPr>
            <m:sty m:val="p"/>
          </m:rPr>
          <m:t>)</m:t>
        </m:r>
      </m:oMath>
      <w:r>
        <w:t xml:space="preserve"> </w:t>
      </w:r>
      <w:r>
        <w:t xml:space="preserve">becomes usable for a consumer requiring</w:t>
      </w:r>
      <w:r>
        <w:t xml:space="preserve"> </w:t>
      </w:r>
      <m:oMath>
        <m:r>
          <m:t>I</m:t>
        </m:r>
      </m:oMath>
      <w:r>
        <w:t xml:space="preserve"> </w:t>
      </w:r>
      <w:r>
        <w:t xml:space="preserve">only after an admissible parameter choice, evidence for</w:t>
      </w:r>
      <w:r>
        <w:t xml:space="preserve"> </w:t>
      </w:r>
      <m:oMath>
        <m:r>
          <m:t>A</m:t>
        </m:r>
        <m:r>
          <m:rPr>
            <m:sty m:val="p"/>
          </m:rPr>
          <m:t>(</m:t>
        </m:r>
        <m:r>
          <m:t>θ</m:t>
        </m:r>
        <m:r>
          <m:rPr>
            <m:sty m:val="p"/>
          </m:rPr>
          <m:t>)</m:t>
        </m:r>
      </m:oMath>
      <w:r>
        <w:t xml:space="preserve"> </w:t>
      </w:r>
      <w:r>
        <w:t xml:space="preserve">and any necessary transport from</w:t>
      </w:r>
      <w:r>
        <w:t xml:space="preserve"> </w:t>
      </w:r>
      <m:oMath>
        <m:r>
          <m:t>C</m:t>
        </m:r>
        <m:r>
          <m:rPr>
            <m:sty m:val="p"/>
          </m:rPr>
          <m:t>(</m:t>
        </m:r>
        <m:r>
          <m:t>θ</m:t>
        </m:r>
        <m:r>
          <m:rPr>
            <m:sty m:val="p"/>
          </m:rPr>
          <m:t>)</m:t>
        </m:r>
      </m:oMath>
      <w:r>
        <w:t xml:space="preserve"> </w:t>
      </w:r>
      <w:r>
        <w:t xml:space="preserve">to</w:t>
      </w:r>
      <w:r>
        <w:t xml:space="preserve"> </w:t>
      </w:r>
      <m:oMath>
        <m:r>
          <m:t>I</m:t>
        </m:r>
      </m:oMath>
      <w:r>
        <w:t xml:space="preserve"> </w:t>
      </w:r>
      <w:r>
        <w:t xml:space="preserve">have been supplied. This is ordinary proof composition, not a new logical mechanism. It specifies the concrete relation observed here: common declarations did not by themselves determine whether a usable instance was constructed within the available work sequence. A correct compact record of that instantiation could be sufficient. The empirical case concerns application, whereas equations (1)–(5) concern state-dependent correction. Their correspondence is explanatory, not a claim that the two experiments or causal mechanisms are identical.</w:t>
      </w:r>
    </w:p>
    <w:bookmarkEnd w:id="14"/>
    <w:bookmarkStart w:id="15" w:name="what-the-recorded-comparison-establishes"/>
    <w:p>
      <w:pPr>
        <w:pStyle w:val="Heading2"/>
        <w:keepNext/>
        <w:widowControl/>
      </w:pPr>
      <w:r>
        <w:rPr>
          <w:rFonts w:ascii="Times New Roman" w:hAnsi="Times New Roman"/>
          <w:b/>
          <w:color w:val="000000"/>
          <w:sz w:val="26"/>
        </w:rPr>
        <w:t xml:space="preserve">What the recorded comparison establishes</w:t>
      </w:r>
    </w:p>
    <w:p>
      <w:pPr>
        <w:pStyle w:val="FirstParagraph"/>
        <w:widowControl/>
      </w:pPr>
      <w:r>
        <w:t xml:space="preserve">The saved record contains six returned model requests and five compiled candidates (Fig. 4). The applicability-guided condition produced two rejected candidates, then a third accepted candidate. The declarations-only condition first reached the 32,768-token output limit without a visible proof body; its next two candidates were rejected. The accepted body was mechanically inserted into the common enclosing theorem, whose saved Lean output reports the exact local type and dependencies</w:t>
      </w:r>
      <w:r>
        <w:t xml:space="preserve"> </w:t>
      </w:r>
      <w:r>
        <w:rPr>
          <w:rStyle w:val="VerbatimChar"/>
        </w:rPr>
        <w:t xml:space="preserve">propext</w:t>
      </w:r>
      <w:r>
        <w:t xml:space="preserve">,</w:t>
      </w:r>
      <w:r>
        <w:t xml:space="preserve"> </w:t>
      </w:r>
      <w:r>
        <w:rPr>
          <w:rStyle w:val="VerbatimChar"/>
        </w:rPr>
        <w:t xml:space="preserve">Classical.choice</w:t>
      </w:r>
      <w:r>
        <w:t xml:space="preserve"> </w:t>
      </w:r>
      <w:r>
        <w:t xml:space="preserve">and</w:t>
      </w:r>
      <w:r>
        <w:t xml:space="preserve"> </w:t>
      </w:r>
      <w:r>
        <w:rPr>
          <w:rStyle w:val="VerbatimChar"/>
        </w:rPr>
        <w:t xml:space="preserve">Quot.sound</w:t>
      </w:r>
      <w:r>
        <w:t xml:space="preserve">. Acceptance here denotes that retained compilation record; the local target’s meaning and the status of subsequent verification are stated separately in Methods.¹⁹</w:t>
      </w:r>
    </w:p>
    <w:p>
      <w:pPr>
        <w:pStyle w:val="BodyText"/>
        <w:widowControl/>
      </w:pPr>
      <w:r>
        <w:t xml:space="preserve">Both final candidates invoked the relevant integral lemma and scale identity. The final declarations-only body converted the interval-membership hypothesis, but returned an inequality still expressed using</w:t>
      </w:r>
      <w:r>
        <w:t xml:space="preserve"> </w:t>
      </w:r>
      <m:oMath>
        <m:sSub>
          <m:e>
            <m:r>
              <m:t>L</m:t>
            </m:r>
          </m:e>
          <m:sub>
            <m:r>
              <m:t>n</m:t>
            </m:r>
          </m:sub>
        </m:sSub>
      </m:oMath>
      <w:r>
        <w:t xml:space="preserve"> </w:t>
      </w:r>
      <w:r>
        <w:t xml:space="preserve">where the expected type used</w:t>
      </w:r>
      <w:r>
        <w:t xml:space="preserve"> </w:t>
      </w:r>
      <m:oMath>
        <m:sSubSup>
          <m:e>
            <m:r>
              <m:t>R</m:t>
            </m:r>
          </m:e>
          <m:sub>
            <m:r>
              <m:t>n</m:t>
            </m:r>
          </m:sub>
          <m:sup>
            <m:r>
              <m:t>2</m:t>
            </m:r>
          </m:sup>
        </m:sSubSup>
      </m:oMath>
      <w:r>
        <w:t xml:space="preserve">. The accepted candidate completed the representation change and the scalar comparison. The difference is therefore narrower and more informative than “one condition found the theorem and the other did not”. It identifies where an available result failed to become a consumer-ready premise. The guided condition’s earlier failures are retained alongside this success; the first truncated comparison request is not labelled a mathematically refuted proof.</w:t>
      </w:r>
    </w:p>
    <w:p>
      <w:pPr>
        <w:pStyle w:val="BodyText"/>
        <w:widowControl/>
      </w:pPr>
      <w:r>
        <w:t xml:space="preserve">The investigators selected this gap after several broader workflows had been modified or stopped. The guided note was researcher-written procedural information, not a blind summary of history; it added 332 initial input tokens. Realised computation also differed: guided requests used 25,757 input and 20,781 output tokens, compared with 12,124 and 41,009, respectively, in the comparison. Compiler feedback and subsequent inputs were consequently different. The experiment documents this local application sequence and its recorded contrast. It does not establish a general success rate, efficiency advantage or causal effect isolated from extra guidance and context use. Position and presentation are plausible alternatives in light of previous context-use research.²⁰ No history-retrieval or compression manipulation occurred in the final protocol.</w:t>
      </w:r>
    </w:p>
    <w:p>
      <w:pPr>
        <w:pStyle w:val="BodyText"/>
        <w:widowControl/>
      </w:pPr>
      <w:r>
        <w:t xml:space="preserve">The proof-completion episode records use of existing methods, formation of a particular proof object and feedback-based revision of that object. Its downstream consumer was supplied, so it does not by itself test reconstruction for a new duty. The coefficient episodes do contain changed-target revision and renewed use, under an investigator-provided interface. These complementary records support the existence of particular application and reconstruction processes, not autonomous formation of every condition in the theoretical cycle. Their distinct inputs, tasks and sampling prevent their treatment as independent confirmations of one general effect.</w:t>
      </w:r>
    </w:p>
    <w:p>
      <w:pPr>
        <w:pStyle w:val="BodyText"/>
        <w:widowControl/>
      </w:pPr>
      <w:r>
        <w:t xml:space="preserve">These distinctions also prevent several different histories from receiving the same explanation. An empty terminal return records no final programme, not proof that a method was never formed; a draft may already exist. Identical code can still be adopted and used on an inherited state. A failed conversion of an existing lemma concerns applicability at the consumer interface, not absence of the lemma. Changed-target revision followed by renewed use is documented in the coefficient traces; first non-formation, an available method never adopted, and restoration of a lost arrangement remain distinct theoretical possibilities rather than additional observed categories in these records. Formation of the accepted proof object does not measure a change in human understanding.</w:t>
      </w:r>
    </w:p>
    <w:bookmarkEnd w:id="15"/>
    <w:bookmarkStart w:id="16" w:name="conditions-for-further-discovery"/>
    <w:p>
      <w:pPr>
        <w:pStyle w:val="Heading2"/>
        <w:keepNext/>
        <w:widowControl/>
      </w:pPr>
      <w:r>
        <w:rPr>
          <w:rFonts w:ascii="Times New Roman" w:hAnsi="Times New Roman"/>
          <w:b/>
          <w:color w:val="000000"/>
          <w:sz w:val="26"/>
        </w:rPr>
        <w:t xml:space="preserve">Conditions for further discovery</w:t>
      </w:r>
    </w:p>
    <w:p>
      <w:pPr>
        <w:pStyle w:val="FirstParagraph"/>
        <w:widowControl/>
      </w:pPr>
      <w:r>
        <w:t xml:space="preserve">The account makes the formation, adoption and reconstruction of usable research conditions an explicit object of explanation and evaluation. Its established mathematical separation is specific and constructive: a declared current readout need not determine the correction required next, and relevant state can provide a compact sufficient repair. Actual records show both a formed programme being revised and reused under changed targets and an available theorem being made into a premise consumed by downstream code. In the former, improving the complete result could require abandoning exactness of a component. Together these contributions connect an exact distinction between comparisons to inspectable operations in joint practice. They make result production and the maintenance of usable research conditions distinguishable objects of inquiry, without requiring long histories to be intrinsically valuable or a new force beyond ordinary state and transition descriptions.</w:t>
      </w:r>
    </w:p>
    <w:p>
      <w:pPr>
        <w:pStyle w:val="BodyText"/>
        <w:widowControl/>
      </w:pPr>
      <w:r>
        <w:t xml:space="preserve">For mathematical understanding and training, the finite separation changes the comparison that matters. Equal assessed answers do not establish that learners can check assumptions, recognise another use or formulate the next problem. Evaluation can therefore pair a current result with a later duty requiring a stated relation—such as adapting a method after a hypothesis changes—and record both. The human prediction is that differences appear where the necessary relation is not fixed by the assessed product and cannot be reconstructed within budget. If a compact explanation or ordinary rederivation restores transfer, it is a successful educational design, not a failure to demonstrate historical necessity. If matched product performance also predicts all prespecified continuation duties across such interventions, the proposed additional distinction is unnecessary in that setting. Testing these claims requires actual human activity; Lean acceptance is evidence about a proof object, not a measure of understanding.¹,⁴,⁵</w:t>
      </w:r>
    </w:p>
    <w:p>
      <w:pPr>
        <w:pStyle w:val="BodyText"/>
        <w:widowControl/>
      </w:pPr>
      <w:r>
        <w:t xml:space="preserve">For research organisation, an intermediate result has value both as a finding and as a possible change to the next research arrangement. It can redirect a route, shift the evidential responsibility between participants, or justify reallocating resources. Recording only the final output obscures the labour that makes these changes workable. A contribution record should therefore distinguish production, applicability work, actual adoption and continuing maintenance; it should also record unsuccessful coordination and corrections to human judgement. The NS process account motivates this distinction without separating the effects of transfer, model changes, resources and selection.² Organisational research can test this relation where duties and access can be documented. A handoff intervention can track changes in checking or research routes, then test whether another carrier restores the same outcome and cost. Equivalent compact handoffs demonstrate preservation of the relevant conditions; no change without such restoration narrows the proposed relation’s role.¹⁰</w:t>
      </w:r>
    </w:p>
    <w:p>
      <w:pPr>
        <w:pStyle w:val="BodyText"/>
        <w:widowControl/>
      </w:pPr>
      <w:r>
        <w:t xml:space="preserve">For persistent agents, a completed task can be evaluated by what remains possible afterwards: correction under new evidence, adjustment of scope and reconstruction of a method for a changed objective. Pinned Codex sources make notes, context transitions and historical access distinct operations; their availability does not establish that the right conditions are preserved.³ Executable-paper systems provide another useful carrier.¹³ The design question is what state or application interface must survive, who can revise it, and whether the revision is used. A compact certified interface, reliable classical routine or integrated solver may satisfy these requirements without a long transcript. Conversely, preserving every message may still fail to make the relevant relationship actionable. These predictions require specified future duties, budgets and observations of restoration; they do not license inferring alienation or loss of agency from one failed proof attempt.</w:t>
      </w:r>
    </w:p>
    <w:p>
      <w:pPr>
        <w:pStyle w:val="BodyText"/>
        <w:widowControl/>
      </w:pPr>
      <w:r>
        <w:t xml:space="preserve">Written proofs, executable checks, preserved programmes and complete comparison records provide a basis for independent reproduction and extension. The present work is responsible for its finite claims, their assumptions and these traceable instances. Mathematical training can investigate how current achievement relates to later checking and method transfer; organisational research can track how adoption changes responsibilities and research routes; persistent-agent research can test what must remain actionable for correction and adaptation. Each extension has to specify its duties and costs and retain cases in which compact records, classical methods or rederivation suffice. The common question is not simply how many results a system produces, but what its work leaves people and agents able to do next.</w:t>
      </w:r>
    </w:p>
    <w:bookmarkEnd w:id="16"/>
    <w:bookmarkStart w:id="17" w:name="references"/>
    <w:p>
      <w:pPr>
        <w:pStyle w:val="Heading2"/>
        <w:keepNext/>
        <w:pageBreakBefore/>
        <w:widowControl/>
      </w:pPr>
      <w:r>
        <w:rPr>
          <w:rFonts w:ascii="Times New Roman" w:hAnsi="Times New Roman"/>
          <w:b/>
          <w:color w:val="000000"/>
          <w:sz w:val="26"/>
        </w:rPr>
        <w:t xml:space="preserve">References</w:t>
      </w:r>
    </w:p>
    <w:p>
      <w:pPr>
        <w:pStyle w:val="Compact"/>
        <w:widowControl/>
        <w:numPr>
          <w:ilvl w:val="0"/>
          <w:numId w:val="1001"/>
        </w:numPr>
      </w:pPr>
      <w:r>
        <w:t xml:space="preserve">Avila, A. et al. </w:t>
      </w:r>
      <w:r>
        <w:rPr>
          <w:i/>
          <w:iCs/>
        </w:rPr>
        <w:t xml:space="preserve">A Severe Misalignment of AI in Mathematics</w:t>
      </w:r>
      <w:r>
        <w:t xml:space="preserve">. Public statement (11 September 2026). doi:10.5281/zenodo.22737750.</w:t>
      </w:r>
    </w:p>
    <w:p>
      <w:pPr>
        <w:pStyle w:val="Compact"/>
        <w:widowControl/>
        <w:numPr>
          <w:ilvl w:val="0"/>
          <w:numId w:val="1001"/>
        </w:numPr>
      </w:pPr>
      <w:r>
        <w:t xml:space="preserve">OpenAI.</w:t>
      </w:r>
      <w:r>
        <w:t xml:space="preserve"> </w:t>
      </w:r>
      <w:r>
        <w:rPr>
          <w:i/>
          <w:iCs/>
        </w:rPr>
        <w:t xml:space="preserve">On the Navier–Stokes Millennium Prize Problem</w:t>
      </w:r>
      <w:r>
        <w:t xml:space="preserve">. Published process account (8 September 2026; updated 10 September 2026). https://openai.com/index/navier-stokes-solution/.</w:t>
      </w:r>
    </w:p>
    <w:p>
      <w:pPr>
        <w:pStyle w:val="Compact"/>
        <w:widowControl/>
        <w:numPr>
          <w:ilvl w:val="0"/>
          <w:numId w:val="1001"/>
        </w:numPr>
      </w:pPr>
      <w:r>
        <w:t xml:space="preserve">OpenAI.</w:t>
      </w:r>
      <w:r>
        <w:t xml:space="preserve"> </w:t>
      </w:r>
      <w:r>
        <w:rPr>
          <w:i/>
          <w:iCs/>
        </w:rPr>
        <w:t xml:space="preserve">Codex</w:t>
      </w:r>
      <w:r>
        <w:t xml:space="preserve">. Selected public sources at commit a8964cb1bad67bc26a826fb07d1bef99c6a3f008: context-window handler and history-notes extension (2026). Supplied immutable snapshot and licence; https://github.com/openai/codex/tree/a8964cb1bad67bc26a826fb07d1bef99c6a3f008.</w:t>
      </w:r>
    </w:p>
    <w:p>
      <w:pPr>
        <w:pStyle w:val="Compact"/>
        <w:widowControl/>
        <w:numPr>
          <w:ilvl w:val="0"/>
          <w:numId w:val="1001"/>
        </w:numPr>
      </w:pPr>
      <w:r>
        <w:t xml:space="preserve">Rav, Y. Why do we prove theorems?</w:t>
      </w:r>
      <w:r>
        <w:t xml:space="preserve"> </w:t>
      </w:r>
      <w:r>
        <w:rPr>
          <w:i/>
          <w:iCs/>
        </w:rPr>
        <w:t xml:space="preserve">Philosophia Mathematica</w:t>
      </w:r>
      <w:r>
        <w:t xml:space="preserve"> </w:t>
      </w:r>
      <w:r>
        <w:rPr>
          <w:b/>
          <w:bCs/>
        </w:rPr>
        <w:t xml:space="preserve">7</w:t>
      </w:r>
      <w:r>
        <w:t xml:space="preserve">, 5–41 (1999). doi:10.1093/philmat/7.1.5.</w:t>
      </w:r>
    </w:p>
    <w:p>
      <w:pPr>
        <w:pStyle w:val="Compact"/>
        <w:widowControl/>
        <w:numPr>
          <w:ilvl w:val="0"/>
          <w:numId w:val="1001"/>
        </w:numPr>
      </w:pPr>
      <w:r>
        <w:t xml:space="preserve">Messeri, L. &amp; Crockett, M. J. Artificial intelligence and illusions of understanding in scientific research.</w:t>
      </w:r>
      <w:r>
        <w:t xml:space="preserve"> </w:t>
      </w:r>
      <w:r>
        <w:rPr>
          <w:i/>
          <w:iCs/>
        </w:rPr>
        <w:t xml:space="preserve">Nature</w:t>
      </w:r>
      <w:r>
        <w:t xml:space="preserve"> </w:t>
      </w:r>
      <w:r>
        <w:rPr>
          <w:b/>
          <w:bCs/>
        </w:rPr>
        <w:t xml:space="preserve">627</w:t>
      </w:r>
      <w:r>
        <w:t xml:space="preserve">, 49–58 (2024). doi:10.1038/s41586-024-07146-0.</w:t>
      </w:r>
    </w:p>
    <w:p>
      <w:pPr>
        <w:pStyle w:val="Compact"/>
        <w:widowControl/>
        <w:numPr>
          <w:ilvl w:val="0"/>
          <w:numId w:val="1001"/>
        </w:numPr>
      </w:pPr>
      <w:r>
        <w:t xml:space="preserve">Yang, K. et al. LeanDojo: theorem proving with retrieval-augmented language models.</w:t>
      </w:r>
      <w:r>
        <w:t xml:space="preserve"> </w:t>
      </w:r>
      <w:r>
        <w:rPr>
          <w:i/>
          <w:iCs/>
        </w:rPr>
        <w:t xml:space="preserve">Advances in Neural Information Processing Systems</w:t>
      </w:r>
      <w:r>
        <w:t xml:space="preserve"> </w:t>
      </w:r>
      <w:r>
        <w:rPr>
          <w:b/>
          <w:bCs/>
        </w:rPr>
        <w:t xml:space="preserve">36</w:t>
      </w:r>
      <w:r>
        <w:t xml:space="preserve"> </w:t>
      </w:r>
      <w:r>
        <w:t xml:space="preserve">(2023). arXiv:2306.15626.</w:t>
      </w:r>
    </w:p>
    <w:p>
      <w:pPr>
        <w:pStyle w:val="Compact"/>
        <w:widowControl/>
        <w:numPr>
          <w:ilvl w:val="0"/>
          <w:numId w:val="1001"/>
        </w:numPr>
      </w:pPr>
      <w:r>
        <w:t xml:space="preserve">Doyle, J.</w:t>
      </w:r>
      <w:r>
        <w:t xml:space="preserve"> </w:t>
      </w:r>
      <w:r>
        <w:rPr>
          <w:i/>
          <w:iCs/>
        </w:rPr>
        <w:t xml:space="preserve">A Truth Maintenance System</w:t>
      </w:r>
      <w:r>
        <w:t xml:space="preserve">. MIT Artificial Intelligence Laboratory, AI Memo 521 (1979). https://dspace.mit.edu/entities/publication/5377b306-4ecc-4687-b1f5-78cbb4a0543a.</w:t>
      </w:r>
    </w:p>
    <w:p>
      <w:pPr>
        <w:pStyle w:val="Compact"/>
        <w:widowControl/>
        <w:numPr>
          <w:ilvl w:val="0"/>
          <w:numId w:val="1001"/>
        </w:numPr>
      </w:pPr>
      <w:r>
        <w:t xml:space="preserve">Littman, M. L., Sutton, R. S. &amp; Singh, S. Predictive representations of state.</w:t>
      </w:r>
      <w:r>
        <w:t xml:space="preserve"> </w:t>
      </w:r>
      <w:r>
        <w:rPr>
          <w:i/>
          <w:iCs/>
        </w:rPr>
        <w:t xml:space="preserve">Advances in Neural Information Processing Systems</w:t>
      </w:r>
      <w:r>
        <w:t xml:space="preserve"> </w:t>
      </w:r>
      <w:r>
        <w:rPr>
          <w:b/>
          <w:bCs/>
        </w:rPr>
        <w:t xml:space="preserve">14</w:t>
      </w:r>
      <w:r>
        <w:t xml:space="preserve"> </w:t>
      </w:r>
      <w:r>
        <w:t xml:space="preserve">(2001).</w:t>
      </w:r>
    </w:p>
    <w:p>
      <w:pPr>
        <w:pStyle w:val="Compact"/>
        <w:widowControl/>
        <w:numPr>
          <w:ilvl w:val="0"/>
          <w:numId w:val="1001"/>
        </w:numPr>
      </w:pPr>
      <w:r>
        <w:t xml:space="preserve">Arora, S., Cohen, N. &amp; Hazan, E. On the optimization of deep networks: implicit acceleration by overparameterization.</w:t>
      </w:r>
      <w:r>
        <w:t xml:space="preserve"> </w:t>
      </w:r>
      <w:r>
        <w:rPr>
          <w:i/>
          <w:iCs/>
        </w:rPr>
        <w:t xml:space="preserve">Proceedings of Machine Learning Research</w:t>
      </w:r>
      <w:r>
        <w:t xml:space="preserve"> </w:t>
      </w:r>
      <w:r>
        <w:rPr>
          <w:b/>
          <w:bCs/>
        </w:rPr>
        <w:t xml:space="preserve">80</w:t>
      </w:r>
      <w:r>
        <w:t xml:space="preserve">, 244–253 (2018).</w:t>
      </w:r>
    </w:p>
    <w:p>
      <w:pPr>
        <w:pStyle w:val="Compact"/>
        <w:widowControl/>
        <w:numPr>
          <w:ilvl w:val="0"/>
          <w:numId w:val="1001"/>
        </w:numPr>
      </w:pPr>
      <w:r>
        <w:t xml:space="preserve">Feldman, M. S. &amp; Pentland, B. T. Reconceptualizing organizational routines as a source of flexibility and change.</w:t>
      </w:r>
      <w:r>
        <w:t xml:space="preserve"> </w:t>
      </w:r>
      <w:r>
        <w:rPr>
          <w:i/>
          <w:iCs/>
        </w:rPr>
        <w:t xml:space="preserve">Administrative Science Quarterly</w:t>
      </w:r>
      <w:r>
        <w:t xml:space="preserve"> </w:t>
      </w:r>
      <w:r>
        <w:rPr>
          <w:b/>
          <w:bCs/>
        </w:rPr>
        <w:t xml:space="preserve">48</w:t>
      </w:r>
      <w:r>
        <w:t xml:space="preserve">, 94–118 (2003). doi:10.2307/3556620.</w:t>
      </w:r>
    </w:p>
    <w:p>
      <w:pPr>
        <w:pStyle w:val="Compact"/>
        <w:widowControl/>
        <w:numPr>
          <w:ilvl w:val="0"/>
          <w:numId w:val="1001"/>
        </w:numPr>
      </w:pPr>
      <w:r>
        <w:t xml:space="preserve">Ibrahim, L., Hafner, F. S. &amp; Rocher, L. Training language models to be warm can reduce accuracy and increase sycophancy.</w:t>
      </w:r>
      <w:r>
        <w:t xml:space="preserve"> </w:t>
      </w:r>
      <w:r>
        <w:rPr>
          <w:i/>
          <w:iCs/>
        </w:rPr>
        <w:t xml:space="preserve">Nature</w:t>
      </w:r>
      <w:r>
        <w:t xml:space="preserve"> </w:t>
      </w:r>
      <w:r>
        <w:rPr>
          <w:b/>
          <w:bCs/>
        </w:rPr>
        <w:t xml:space="preserve">652</w:t>
      </w:r>
      <w:r>
        <w:t xml:space="preserve">, 1159–1165 (2026). doi:10.1038/s41586-026-10410-0.</w:t>
      </w:r>
    </w:p>
    <w:p>
      <w:pPr>
        <w:pStyle w:val="Compact"/>
        <w:widowControl/>
        <w:numPr>
          <w:ilvl w:val="0"/>
          <w:numId w:val="1001"/>
        </w:numPr>
      </w:pPr>
      <w:r>
        <w:t xml:space="preserve">Shumailov, I. et al. AI models collapse when trained on recursively generated data.</w:t>
      </w:r>
      <w:r>
        <w:t xml:space="preserve"> </w:t>
      </w:r>
      <w:r>
        <w:rPr>
          <w:i/>
          <w:iCs/>
        </w:rPr>
        <w:t xml:space="preserve">Nature</w:t>
      </w:r>
      <w:r>
        <w:t xml:space="preserve"> </w:t>
      </w:r>
      <w:r>
        <w:rPr>
          <w:b/>
          <w:bCs/>
        </w:rPr>
        <w:t xml:space="preserve">631</w:t>
      </w:r>
      <w:r>
        <w:t xml:space="preserve">, 755–759 (2024). doi:10.1038/s41586-024-07566-y.</w:t>
      </w:r>
    </w:p>
    <w:p>
      <w:pPr>
        <w:pStyle w:val="Compact"/>
        <w:widowControl/>
        <w:numPr>
          <w:ilvl w:val="0"/>
          <w:numId w:val="1001"/>
        </w:numPr>
      </w:pPr>
      <w:r>
        <w:t xml:space="preserve">Miao, J., Davis, J. R., Zhang, Y., Pritchard, J. K. &amp; Zou, J. Reimagining research papers as interactive and reliable AI agents.</w:t>
      </w:r>
      <w:r>
        <w:t xml:space="preserve"> </w:t>
      </w:r>
      <w:r>
        <w:rPr>
          <w:i/>
          <w:iCs/>
        </w:rPr>
        <w:t xml:space="preserve">Nature</w:t>
      </w:r>
      <w:r>
        <w:t xml:space="preserve"> </w:t>
      </w:r>
      <w:r>
        <w:t xml:space="preserve">(2026). doi:10.1038/s41586-026-11044-y.</w:t>
      </w:r>
    </w:p>
    <w:p>
      <w:pPr>
        <w:pStyle w:val="Compact"/>
        <w:widowControl/>
        <w:numPr>
          <w:ilvl w:val="0"/>
          <w:numId w:val="1001"/>
        </w:numPr>
      </w:pPr>
      <w:r>
        <w:t xml:space="preserve">Marx, K. Theses on Feuerbach, especially theses II–III (1845). In</w:t>
      </w:r>
      <w:r>
        <w:t xml:space="preserve"> </w:t>
      </w:r>
      <w:r>
        <w:rPr>
          <w:i/>
          <w:iCs/>
        </w:rPr>
        <w:t xml:space="preserve">Marx/Engels Selected Works</w:t>
      </w:r>
      <w:r>
        <w:t xml:space="preserve">, Vol. 1, 13–15 (Progress Publishers, Moscow, 1969; W. Lough trans.; text edited by Engels).</w:t>
      </w:r>
    </w:p>
    <w:p>
      <w:pPr>
        <w:pStyle w:val="Compact"/>
        <w:widowControl/>
        <w:numPr>
          <w:ilvl w:val="0"/>
          <w:numId w:val="1001"/>
        </w:numPr>
      </w:pPr>
      <w:r>
        <w:t xml:space="preserve">Mao, Z. On practice: on the relation between knowledge and practice, between knowing and doing (July 1937). In</w:t>
      </w:r>
      <w:r>
        <w:t xml:space="preserve"> </w:t>
      </w:r>
      <w:r>
        <w:rPr>
          <w:i/>
          <w:iCs/>
        </w:rPr>
        <w:t xml:space="preserve">Selected Works of Mao Tse-tung</w:t>
      </w:r>
      <w:r>
        <w:t xml:space="preserve">, Vol. 1 (Foreign Languages Press; online primary-text edition at Marxists Internet Archive). https://www.marxists.org/reference/archive/mao/selected-works/volume-1/mswv1_16.htm.</w:t>
      </w:r>
    </w:p>
    <w:p>
      <w:pPr>
        <w:pStyle w:val="Compact"/>
        <w:widowControl/>
        <w:numPr>
          <w:ilvl w:val="0"/>
          <w:numId w:val="1001"/>
        </w:numPr>
      </w:pPr>
      <w:r>
        <w:t xml:space="preserve">OpenAI.</w:t>
      </w:r>
      <w:r>
        <w:t xml:space="preserve"> </w:t>
      </w:r>
      <w:r>
        <w:rPr>
          <w:i/>
          <w:iCs/>
        </w:rPr>
        <w:t xml:space="preserve">Finite Time Blowup for Navier–Stokes</w:t>
      </w:r>
      <w:r>
        <w:t xml:space="preserve">. Public manuscript, 166-page version consulted 20 September 2026. https://cdn.openai.com/pdf/32d9f210-8b73-45e0-91bc-82a30aef8a9a/navier-stokes.pdf.</w:t>
      </w:r>
    </w:p>
    <w:p>
      <w:pPr>
        <w:pStyle w:val="Compact"/>
        <w:widowControl/>
        <w:numPr>
          <w:ilvl w:val="0"/>
          <w:numId w:val="1001"/>
        </w:numPr>
      </w:pPr>
      <w:r>
        <w:t xml:space="preserve">OpenAI.</w:t>
      </w:r>
      <w:r>
        <w:t xml:space="preserve"> </w:t>
      </w:r>
      <w:r>
        <w:rPr>
          <w:i/>
          <w:iCs/>
        </w:rPr>
        <w:t xml:space="preserve">NavierStokesAndEuler</w:t>
      </w:r>
      <w:r>
        <w:t xml:space="preserve">, commit f9e8bc5b38b6e212696e8a30e3e91517af887bbd. File</w:t>
      </w:r>
      <w:r>
        <w:t xml:space="preserve"> </w:t>
      </w:r>
      <w:r>
        <w:rPr>
          <w:rStyle w:val="VerbatimChar"/>
        </w:rPr>
        <w:t xml:space="preserve">NavierStokes/PrimaryCovarianceBounds.lean</w:t>
      </w:r>
      <w:r>
        <w:t xml:space="preserve">; retained original in the study archive (2026).</w:t>
      </w:r>
    </w:p>
    <w:p>
      <w:pPr>
        <w:pStyle w:val="Compact"/>
        <w:widowControl/>
        <w:numPr>
          <w:ilvl w:val="0"/>
          <w:numId w:val="1001"/>
        </w:numPr>
      </w:pPr>
      <w:r>
        <w:t xml:space="preserve">de Moura, L. &amp; Ullrich, S. The Lean 4 theorem prover and programming language. In</w:t>
      </w:r>
      <w:r>
        <w:t xml:space="preserve"> </w:t>
      </w:r>
      <w:r>
        <w:rPr>
          <w:i/>
          <w:iCs/>
        </w:rPr>
        <w:t xml:space="preserve">Automated Deduction—CADE 28</w:t>
      </w:r>
      <w:r>
        <w:t xml:space="preserve">, 625–635 (2021). doi:10.1007/978-3-030-79876-5_37.</w:t>
      </w:r>
    </w:p>
    <w:p>
      <w:pPr>
        <w:pStyle w:val="Compact"/>
        <w:widowControl/>
        <w:numPr>
          <w:ilvl w:val="0"/>
          <w:numId w:val="1001"/>
        </w:numPr>
      </w:pPr>
      <w:r>
        <w:t xml:space="preserve">Lean Project.</w:t>
      </w:r>
      <w:r>
        <w:t xml:space="preserve"> </w:t>
      </w:r>
      <w:r>
        <w:rPr>
          <w:i/>
          <w:iCs/>
        </w:rPr>
        <w:t xml:space="preserve">Validating a Lean Proof</w:t>
      </w:r>
      <w:r>
        <w:t xml:space="preserve">. The Lean Language Reference, accessed 20 September 2026. https://lean-lang.org/doc/reference/latest/ValidatingProofs/.</w:t>
      </w:r>
    </w:p>
    <w:p>
      <w:pPr>
        <w:pStyle w:val="Compact"/>
        <w:widowControl/>
        <w:numPr>
          <w:ilvl w:val="0"/>
          <w:numId w:val="1001"/>
        </w:numPr>
      </w:pPr>
      <w:r>
        <w:t xml:space="preserve">Liu, N. F. et al. Lost in the middle: how language models use long contexts.</w:t>
      </w:r>
      <w:r>
        <w:t xml:space="preserve"> </w:t>
      </w:r>
      <w:r>
        <w:rPr>
          <w:i/>
          <w:iCs/>
        </w:rPr>
        <w:t xml:space="preserve">Transactions of the Association for Computational Linguistics</w:t>
      </w:r>
      <w:r>
        <w:t xml:space="preserve"> </w:t>
      </w:r>
      <w:r>
        <w:rPr>
          <w:b/>
          <w:bCs/>
        </w:rPr>
        <w:t xml:space="preserve">12</w:t>
      </w:r>
      <w:r>
        <w:t xml:space="preserve">, 157–173 (2024). doi:10.1162/tacl_a_00638.</w:t>
      </w:r>
    </w:p>
    <w:bookmarkEnd w:id="17"/>
    <w:bookmarkStart w:id="18" w:name="figure-legends"/>
    <w:p>
      <w:pPr>
        <w:pStyle w:val="Heading2"/>
        <w:keepNext/>
        <w:pageBreakBefore/>
        <w:widowControl/>
      </w:pPr>
      <w:r>
        <w:rPr>
          <w:rFonts w:ascii="Times New Roman" w:hAnsi="Times New Roman"/>
          <w:b/>
          <w:color w:val="000000"/>
          <w:sz w:val="26"/>
        </w:rPr>
        <w:t xml:space="preserve">Figure legends</w:t>
      </w:r>
    </w:p>
    <w:p>
      <w:pPr>
        <w:keepNext/>
        <w:pageBreakBefore w:val="0"/>
        <w:spacing w:line="240" w:lineRule="auto"/>
        <w:jc w:val="center"/>
      </w:pPr>
      <w:r>
        <w:drawing>
          <wp:inline>
            <wp:extent cx="6480000" cy="4896203"/>
            <wp:docPr id="1" name="Picture 1"/>
            <wp:cNvGraphicFramePr>
              <a:graphicFrameLocks noChangeAspect="1"/>
            </wp:cNvGraphicFramePr>
            <a:graphic>
              <a:graphicData uri="http://schemas.openxmlformats.org/drawingml/2006/picture">
                <pic:pic>
                  <pic:nvPicPr>
                    <pic:cNvPr id="0" name="figure1_core_non_sufficiency.png"/>
                    <pic:cNvPicPr/>
                  </pic:nvPicPr>
                  <pic:blipFill>
                    <a:blip r:embed="rId9"/>
                    <a:stretch>
                      <a:fillRect/>
                    </a:stretch>
                  </pic:blipFill>
                  <pic:spPr>
                    <a:xfrm>
                      <a:off x="0" y="0"/>
                      <a:ext cx="6480000" cy="4896203"/>
                    </a:xfrm>
                    <a:prstGeom prst="rect"/>
                  </pic:spPr>
                </pic:pic>
              </a:graphicData>
            </a:graphic>
          </wp:inline>
        </w:drawing>
      </w:r>
    </w:p>
    <w:p>
      <w:pPr>
        <w:pStyle w:val="FirstParagraph"/>
        <w:pageBreakBefore w:val="0"/>
        <w:widowControl/>
        <w:spacing w:line="269" w:lineRule="auto" w:after="80"/>
      </w:pPr>
      <w:r>
        <w:rPr>
          <w:b/>
          <w:bCs/>
          <w:sz w:val="20"/>
        </w:rPr>
        <w:t xml:space="preserve">Fig. 1 | A specified current readout is not a sufficient scientific state.</w:t>
      </w:r>
      <w:r>
        <w:rPr>
          <w:sz w:val="20"/>
        </w:rPr>
        <w:t xml:space="preserve"> </w:t>
      </w:r>
      <w:r>
        <w:rPr>
          <w:b/>
          <w:bCs/>
          <w:sz w:val="20"/>
        </w:rPr>
        <w:t xml:space="preserve">a</w:t>
      </w:r>
      <w:r>
        <w:rPr>
          <w:sz w:val="20"/>
        </w:rPr>
        <w:t xml:space="preserve">, The analytical witness fixes the declared current readout</w:t>
      </w:r>
      <w:r>
        <w:rPr>
          <w:sz w:val="20"/>
        </w:rPr>
        <w:t xml:space="preserve"> </w:t>
      </w:r>
      <m:oMath>
        <m:r>
          <m:t>r</m:t>
        </m:r>
      </m:oMath>
      <w:r>
        <w:rPr>
          <w:sz w:val="20"/>
        </w:rPr>
        <w:t xml:space="preserve"> </w:t>
      </w:r>
      <w:r>
        <w:rPr>
          <w:sz w:val="20"/>
        </w:rPr>
        <w:t xml:space="preserve">while allowing different complete states and targets. For</w:t>
      </w:r>
      <w:r>
        <w:rPr>
          <w:sz w:val="20"/>
        </w:rPr>
        <w:t xml:space="preserve"> </w:t>
      </w:r>
      <m:oMath>
        <m:r>
          <m:t>0</m:t>
        </m:r>
        <m:r>
          <m:rPr>
            <m:sty m:val="p"/>
          </m:rPr>
          <m:t>&lt;</m:t>
        </m:r>
        <m:r>
          <m:t>r</m:t>
        </m:r>
        <m:r>
          <m:rPr>
            <m:sty m:val="p"/>
          </m:rPr>
          <m:t>≤</m:t>
        </m:r>
        <m:r>
          <m:t>1</m:t>
        </m:r>
        <m:r>
          <m:rPr>
            <m:sty m:val="p"/>
          </m:rPr>
          <m:t>/</m:t>
        </m:r>
        <m:r>
          <m:t>4</m:t>
        </m:r>
      </m:oMath>
      <w:r>
        <w:rPr>
          <w:sz w:val="20"/>
        </w:rPr>
        <w:t xml:space="preserve"> </w:t>
      </w:r>
      <w:r>
        <w:rPr>
          <w:sz w:val="20"/>
        </w:rPr>
        <w:t xml:space="preserve">and</w:t>
      </w:r>
      <w:r>
        <w:rPr>
          <w:sz w:val="20"/>
        </w:rPr>
        <w:t xml:space="preserve"> </w:t>
      </w:r>
      <m:oMath>
        <m:r>
          <m:t>0</m:t>
        </m:r>
        <m:r>
          <m:rPr>
            <m:sty m:val="p"/>
          </m:rPr>
          <m:t>&lt;</m:t>
        </m:r>
        <m:r>
          <m:t>v</m:t>
        </m:r>
        <m:r>
          <m:rPr>
            <m:sty m:val="p"/>
          </m:rPr>
          <m:t>≤</m:t>
        </m:r>
        <m:r>
          <m:t>1</m:t>
        </m:r>
        <m:r>
          <m:rPr>
            <m:sty m:val="p"/>
          </m:rPr>
          <m:t>/</m:t>
        </m:r>
        <m:r>
          <m:t>8</m:t>
        </m:r>
      </m:oMath>
      <w:r>
        <w:rPr>
          <w:sz w:val="20"/>
        </w:rPr>
        <w:t xml:space="preserve">, the two states have</w:t>
      </w:r>
      <w:r>
        <w:rPr>
          <w:sz w:val="20"/>
        </w:rPr>
        <w:t xml:space="preserve"> </w:t>
      </w:r>
      <m:oMath>
        <m:r>
          <m:t>u</m:t>
        </m:r>
        <m:r>
          <m:rPr>
            <m:sty m:val="p"/>
          </m:rPr>
          <m:t>=</m:t>
        </m:r>
        <m:r>
          <m:rPr>
            <m:sty m:val="p"/>
          </m:rPr>
          <m:t>±</m:t>
        </m:r>
        <m:r>
          <m:t>v</m:t>
        </m:r>
      </m:oMath>
      <w:r>
        <w:rPr>
          <w:sz w:val="20"/>
        </w:rPr>
        <w:t xml:space="preserve">,</w:t>
      </w:r>
      <w:r>
        <w:rPr>
          <w:sz w:val="20"/>
        </w:rPr>
        <w:t xml:space="preserve"> </w:t>
      </w:r>
      <m:oMath>
        <m:sSub>
          <m:e>
            <m:r>
              <m:t>z</m:t>
            </m:r>
          </m:e>
          <m:sub>
            <m:r>
              <m:rPr>
                <m:sty m:val="p"/>
              </m:rPr>
              <m:t>±</m:t>
            </m:r>
          </m:sub>
        </m:sSub>
        <m:r>
          <m:rPr>
            <m:sty m:val="p"/>
          </m:rPr>
          <m:t>=</m:t>
        </m:r>
        <m:r>
          <m:t>1</m:t>
        </m:r>
        <m:r>
          <m:rPr>
            <m:sty m:val="p"/>
          </m:rPr>
          <m:t>±</m:t>
        </m:r>
        <m:r>
          <m:t>v</m:t>
        </m:r>
      </m:oMath>
      <w:r>
        <w:rPr>
          <w:sz w:val="20"/>
        </w:rPr>
        <w:t xml:space="preserve"> </w:t>
      </w:r>
      <w:r>
        <w:rPr>
          <w:sz w:val="20"/>
        </w:rPr>
        <w:t xml:space="preserve">and</w:t>
      </w:r>
      <w:r>
        <w:rPr>
          <w:sz w:val="20"/>
        </w:rPr>
        <w:t xml:space="preserve"> </w:t>
      </w:r>
      <m:oMath>
        <m:sSub>
          <m:e>
            <m:r>
              <m:t>p</m:t>
            </m:r>
          </m:e>
          <m:sub>
            <m:r>
              <m:rPr>
                <m:sty m:val="p"/>
              </m:rPr>
              <m:t>±</m:t>
            </m:r>
          </m:sub>
        </m:sSub>
        <m:r>
          <m:rPr>
            <m:sty m:val="p"/>
          </m:rPr>
          <m:t>=</m:t>
        </m:r>
        <m:sSubSup>
          <m:e>
            <m:r>
              <m:t>z</m:t>
            </m:r>
          </m:e>
          <m:sub>
            <m:r>
              <m:rPr>
                <m:sty m:val="p"/>
              </m:rPr>
              <m:t>±</m:t>
            </m:r>
          </m:sub>
          <m:sup>
            <m:r>
              <m:t>2</m:t>
            </m:r>
          </m:sup>
        </m:sSubSup>
        <m:r>
          <m:rPr>
            <m:sty m:val="p"/>
          </m:rPr>
          <m:t>+</m:t>
        </m:r>
        <m:r>
          <m:t>r</m:t>
        </m:r>
      </m:oMath>
      <w:r>
        <w:rPr>
          <w:sz w:val="20"/>
        </w:rPr>
        <w:t xml:space="preserve">. A correction that depends only on</w:t>
      </w:r>
      <w:r>
        <w:rPr>
          <w:sz w:val="20"/>
        </w:rPr>
        <w:t xml:space="preserve"> </w:t>
      </w:r>
      <m:oMath>
        <m:r>
          <m:t>r</m:t>
        </m:r>
      </m:oMath>
      <w:r>
        <w:rPr>
          <w:sz w:val="20"/>
        </w:rPr>
        <w:t xml:space="preserve"> </w:t>
      </w:r>
      <w:r>
        <w:rPr>
          <w:sz w:val="20"/>
        </w:rPr>
        <w:t xml:space="preserve">must be shared and cannot close both targets. Retaining the compact pair</w:t>
      </w:r>
      <w:r>
        <w:rPr>
          <w:sz w:val="20"/>
        </w:rPr>
        <w:t xml:space="preserve"> </w:t>
      </w:r>
      <m:oMath>
        <m:r>
          <m:rPr>
            <m:sty m:val="p"/>
          </m:rPr>
          <m:t>(</m:t>
        </m:r>
        <m:r>
          <m:t>r</m:t>
        </m:r>
        <m:r>
          <m:rPr>
            <m:sty m:val="p"/>
          </m:rPr>
          <m:t>,</m:t>
        </m:r>
        <m:r>
          <m:t>u</m:t>
        </m:r>
        <m:r>
          <m:rPr>
            <m:sty m:val="p"/>
          </m:rPr>
          <m:t>)</m:t>
        </m:r>
      </m:oMath>
      <w:r>
        <w:rPr>
          <w:sz w:val="20"/>
        </w:rPr>
        <w:t xml:space="preserve"> </w:t>
      </w:r>
      <w:r>
        <w:rPr>
          <w:sz w:val="20"/>
        </w:rPr>
        <w:t xml:space="preserve">repairs this non-sufficiency. The comparison concerns a specified present readout, not equality of complete causal states or an identified causal effect of history.</w:t>
      </w:r>
      <w:r>
        <w:rPr>
          <w:sz w:val="20"/>
        </w:rPr>
        <w:t xml:space="preserve"> </w:t>
      </w:r>
      <w:r>
        <w:rPr>
          <w:b/>
          <w:bCs/>
          <w:sz w:val="20"/>
        </w:rPr>
        <w:t xml:space="preserve">b</w:t>
      </w:r>
      <w:r>
        <w:rPr>
          <w:sz w:val="20"/>
        </w:rPr>
        <w:t xml:space="preserve">, Two archived entry points into common practice are then separated by evidence identity: coefficient continuation (Fig. 3) and proof application (Fig. 4). The theorem, the successor records and the Lean proof record are linked conceptually but are not merged into one identified causal loop.</w:t>
      </w:r>
    </w:p>
    <w:p>
      <w:pPr>
        <w:keepNext/>
        <w:pageBreakBefore/>
        <w:spacing w:line="240" w:lineRule="auto"/>
        <w:jc w:val="center"/>
      </w:pPr>
      <w:r>
        <w:drawing>
          <wp:inline>
            <wp:extent cx="6480000" cy="4176711"/>
            <wp:docPr id="2" name="Picture 2"/>
            <wp:cNvGraphicFramePr>
              <a:graphicFrameLocks noChangeAspect="1"/>
            </wp:cNvGraphicFramePr>
            <a:graphic>
              <a:graphicData uri="http://schemas.openxmlformats.org/drawingml/2006/picture">
                <pic:pic>
                  <pic:nvPicPr>
                    <pic:cNvPr id="0" name="figure2_minimax_and_domain.png"/>
                    <pic:cNvPicPr/>
                  </pic:nvPicPr>
                  <pic:blipFill>
                    <a:blip r:embed="rId10"/>
                    <a:stretch>
                      <a:fillRect/>
                    </a:stretch>
                  </pic:blipFill>
                  <pic:spPr>
                    <a:xfrm>
                      <a:off x="0" y="0"/>
                      <a:ext cx="6480000" cy="4176711"/>
                    </a:xfrm>
                    <a:prstGeom prst="rect"/>
                  </pic:spPr>
                </pic:pic>
              </a:graphicData>
            </a:graphic>
          </wp:inline>
        </w:drawing>
      </w:r>
    </w:p>
    <w:p>
      <w:pPr>
        <w:pStyle w:val="BodyText"/>
        <w:pageBreakBefore w:val="0"/>
        <w:widowControl/>
        <w:spacing w:line="269" w:lineRule="auto" w:after="80"/>
      </w:pPr>
      <w:r>
        <w:rPr>
          <w:b/>
          <w:bCs/>
          <w:sz w:val="20"/>
        </w:rPr>
        <w:t xml:space="preserve">Fig. 2 | Positive minimax separation and compact repair.</w:t>
      </w:r>
      <w:r>
        <w:rPr>
          <w:sz w:val="20"/>
        </w:rPr>
        <w:t xml:space="preserve"> </w:t>
      </w:r>
      <w:r>
        <w:rPr>
          <w:b/>
          <w:bCs/>
          <w:sz w:val="20"/>
        </w:rPr>
        <w:t xml:space="preserve">a</w:t>
      </w:r>
      <w:r>
        <w:rPr>
          <w:sz w:val="20"/>
        </w:rPr>
        <w:t xml:space="preserve">, Curves show</w:t>
      </w:r>
      <w:r>
        <w:rPr>
          <w:sz w:val="20"/>
        </w:rPr>
        <w:t xml:space="preserve"> </w:t>
      </w:r>
      <m:oMath>
        <m:r>
          <m:rPr>
            <m:sty m:val="p"/>
          </m:rPr>
          <m:t>|</m:t>
        </m:r>
        <m:sSub>
          <m:e>
            <m:r>
              <m:t>E</m:t>
            </m:r>
          </m:e>
          <m:sub>
            <m:r>
              <m:rPr>
                <m:sty m:val="p"/>
                <m:nor/>
              </m:rPr>
              <m:t>+</m:t>
            </m:r>
          </m:sub>
        </m:sSub>
        <m:r>
          <m:rPr>
            <m:sty m:val="p"/>
          </m:rPr>
          <m:t>|</m:t>
        </m:r>
      </m:oMath>
      <w:r>
        <w:rPr>
          <w:sz w:val="20"/>
        </w:rPr>
        <w:t xml:space="preserve">,</w:t>
      </w:r>
      <w:r>
        <w:rPr>
          <w:sz w:val="20"/>
        </w:rPr>
        <w:t xml:space="preserve"> </w:t>
      </w:r>
      <m:oMath>
        <m:r>
          <m:rPr>
            <m:sty m:val="p"/>
          </m:rPr>
          <m:t>|</m:t>
        </m:r>
        <m:sSub>
          <m:e>
            <m:r>
              <m:t>E</m:t>
            </m:r>
          </m:e>
          <m:sub>
            <m:r>
              <m:rPr>
                <m:sty m:val="p"/>
                <m:nor/>
              </m:rPr>
              <m:t>−</m:t>
            </m:r>
          </m:sub>
        </m:sSub>
        <m:r>
          <m:rPr>
            <m:sty m:val="p"/>
          </m:rPr>
          <m:t>|</m:t>
        </m:r>
      </m:oMath>
      <w:r>
        <w:rPr>
          <w:sz w:val="20"/>
        </w:rPr>
        <w:t xml:space="preserve"> </w:t>
      </w:r>
      <w:r>
        <w:rPr>
          <w:sz w:val="20"/>
        </w:rPr>
        <w:t xml:space="preserve">and their maximum for the exact witness at</w:t>
      </w:r>
      <w:r>
        <w:rPr>
          <w:sz w:val="20"/>
        </w:rPr>
        <w:t xml:space="preserve"> </w:t>
      </w:r>
      <m:oMath>
        <m:r>
          <m:t>r</m:t>
        </m:r>
        <m:r>
          <m:rPr>
            <m:sty m:val="p"/>
          </m:rPr>
          <m:t>=</m:t>
        </m:r>
        <m:r>
          <m:t>1</m:t>
        </m:r>
        <m:r>
          <m:rPr>
            <m:sty m:val="p"/>
          </m:rPr>
          <m:t>/</m:t>
        </m:r>
        <m:r>
          <m:t>5</m:t>
        </m:r>
      </m:oMath>
      <w:r>
        <w:rPr>
          <w:sz w:val="20"/>
        </w:rPr>
        <w:t xml:space="preserve"> </w:t>
      </w:r>
      <w:r>
        <w:rPr>
          <w:sz w:val="20"/>
        </w:rPr>
        <w:t xml:space="preserve">and</w:t>
      </w:r>
      <w:r>
        <w:rPr>
          <w:sz w:val="20"/>
        </w:rPr>
        <w:t xml:space="preserve"> </w:t>
      </w:r>
      <m:oMath>
        <m:r>
          <m:t>v</m:t>
        </m:r>
        <m:r>
          <m:rPr>
            <m:sty m:val="p"/>
          </m:rPr>
          <m:t>=</m:t>
        </m:r>
        <m:r>
          <m:t>1</m:t>
        </m:r>
        <m:r>
          <m:rPr>
            <m:sty m:val="p"/>
          </m:rPr>
          <m:t>/</m:t>
        </m:r>
        <m:r>
          <m:t>10</m:t>
        </m:r>
      </m:oMath>
      <w:r>
        <w:rPr>
          <w:sz w:val="20"/>
        </w:rPr>
        <w:t xml:space="preserve">. The minimum of the maximum is the positive distance</w:t>
      </w:r>
      <w:r>
        <w:rPr>
          <w:sz w:val="20"/>
        </w:rPr>
        <w:t xml:space="preserve"> </w:t>
      </w:r>
      <m:oMath>
        <m:r>
          <m:t>2</m:t>
        </m:r>
        <m:r>
          <m:t>v</m:t>
        </m:r>
        <m:r>
          <m:rPr>
            <m:sty m:val="p"/>
          </m:rPr>
          <m:t>(</m:t>
        </m:r>
        <m:rad>
          <m:radPr>
            <m:degHide m:val="on"/>
          </m:radPr>
          <m:deg/>
          <m:e>
            <m:r>
              <m:t>1</m:t>
            </m:r>
            <m:r>
              <m:rPr>
                <m:sty m:val="p"/>
              </m:rPr>
              <m:t>+</m:t>
            </m:r>
            <m:r>
              <m:t>r</m:t>
            </m:r>
          </m:e>
        </m:rad>
        <m:r>
          <m:rPr>
            <m:sty m:val="p"/>
          </m:rPr>
          <m:t>−</m:t>
        </m:r>
        <m:r>
          <m:t>1</m:t>
        </m:r>
        <m:r>
          <m:rPr>
            <m:sty m:val="p"/>
          </m:rPr>
          <m:t>)</m:t>
        </m:r>
      </m:oMath>
      <w:r>
        <w:rPr>
          <w:sz w:val="20"/>
        </w:rPr>
        <w:t xml:space="preserve"> </w:t>
      </w:r>
      <w:r>
        <w:rPr>
          <w:sz w:val="20"/>
        </w:rPr>
        <w:t xml:space="preserve">above the zero line. These are analytical values, not experimental samples.</w:t>
      </w:r>
      <w:r>
        <w:rPr>
          <w:sz w:val="20"/>
        </w:rPr>
        <w:t xml:space="preserve"> </w:t>
      </w:r>
      <w:r>
        <w:rPr>
          <w:b/>
          <w:bCs/>
          <w:sz w:val="20"/>
        </w:rPr>
        <w:t xml:space="preserve">b</w:t>
      </w:r>
      <w:r>
        <w:rPr>
          <w:sz w:val="20"/>
        </w:rPr>
        <w:t xml:space="preserve">, The state-aware rule is exact on the inner rectangle</w:t>
      </w:r>
      <w:r>
        <w:rPr>
          <w:sz w:val="20"/>
        </w:rPr>
        <w:t xml:space="preserve"> </w:t>
      </w:r>
      <m:oMath>
        <m:r>
          <m:rPr>
            <m:sty m:val="p"/>
          </m:rPr>
          <m:t>|</m:t>
        </m:r>
        <m:r>
          <m:t>r</m:t>
        </m:r>
        <m:r>
          <m:rPr>
            <m:sty m:val="p"/>
          </m:rPr>
          <m:t>|</m:t>
        </m:r>
        <m:r>
          <m:rPr>
            <m:sty m:val="p"/>
          </m:rPr>
          <m:t>≤</m:t>
        </m:r>
        <m:r>
          <m:t>1</m:t>
        </m:r>
        <m:r>
          <m:rPr>
            <m:sty m:val="p"/>
          </m:rPr>
          <m:t>/</m:t>
        </m:r>
        <m:r>
          <m:t>4</m:t>
        </m:r>
      </m:oMath>
      <w:r>
        <w:rPr>
          <w:sz w:val="20"/>
        </w:rPr>
        <w:t xml:space="preserve">,</w:t>
      </w:r>
      <w:r>
        <w:rPr>
          <w:sz w:val="20"/>
        </w:rPr>
        <w:t xml:space="preserve"> </w:t>
      </w:r>
      <m:oMath>
        <m:r>
          <m:rPr>
            <m:sty m:val="p"/>
          </m:rPr>
          <m:t>|</m:t>
        </m:r>
        <m:r>
          <m:t>u</m:t>
        </m:r>
        <m:r>
          <m:rPr>
            <m:sty m:val="p"/>
          </m:rPr>
          <m:t>|</m:t>
        </m:r>
        <m:r>
          <m:rPr>
            <m:sty m:val="p"/>
          </m:rPr>
          <m:t>≤</m:t>
        </m:r>
        <m:r>
          <m:t>1</m:t>
        </m:r>
        <m:r>
          <m:rPr>
            <m:sty m:val="p"/>
          </m:rPr>
          <m:t>/</m:t>
        </m:r>
        <m:r>
          <m:t>8</m:t>
        </m:r>
      </m:oMath>
      <w:r>
        <w:rPr>
          <w:sz w:val="20"/>
        </w:rPr>
        <w:t xml:space="preserve">. A smooth extension is declared on the outer support</w:t>
      </w:r>
      <w:r>
        <w:rPr>
          <w:sz w:val="20"/>
        </w:rPr>
        <w:t xml:space="preserve"> </w:t>
      </w:r>
      <m:oMath>
        <m:r>
          <m:rPr>
            <m:sty m:val="p"/>
          </m:rPr>
          <m:t>|</m:t>
        </m:r>
        <m:r>
          <m:t>r</m:t>
        </m:r>
        <m:r>
          <m:rPr>
            <m:sty m:val="p"/>
          </m:rPr>
          <m:t>|</m:t>
        </m:r>
        <m:r>
          <m:rPr>
            <m:sty m:val="p"/>
          </m:rPr>
          <m:t>≤</m:t>
        </m:r>
        <m:r>
          <m:t>1</m:t>
        </m:r>
        <m:r>
          <m:rPr>
            <m:sty m:val="p"/>
          </m:rPr>
          <m:t>/</m:t>
        </m:r>
        <m:r>
          <m:t>2</m:t>
        </m:r>
      </m:oMath>
      <w:r>
        <w:rPr>
          <w:sz w:val="20"/>
        </w:rPr>
        <w:t xml:space="preserve">,</w:t>
      </w:r>
      <w:r>
        <w:rPr>
          <w:sz w:val="20"/>
        </w:rPr>
        <w:t xml:space="preserve"> </w:t>
      </w:r>
      <m:oMath>
        <m:r>
          <m:rPr>
            <m:sty m:val="p"/>
          </m:rPr>
          <m:t>|</m:t>
        </m:r>
        <m:r>
          <m:t>u</m:t>
        </m:r>
        <m:r>
          <m:rPr>
            <m:sty m:val="p"/>
          </m:rPr>
          <m:t>|</m:t>
        </m:r>
        <m:r>
          <m:rPr>
            <m:sty m:val="p"/>
          </m:rPr>
          <m:t>≤</m:t>
        </m:r>
        <m:r>
          <m:t>1</m:t>
        </m:r>
        <m:r>
          <m:rPr>
            <m:sty m:val="p"/>
          </m:rPr>
          <m:t>/</m:t>
        </m:r>
        <m:r>
          <m:t>4</m:t>
        </m:r>
      </m:oMath>
      <w:r>
        <w:rPr>
          <w:sz w:val="20"/>
        </w:rPr>
        <w:t xml:space="preserve">, and the signed linear rule operates outside the support. The panel displays domain structure rather than a statistical experiment.</w:t>
      </w:r>
    </w:p>
    <w:p>
      <w:pPr>
        <w:keepNext/>
        <w:pageBreakBefore/>
        <w:spacing w:line="240" w:lineRule="auto"/>
        <w:jc w:val="center"/>
      </w:pPr>
      <w:r>
        <w:drawing>
          <wp:inline>
            <wp:extent cx="6480000" cy="6480000"/>
            <wp:docPr id="3" name="Picture 3"/>
            <wp:cNvGraphicFramePr>
              <a:graphicFrameLocks noChangeAspect="1"/>
            </wp:cNvGraphicFramePr>
            <a:graphic>
              <a:graphicData uri="http://schemas.openxmlformats.org/drawingml/2006/picture">
                <pic:pic>
                  <pic:nvPicPr>
                    <pic:cNvPr id="0" name="figure3_successor_continuation.png"/>
                    <pic:cNvPicPr/>
                  </pic:nvPicPr>
                  <pic:blipFill>
                    <a:blip r:embed="rId11"/>
                    <a:stretch>
                      <a:fillRect/>
                    </a:stretch>
                  </pic:blipFill>
                  <pic:spPr>
                    <a:xfrm>
                      <a:off x="0" y="0"/>
                      <a:ext cx="6480000" cy="6480000"/>
                    </a:xfrm>
                    <a:prstGeom prst="rect"/>
                  </pic:spPr>
                </pic:pic>
              </a:graphicData>
            </a:graphic>
          </wp:inline>
        </w:drawing>
      </w:r>
    </w:p>
    <w:p>
      <w:pPr>
        <w:pStyle w:val="BodyText"/>
        <w:pageBreakBefore w:val="0"/>
        <w:widowControl/>
        <w:spacing w:line="269" w:lineRule="auto" w:after="80"/>
      </w:pPr>
      <w:r>
        <w:rPr>
          <w:b/>
          <w:bCs/>
          <w:sz w:val="20"/>
        </w:rPr>
        <w:t xml:space="preserve">Fig. 3 | Actual programme revision, inheritance and renewed use.</w:t>
      </w:r>
      <w:r>
        <w:rPr>
          <w:sz w:val="20"/>
        </w:rPr>
        <w:t xml:space="preserve"> </w:t>
      </w:r>
      <w:r>
        <w:rPr>
          <w:b/>
          <w:bCs/>
          <w:sz w:val="20"/>
        </w:rPr>
        <w:t xml:space="preserve">a</w:t>
      </w:r>
      <w:r>
        <w:rPr>
          <w:sz w:val="20"/>
        </w:rPr>
        <w:t xml:space="preserve">, In assistance episode P00_s0_W1, the same coordinate,</w:t>
      </w:r>
      <w:r>
        <w:rPr>
          <w:sz w:val="20"/>
        </w:rPr>
        <w:t xml:space="preserve"> </w:t>
      </w:r>
      <m:oMath>
        <m:r>
          <m:t>r</m:t>
        </m:r>
      </m:oMath>
      <w:r>
        <w:rPr>
          <w:sz w:val="20"/>
        </w:rPr>
        <w:t xml:space="preserve">,</w:t>
      </w:r>
      <w:r>
        <w:rPr>
          <w:sz w:val="20"/>
        </w:rPr>
        <w:t xml:space="preserve"> </w:t>
      </w:r>
      <m:oMath>
        <m:r>
          <m:t>u</m:t>
        </m:r>
      </m:oMath>
      <w:r>
        <w:rPr>
          <w:sz w:val="20"/>
        </w:rPr>
        <w:t xml:space="preserve">, target and</w:t>
      </w:r>
      <w:r>
        <w:rPr>
          <w:sz w:val="20"/>
        </w:rPr>
        <w:t xml:space="preserve"> </w:t>
      </w:r>
      <m:oMath>
        <m:sSub>
          <m:e>
            <m:r>
              <m:t>z</m:t>
            </m:r>
          </m:e>
          <m:sub>
            <m:r>
              <m:t>b</m:t>
            </m:r>
            <m:r>
              <m:t>e</m:t>
            </m:r>
            <m:r>
              <m:t>f</m:t>
            </m:r>
            <m:r>
              <m:t>o</m:t>
            </m:r>
            <m:r>
              <m:t>r</m:t>
            </m:r>
            <m:r>
              <m:t>e</m:t>
            </m:r>
          </m:sub>
        </m:sSub>
      </m:oMath>
      <w:r>
        <w:rPr>
          <w:sz w:val="20"/>
        </w:rPr>
        <w:t xml:space="preserve"> </w:t>
      </w:r>
      <w:r>
        <w:rPr>
          <w:sz w:val="20"/>
        </w:rPr>
        <w:t xml:space="preserve">are shown for the initial, draft and final effect versions. The displayed decomposition is</w:t>
      </w:r>
      <w:r>
        <w:rPr>
          <w:sz w:val="20"/>
        </w:rPr>
        <w:t xml:space="preserve"> </w:t>
      </w:r>
      <m:oMath>
        <m:r>
          <m:rPr>
            <m:sty m:val="p"/>
          </m:rPr>
          <m:t>p</m:t>
        </m:r>
        <m:r>
          <m:rPr>
            <m:sty m:val="p"/>
          </m:rPr>
          <m:t>u</m:t>
        </m:r>
        <m:r>
          <m:rPr>
            <m:sty m:val="p"/>
          </m:rPr>
          <m:t>r</m:t>
        </m:r>
        <m:r>
          <m:rPr>
            <m:sty m:val="p"/>
          </m:rPr>
          <m:t>e</m:t>
        </m:r>
        <m:r>
          <m:rPr>
            <m:sty m:val="p"/>
          </m:rPr>
          <m:t>=</m:t>
        </m:r>
        <m:sSup>
          <m:e>
            <m:r>
              <m:t>g</m:t>
            </m:r>
          </m:e>
          <m:sup>
            <m:r>
              <m:t>2</m:t>
            </m:r>
          </m:sup>
        </m:sSup>
        <m:r>
          <m:rPr>
            <m:sty m:val="p"/>
          </m:rPr>
          <m:t>+</m:t>
        </m:r>
        <m:r>
          <m:t>2</m:t>
        </m:r>
        <m:r>
          <m:t>g</m:t>
        </m:r>
        <m:r>
          <m:rPr>
            <m:sty m:val="p"/>
          </m:rPr>
          <m:t>−</m:t>
        </m:r>
        <m:r>
          <m:t>r</m:t>
        </m:r>
      </m:oMath>
      <w:r>
        <w:rPr>
          <w:sz w:val="20"/>
        </w:rPr>
        <w:t xml:space="preserve">,</w:t>
      </w:r>
      <w:r>
        <w:rPr>
          <w:sz w:val="20"/>
        </w:rPr>
        <w:t xml:space="preserve"> </w:t>
      </w:r>
      <m:oMath>
        <m:r>
          <m:rPr>
            <m:sty m:val="p"/>
          </m:rPr>
          <m:t>c</m:t>
        </m:r>
        <m:r>
          <m:rPr>
            <m:sty m:val="p"/>
          </m:rPr>
          <m:t>r</m:t>
        </m:r>
        <m:r>
          <m:rPr>
            <m:sty m:val="p"/>
          </m:rPr>
          <m:t>o</m:t>
        </m:r>
        <m:r>
          <m:rPr>
            <m:sty m:val="p"/>
          </m:rPr>
          <m:t>s</m:t>
        </m:r>
        <m:r>
          <m:rPr>
            <m:sty m:val="p"/>
          </m:rPr>
          <m:t>s</m:t>
        </m:r>
        <m:r>
          <m:rPr>
            <m:sty m:val="p"/>
          </m:rPr>
          <m:t>=</m:t>
        </m:r>
        <m:r>
          <m:t>2</m:t>
        </m:r>
        <m:r>
          <m:t>u</m:t>
        </m:r>
        <m:r>
          <m:t>g</m:t>
        </m:r>
      </m:oMath>
      <w:r>
        <w:rPr>
          <w:sz w:val="20"/>
        </w:rPr>
        <w:t xml:space="preserve">, and</w:t>
      </w:r>
      <w:r>
        <w:rPr>
          <w:sz w:val="20"/>
        </w:rPr>
        <w:t xml:space="preserve"> </w:t>
      </w:r>
      <m:oMath>
        <m:r>
          <m:rPr>
            <m:sty m:val="p"/>
          </m:rPr>
          <m:t>w</m:t>
        </m:r>
        <m:r>
          <m:rPr>
            <m:sty m:val="p"/>
          </m:rPr>
          <m:t>h</m:t>
        </m:r>
        <m:r>
          <m:rPr>
            <m:sty m:val="p"/>
          </m:rPr>
          <m:t>o</m:t>
        </m:r>
        <m:r>
          <m:rPr>
            <m:sty m:val="p"/>
          </m:rPr>
          <m:t>l</m:t>
        </m:r>
        <m:r>
          <m:rPr>
            <m:sty m:val="p"/>
          </m:rPr>
          <m:t>e</m:t>
        </m:r>
        <m:r>
          <m:rPr>
            <m:sty m:val="p"/>
          </m:rPr>
          <m:t>=</m:t>
        </m:r>
        <m:r>
          <m:rPr>
            <m:sty m:val="p"/>
          </m:rPr>
          <m:t>p</m:t>
        </m:r>
        <m:r>
          <m:rPr>
            <m:sty m:val="p"/>
          </m:rPr>
          <m:t>u</m:t>
        </m:r>
        <m:r>
          <m:rPr>
            <m:sty m:val="p"/>
          </m:rPr>
          <m:t>r</m:t>
        </m:r>
        <m:r>
          <m:rPr>
            <m:sty m:val="p"/>
          </m:rPr>
          <m:t>e</m:t>
        </m:r>
        <m:r>
          <m:rPr>
            <m:sty m:val="p"/>
          </m:rPr>
          <m:t>+</m:t>
        </m:r>
        <m:r>
          <m:rPr>
            <m:sty m:val="p"/>
          </m:rPr>
          <m:t>c</m:t>
        </m:r>
        <m:r>
          <m:rPr>
            <m:sty m:val="p"/>
          </m:rPr>
          <m:t>r</m:t>
        </m:r>
        <m:r>
          <m:rPr>
            <m:sty m:val="p"/>
          </m:rPr>
          <m:t>o</m:t>
        </m:r>
        <m:r>
          <m:rPr>
            <m:sty m:val="p"/>
          </m:rPr>
          <m:t>s</m:t>
        </m:r>
        <m:r>
          <m:rPr>
            <m:sty m:val="p"/>
          </m:rPr>
          <m:t>s</m:t>
        </m:r>
      </m:oMath>
      <w:r>
        <w:rPr>
          <w:sz w:val="20"/>
        </w:rPr>
        <w:t xml:space="preserve">. Initially, the pure term is exactly zero while the whole residual is not. After revision, the pure term is no longer zero, but it cancels the cross term; the saved final whole residual is retained as</w:t>
      </w:r>
      <w:r>
        <w:rPr>
          <w:sz w:val="20"/>
        </w:rPr>
        <w:t xml:space="preserve"> </w:t>
      </w:r>
      <m:oMath>
        <m:r>
          <m:t>1.811136</m:t>
        </m:r>
        <m:r>
          <m:rPr>
            <m:sty m:val="p"/>
          </m:rPr>
          <m:t>×</m:t>
        </m:r>
        <m:sSup>
          <m:e>
            <m:r>
              <m:t>10</m:t>
            </m:r>
          </m:e>
          <m:sup>
            <m:r>
              <m:rPr>
                <m:sty m:val="p"/>
              </m:rPr>
              <m:t>−</m:t>
            </m:r>
            <m:r>
              <m:t>71</m:t>
            </m:r>
          </m:sup>
        </m:sSup>
      </m:oMath>
      <w:r>
        <w:rPr>
          <w:sz w:val="20"/>
        </w:rPr>
        <w:t xml:space="preserve"> </w:t>
      </w:r>
      <w:r>
        <w:rPr>
          <w:sz w:val="20"/>
        </w:rPr>
        <w:t xml:space="preserve">rather than replaced by an artificial zero.</w:t>
      </w:r>
      <w:r>
        <w:rPr>
          <w:sz w:val="20"/>
        </w:rPr>
        <w:t xml:space="preserve"> </w:t>
      </w:r>
      <w:r>
        <w:rPr>
          <w:b/>
          <w:bCs/>
          <w:sz w:val="20"/>
        </w:rPr>
        <w:t xml:space="preserve">b</w:t>
      </w:r>
      <w:r>
        <w:rPr>
          <w:sz w:val="20"/>
        </w:rPr>
        <w:t xml:space="preserve">, The process panel preserves actual feedback-driven revision, programme identity, parent-state inheritance and changed-target reuse from P00_W0 through P00_s0_W1 to P00_s0_W2.</w:t>
      </w:r>
      <w:r>
        <w:rPr>
          <w:sz w:val="20"/>
        </w:rPr>
        <w:t xml:space="preserve"> </w:t>
      </w:r>
      <w:r>
        <w:rPr>
          <w:b/>
          <w:bCs/>
          <w:sz w:val="20"/>
        </w:rPr>
        <w:t xml:space="preserve">c</w:t>
      </w:r>
      <w:r>
        <w:rPr>
          <w:sz w:val="20"/>
        </w:rPr>
        <w:t xml:space="preserve">, P07 compares old and revised programmes separately within two distinct duties. These are not connected into one learning curve because the duties use different inherited states and targets. The figure retains the full-cohort boundary: 52 recorded stages, 104 completed returns, 7/8 unchanged adoption versions, 5 empty terminal programmes, and the boundary that these post-selected traces do not establish a general average benefit.</w:t>
      </w:r>
    </w:p>
    <w:p>
      <w:pPr>
        <w:keepNext/>
        <w:pageBreakBefore/>
        <w:spacing w:line="240" w:lineRule="auto"/>
        <w:jc w:val="center"/>
      </w:pPr>
      <w:r>
        <w:drawing>
          <wp:inline>
            <wp:extent cx="6480000" cy="5400762"/>
            <wp:docPr id="4" name="Picture 4"/>
            <wp:cNvGraphicFramePr>
              <a:graphicFrameLocks noChangeAspect="1"/>
            </wp:cNvGraphicFramePr>
            <a:graphic>
              <a:graphicData uri="http://schemas.openxmlformats.org/drawingml/2006/picture">
                <pic:pic>
                  <pic:nvPicPr>
                    <pic:cNvPr id="0" name="figure4_hclose_application.png"/>
                    <pic:cNvPicPr/>
                  </pic:nvPicPr>
                  <pic:blipFill>
                    <a:blip r:embed="rId12"/>
                    <a:stretch>
                      <a:fillRect/>
                    </a:stretch>
                  </pic:blipFill>
                  <pic:spPr>
                    <a:xfrm>
                      <a:off x="0" y="0"/>
                      <a:ext cx="6480000" cy="5400762"/>
                    </a:xfrm>
                    <a:prstGeom prst="rect"/>
                  </pic:spPr>
                </pic:pic>
              </a:graphicData>
            </a:graphic>
          </wp:inline>
        </w:drawing>
      </w:r>
    </w:p>
    <w:p>
      <w:pPr>
        <w:pStyle w:val="BodyText"/>
        <w:pageBreakBefore w:val="0"/>
        <w:widowControl/>
        <w:spacing w:line="269" w:lineRule="auto" w:after="80"/>
      </w:pPr>
      <w:r>
        <w:rPr>
          <w:b/>
          <w:bCs/>
          <w:sz w:val="20"/>
        </w:rPr>
        <w:t xml:space="preserve">Fig. 4 | A generated proof object is made usable and actually used.</w:t>
      </w:r>
      <w:r>
        <w:rPr>
          <w:sz w:val="20"/>
        </w:rPr>
        <w:t xml:space="preserve"> </w:t>
      </w:r>
      <w:r>
        <w:rPr>
          <w:b/>
          <w:bCs/>
          <w:sz w:val="20"/>
        </w:rPr>
        <w:t xml:space="preserve">a</w:t>
      </w:r>
      <w:r>
        <w:rPr>
          <w:sz w:val="20"/>
        </w:rPr>
        <w:t xml:space="preserve">, The proof task required two transports from the common source representation to the consumer’s representation: interval membership and the whole dependent inequality, not interval membership alone.</w:t>
      </w:r>
      <w:r>
        <w:rPr>
          <w:sz w:val="20"/>
        </w:rPr>
        <w:t xml:space="preserve"> </w:t>
      </w:r>
      <w:r>
        <w:rPr>
          <w:b/>
          <w:bCs/>
          <w:sz w:val="20"/>
        </w:rPr>
        <w:t xml:space="preserve">b</w:t>
      </w:r>
      <w:r>
        <w:rPr>
          <w:sz w:val="20"/>
        </w:rPr>
        <w:t xml:space="preserve">, The generated</w:t>
      </w:r>
      <w:r>
        <w:rPr>
          <w:sz w:val="20"/>
        </w:rPr>
        <w:t xml:space="preserve"> </w:t>
      </w:r>
      <w:r>
        <w:rPr>
          <w:rStyle w:val="VerbatimChar"/>
          <w:sz w:val="20"/>
        </w:rPr>
        <w:t xml:space="preserve">hclose</w:t>
      </w:r>
      <w:r>
        <w:rPr>
          <w:sz w:val="20"/>
        </w:rPr>
        <w:t xml:space="preserve"> </w:t>
      </w:r>
      <w:r>
        <w:rPr>
          <w:sz w:val="20"/>
        </w:rPr>
        <w:t xml:space="preserve">is explicitly distinguished from the supplied downstream consumers</w:t>
      </w:r>
      <w:r>
        <w:rPr>
          <w:sz w:val="20"/>
        </w:rPr>
        <w:t xml:space="preserve"> </w:t>
      </w:r>
      <w:r>
        <w:rPr>
          <w:rStyle w:val="VerbatimChar"/>
          <w:sz w:val="20"/>
        </w:rPr>
        <w:t xml:space="preserve">hmargin</w:t>
      </w:r>
      <w:r>
        <w:rPr>
          <w:sz w:val="20"/>
        </w:rPr>
        <w:t xml:space="preserve"> </w:t>
      </w:r>
      <w:r>
        <w:rPr>
          <w:sz w:val="20"/>
        </w:rPr>
        <w:t xml:space="preserve">and</w:t>
      </w:r>
      <w:r>
        <w:rPr>
          <w:sz w:val="20"/>
        </w:rPr>
        <w:t xml:space="preserve"> </w:t>
      </w:r>
      <w:r>
        <w:rPr>
          <w:rStyle w:val="VerbatimChar"/>
          <w:sz w:val="20"/>
        </w:rPr>
        <w:t xml:space="preserve">ZeroOrderBounds</w:t>
      </w:r>
      <w:r>
        <w:rPr>
          <w:sz w:val="20"/>
        </w:rPr>
        <w:t xml:space="preserve">; the chain</w:t>
      </w:r>
      <w:r>
        <w:rPr>
          <w:sz w:val="20"/>
        </w:rPr>
        <w:t xml:space="preserve"> </w:t>
      </w:r>
      <w:r>
        <w:rPr>
          <w:rStyle w:val="VerbatimChar"/>
          <w:sz w:val="20"/>
        </w:rPr>
        <w:t xml:space="preserve">generated hclose</w:t>
      </w:r>
      <w:r>
        <w:rPr>
          <w:sz w:val="20"/>
        </w:rPr>
        <w:t xml:space="preserve"> </w:t>
      </w:r>
      <m:oMath>
        <m:r>
          <m:rPr>
            <m:sty m:val="p"/>
          </m:rPr>
          <m:t>→</m:t>
        </m:r>
      </m:oMath>
      <w:r>
        <w:rPr>
          <w:sz w:val="20"/>
        </w:rPr>
        <w:t xml:space="preserve"> </w:t>
      </w:r>
      <w:r>
        <w:rPr>
          <w:rStyle w:val="VerbatimChar"/>
          <w:sz w:val="20"/>
        </w:rPr>
        <w:t xml:space="preserve">supplied hmargin</w:t>
      </w:r>
      <w:r>
        <w:rPr>
          <w:sz w:val="20"/>
        </w:rPr>
        <w:t xml:space="preserve"> </w:t>
      </w:r>
      <m:oMath>
        <m:r>
          <m:rPr>
            <m:sty m:val="p"/>
          </m:rPr>
          <m:t>→</m:t>
        </m:r>
      </m:oMath>
      <w:r>
        <w:rPr>
          <w:sz w:val="20"/>
        </w:rPr>
        <w:t xml:space="preserve"> </w:t>
      </w:r>
      <w:r>
        <w:rPr>
          <w:rStyle w:val="VerbatimChar"/>
          <w:sz w:val="20"/>
        </w:rPr>
        <w:t xml:space="preserve">ZeroOrderBounds</w:t>
      </w:r>
      <w:r>
        <w:rPr>
          <w:sz w:val="20"/>
        </w:rPr>
        <w:t xml:space="preserve"> </w:t>
      </w:r>
      <w:r>
        <w:rPr>
          <w:sz w:val="20"/>
        </w:rPr>
        <w:t xml:space="preserve">is an observed use relation.</w:t>
      </w:r>
      <w:r>
        <w:rPr>
          <w:sz w:val="20"/>
        </w:rPr>
        <w:t xml:space="preserve"> </w:t>
      </w:r>
      <w:r>
        <w:rPr>
          <w:b/>
          <w:bCs/>
          <w:sz w:val="20"/>
        </w:rPr>
        <w:t xml:space="preserve">c</w:t>
      </w:r>
      <w:r>
        <w:rPr>
          <w:sz w:val="20"/>
        </w:rPr>
        <w:t xml:space="preserve">, All six requests in the selected paired proof-completion comparison are shown. The guided condition produced two rejected candidates followed by one recorded acceptance. The declarations-only condition first terminated at the token limit with no visible proof body; this first control request is therefore truncated rather than a Lean rejection. The next two declarations-only candidates were rejected. Six requests and five candidates are one bounded comparison, not independent replications, and saved compilation acceptance is not upgraded here to new kernel certification.</w:t>
      </w:r>
    </w:p>
    <w:bookmarkEnd w:id="18"/>
    <w:bookmarkStart w:id="31" w:name="methods"/>
    <w:p>
      <w:pPr>
        <w:pStyle w:val="Heading2"/>
        <w:keepNext/>
        <w:pageBreakBefore/>
        <w:widowControl/>
      </w:pPr>
      <w:r>
        <w:rPr>
          <w:rFonts w:ascii="Times New Roman" w:hAnsi="Times New Roman"/>
          <w:b/>
          <w:color w:val="000000"/>
          <w:sz w:val="26"/>
        </w:rPr>
        <w:t xml:space="preserve">Methods</w:t>
      </w:r>
    </w:p>
    <w:bookmarkStart w:id="19" w:name="study-basis-and-evidence-scope"/>
    <w:p>
      <w:pPr>
        <w:pStyle w:val="Heading3"/>
        <w:keepNext/>
        <w:widowControl/>
      </w:pPr>
      <w:r>
        <w:rPr>
          <w:rFonts w:ascii="Times New Roman" w:hAnsi="Times New Roman"/>
          <w:b/>
          <w:color w:val="000000"/>
          <w:sz w:val="26"/>
        </w:rPr>
        <w:t xml:space="preserve">Study basis and evidence scope</w:t>
      </w:r>
    </w:p>
    <w:p>
      <w:pPr>
        <w:pStyle w:val="FirstParagraph"/>
        <w:widowControl/>
      </w:pPr>
      <w:r>
        <w:t xml:space="preserve">This study combines a conditional analytical examination of research continuation with retrospective analyses of retained coefficient-continuation and proof-completion records. The sources include dated theoretical and design documents, the original mathematical source, common task materials, generated candidates, compiler records and prior analyses. The analysis uses the preserved proof-completion archive, the separate coefficient-continuation archive and independently logged deterministic reanalysis. It adds no new model responses or experimental units. Newly executed checks are dated and logged separately from historical compilation and prior audits. Supplementary Notes 1, 5 and 6 distinguish each evidence identity.</w:t>
      </w:r>
    </w:p>
    <w:bookmarkEnd w:id="19"/>
    <w:bookmarkStart w:id="20" w:name="theory-and-mathematical-scope"/>
    <w:p>
      <w:pPr>
        <w:pStyle w:val="Heading3"/>
        <w:keepNext/>
        <w:widowControl/>
      </w:pPr>
      <w:r>
        <w:rPr>
          <w:rFonts w:ascii="Times New Roman" w:hAnsi="Times New Roman"/>
          <w:b/>
          <w:color w:val="000000"/>
          <w:sz w:val="26"/>
        </w:rPr>
        <w:t xml:space="preserve">Theory and mathematical scope</w:t>
      </w:r>
    </w:p>
    <w:p>
      <w:pPr>
        <w:pStyle w:val="FirstParagraph"/>
        <w:widowControl/>
      </w:pPr>
      <w:r>
        <w:t xml:space="preserve">A future regime specifies duties, tool semantics, permissions, resource limits and the continuation policies being compared. Output equivalence is relative to a declared observation</w:t>
      </w:r>
      <w:r>
        <w:t xml:space="preserve"> </w:t>
      </w:r>
      <m:oMath>
        <m:r>
          <m:t>M</m:t>
        </m:r>
      </m:oMath>
      <w:r>
        <w:t xml:space="preserve">, and future equivalence is relative to the chosen regime, including the outcome and cost measures. Neither is a claim about complete causal-state equality. For the finite witness, the observation is precisely</w:t>
      </w:r>
      <w:r>
        <w:t xml:space="preserve"> </w:t>
      </w:r>
      <m:oMath>
        <m:r>
          <m:t>r</m:t>
        </m:r>
      </m:oMath>
      <w:r>
        <w:t xml:space="preserve"> </w:t>
      </w:r>
      <w:r>
        <w:t xml:space="preserve">and the restricted policy is a deterministic real increment depending only on</w:t>
      </w:r>
      <w:r>
        <w:t xml:space="preserve"> </w:t>
      </w:r>
      <m:oMath>
        <m:r>
          <m:t>r</m:t>
        </m:r>
      </m:oMath>
      <w:r>
        <w:t xml:space="preserve">. We do not assume that a language model obeys that restriction. The two targets differ because</w:t>
      </w:r>
      <w:r>
        <w:t xml:space="preserve"> </w:t>
      </w:r>
      <m:oMath>
        <m:sSub>
          <m:e>
            <m:r>
              <m:t>p</m:t>
            </m:r>
          </m:e>
          <m:sub>
            <m:r>
              <m:rPr>
                <m:sty m:val="p"/>
              </m:rPr>
              <m:t>±</m:t>
            </m:r>
          </m:sub>
        </m:sSub>
        <m:r>
          <m:rPr>
            <m:sty m:val="p"/>
          </m:rPr>
          <m:t>=</m:t>
        </m:r>
        <m:sSubSup>
          <m:e>
            <m:r>
              <m:t>z</m:t>
            </m:r>
          </m:e>
          <m:sub>
            <m:r>
              <m:rPr>
                <m:sty m:val="p"/>
              </m:rPr>
              <m:t>±</m:t>
            </m:r>
          </m:sub>
          <m:sup>
            <m:r>
              <m:t>2</m:t>
            </m:r>
          </m:sup>
        </m:sSubSup>
        <m:r>
          <m:rPr>
            <m:sty m:val="p"/>
          </m:rPr>
          <m:t>+</m:t>
        </m:r>
        <m:r>
          <m:t>r</m:t>
        </m:r>
      </m:oMath>
      <w:r>
        <w:t xml:space="preserve">. The minimax result is an analytic derivation inherited from the earlier theoretical materials; its full proof and the state-aware sufficient construction are given in Supplementary Note 2. Symbolic checks and an illustrative deterministic figure are additional checks; the all-quantifier result is established by the piecewise proof.</w:t>
      </w:r>
    </w:p>
    <w:p>
      <w:pPr>
        <w:pStyle w:val="BodyText"/>
        <w:widowControl/>
      </w:pPr>
      <w:r>
        <w:t xml:space="preserve">The smooth cutoff construction has declared inner and outer rectangles. Positivity of the radicand and denominators establishes analyticity of the specified core functions on a neighbourhood of the outer rectangle. Transferring this local operation to the source wave classes additionally requires their fixed-stage, derivative, support and multiplier hypotheses. We do not claim that arbitrary generated expressions satisfy them, that physical norms improve monotonically, or that this rewrite independently proves a full NS replacement theorem. Earlier source-relative PDE arguments, recorded computational checks and independently certified mathematics are separate evidence classes. Supplementary Notes 2–3 also state the sufficient-state boundary and its cost assumptions.</w:t>
      </w:r>
    </w:p>
    <w:bookmarkEnd w:id="20"/>
    <w:bookmarkStart w:id="21" w:name="mathematical-source-and-local-target"/>
    <w:p>
      <w:pPr>
        <w:pStyle w:val="Heading3"/>
        <w:keepNext/>
        <w:widowControl/>
      </w:pPr>
      <w:r>
        <w:rPr>
          <w:rFonts w:ascii="Times New Roman" w:hAnsi="Times New Roman"/>
          <w:b/>
          <w:color w:val="000000"/>
          <w:sz w:val="26"/>
        </w:rPr>
        <w:t xml:space="preserve">Mathematical source and local target</w:t>
      </w:r>
    </w:p>
    <w:p>
      <w:pPr>
        <w:pStyle w:val="FirstParagraph"/>
        <w:widowControl/>
      </w:pPr>
      <w:r>
        <w:t xml:space="preserve">The source is the retained</w:t>
      </w:r>
      <w:r>
        <w:t xml:space="preserve"> </w:t>
      </w:r>
      <w:r>
        <w:rPr>
          <w:rStyle w:val="VerbatimChar"/>
        </w:rPr>
        <w:t xml:space="preserve">NavierStokes/PrimaryCovarianceBounds.lean</w:t>
      </w:r>
      <w:r>
        <w:t xml:space="preserve"> </w:t>
      </w:r>
      <w:r>
        <w:t xml:space="preserve">at the recorded OpenAI repository commit. Its role is a local covariance bound within the published construction, not an original theorem of this study. The fixed outer theorem chooses uniform constants and a scale threshold before the pulse, chart parameter and target multiplier. Its local gap is the assertion that every entry of</w:t>
      </w:r>
      <w:r>
        <w:t xml:space="preserve"> </w:t>
      </w:r>
      <w:r>
        <w:rPr>
          <w:rStyle w:val="VerbatimChar"/>
        </w:rPr>
        <w:t xml:space="preserve">normalizedPair P</w:t>
      </w:r>
      <w:r>
        <w:t xml:space="preserve"> </w:t>
      </w:r>
      <w:r>
        <w:t xml:space="preserve">is within</w:t>
      </w:r>
      <w:r>
        <w:t xml:space="preserve"> </w:t>
      </w:r>
      <m:oMath>
        <m:r>
          <m:t>ρ</m:t>
        </m:r>
      </m:oMath>
      <w:r>
        <w:t xml:space="preserve"> </w:t>
      </w:r>
      <w:r>
        <w:t xml:space="preserve">of</w:t>
      </w:r>
      <w:r>
        <w:t xml:space="preserve"> </w:t>
      </w:r>
      <w:r>
        <w:rPr>
          <w:rStyle w:val="VerbatimChar"/>
        </w:rPr>
        <w:t xml:space="preserve">H0 p</w:t>
      </w:r>
      <w:r>
        <w:t xml:space="preserve">. The source identifier</w:t>
      </w:r>
      <w:r>
        <w:t xml:space="preserve"> </w:t>
      </w:r>
      <w:r>
        <w:rPr>
          <w:rStyle w:val="VerbatimChar"/>
        </w:rPr>
        <w:t xml:space="preserve">p</w:t>
      </w:r>
      <w:r>
        <w:t xml:space="preserve"> </w:t>
      </w:r>
      <w:r>
        <w:t xml:space="preserve">is written</w:t>
      </w:r>
      <w:r>
        <w:t xml:space="preserve"> </w:t>
      </w:r>
      <m:oMath>
        <m:r>
          <m:t>ξ</m:t>
        </m:r>
      </m:oMath>
      <w:r>
        <w:t xml:space="preserve"> </w:t>
      </w:r>
      <w:r>
        <w:t xml:space="preserve">in the paper;</w:t>
      </w:r>
      <w:r>
        <w:t xml:space="preserve"> </w:t>
      </w:r>
      <w:r>
        <w:rPr>
          <w:rStyle w:val="VerbatimChar"/>
        </w:rPr>
        <w:t xml:space="preserve">slotRadius r0 h n</w:t>
      </w:r>
      <w:r>
        <w:t xml:space="preserve"> </w:t>
      </w:r>
      <w:r>
        <w:t xml:space="preserve">is</w:t>
      </w:r>
      <w:r>
        <w:t xml:space="preserve"> </w:t>
      </w:r>
      <m:oMath>
        <m:sSub>
          <m:e>
            <m:r>
              <m:t>R</m:t>
            </m:r>
          </m:e>
          <m:sub>
            <m:r>
              <m:t>n</m:t>
            </m:r>
          </m:sub>
        </m:sSub>
      </m:oMath>
      <w:r>
        <w:t xml:space="preserve">;</w:t>
      </w:r>
      <w:r>
        <w:t xml:space="preserve"> </w:t>
      </w:r>
      <w:r>
        <w:rPr>
          <w:rStyle w:val="VerbatimChar"/>
        </w:rPr>
        <w:t xml:space="preserve">ChartScales.slotLength r0 h n</w:t>
      </w:r>
      <w:r>
        <w:t xml:space="preserve"> </w:t>
      </w:r>
      <w:r>
        <w:t xml:space="preserve">is</w:t>
      </w:r>
      <w:r>
        <w:t xml:space="preserve"> </w:t>
      </w:r>
      <m:oMath>
        <m:sSub>
          <m:e>
            <m:r>
              <m:t>L</m:t>
            </m:r>
          </m:e>
          <m:sub>
            <m:r>
              <m:t>n</m:t>
            </m:r>
          </m:sub>
        </m:sSub>
      </m:oMath>
      <w:r>
        <w:t xml:space="preserve">; source coefficients</w:t>
      </w:r>
      <w:r>
        <w:t xml:space="preserve"> </w:t>
      </w:r>
      <w:r>
        <w:rPr>
          <w:rStyle w:val="VerbatimChar"/>
        </w:rPr>
        <w:t xml:space="preserve">E,D</w:t>
      </w:r>
      <w:r>
        <w:t xml:space="preserve"> </w:t>
      </w:r>
      <w:r>
        <w:t xml:space="preserve">are written</w:t>
      </w:r>
      <w:r>
        <w:t xml:space="preserve"> </w:t>
      </w:r>
      <m:oMath>
        <m:r>
          <m:t>e</m:t>
        </m:r>
        <m:r>
          <m:rPr>
            <m:sty m:val="p"/>
          </m:rPr>
          <m:t>,</m:t>
        </m:r>
        <m:r>
          <m:t>d</m:t>
        </m:r>
      </m:oMath>
      <w:r>
        <w:t xml:space="preserve">; and</w:t>
      </w:r>
      <w:r>
        <w:t xml:space="preserve"> </w:t>
      </w:r>
      <m:oMath>
        <m:r>
          <m:t>c</m:t>
        </m:r>
      </m:oMath>
      <w:r>
        <w:t xml:space="preserve"> </w:t>
      </w:r>
      <w:r>
        <w:t xml:space="preserve">is</w:t>
      </w:r>
      <w:r>
        <w:t xml:space="preserve"> </w:t>
      </w:r>
      <w:r>
        <w:rPr>
          <w:rStyle w:val="VerbatimChar"/>
        </w:rPr>
        <w:t xml:space="preserve">PulseCovariance.concentrationConstant a A b B</w:t>
      </w:r>
      <w:r>
        <w:t xml:space="preserve">. The source positivity, compactness, pulse estimates and column-mass results are premises of this task, not model outputs.</w:t>
      </w:r>
    </w:p>
    <w:p>
      <w:pPr>
        <w:pStyle w:val="BodyText"/>
        <w:widowControl/>
      </w:pPr>
      <w:r>
        <w:t xml:space="preserve">Both conditions received the exact outer template with one marked proof-body hole and the full relevant declarations of</w:t>
      </w:r>
      <w:r>
        <w:t xml:space="preserve"> </w:t>
      </w:r>
      <w:r>
        <w:rPr>
          <w:rStyle w:val="VerbatimChar"/>
        </w:rPr>
        <w:t xml:space="preserve">normalizedPair_entry_error</w:t>
      </w:r>
      <w:r>
        <w:t xml:space="preserve"> </w:t>
      </w:r>
      <w:r>
        <w:t xml:space="preserve">and</w:t>
      </w:r>
      <w:r>
        <w:t xml:space="preserve"> </w:t>
      </w:r>
      <w:r>
        <w:rPr>
          <w:rStyle w:val="VerbatimChar"/>
        </w:rPr>
        <w:t xml:space="preserve">slotRadius_sq</w:t>
      </w:r>
      <w:r>
        <w:t xml:space="preserve">. The additional note in the guided condition identifies the needed interval/denominator/centre conversion, the integral-error application and the scalar comparison. It does not contain the final tactic body, but it does provide an explicit solution strategy. Full inputs, all five candidate bodies, the truncated-response status and the accepted downstream line are retained in Supplementary Note 5 and the evidence archive. No claim of equal full informational state is made.</w:t>
      </w:r>
    </w:p>
    <w:bookmarkEnd w:id="21"/>
    <w:bookmarkStart w:id="22" w:name="selection-generation-and-feedback"/>
    <w:p>
      <w:pPr>
        <w:pStyle w:val="Heading3"/>
        <w:keepNext/>
        <w:widowControl/>
      </w:pPr>
      <w:r>
        <w:rPr>
          <w:rFonts w:ascii="Times New Roman" w:hAnsi="Times New Roman"/>
          <w:b/>
          <w:color w:val="000000"/>
          <w:sz w:val="26"/>
        </w:rPr>
        <w:t xml:space="preserve">Selection, generation and feedback</w:t>
      </w:r>
    </w:p>
    <w:p>
      <w:pPr>
        <w:pStyle w:val="FirstParagraph"/>
        <w:widowControl/>
      </w:pPr>
      <w:r>
        <w:t xml:space="preserve">The final protocol was selected after researcher-directed modification of broader reconstruction workflows. The investigator explicitly authorised a known-proof comparison with the last local step left to the model. Both conditions used a maximum of three requests. The retained seed root was 1,775,273,732, increased by attempt; the recorded arm order was guided then declarations-only. Equal attempt seeds do not imply identical stochastic trajectories under different prompts. Each later request included the condition’s own visible candidate and compiler feedback, when available. At most the final 12,000 characters of each output stream were exposed as feedback, with truncation marked; complete streams were retained. Models returned Lean proof-body text without live shell, history-retrieval or search tools. The enclosing source was filled mechanically without semantic correction of the generated body.</w:t>
      </w:r>
    </w:p>
    <w:p>
      <w:pPr>
        <w:pStyle w:val="BodyText"/>
        <w:widowControl/>
      </w:pPr>
      <w:r>
        <w:t xml:space="preserve">The recorded model identifier was</w:t>
      </w:r>
      <w:r>
        <w:t xml:space="preserve"> </w:t>
      </w:r>
      <w:r>
        <w:rPr>
          <w:rStyle w:val="VerbatimChar"/>
        </w:rPr>
        <w:t xml:space="preserve">Qwen/Qwen3.8-27B-FP8</w:t>
      </w:r>
      <w:r>
        <w:t xml:space="preserve">. The deployment records specify 262,144-token context, one globally active generation, MTP disabled, half-precision computation, tensor parallelism 2,</w:t>
      </w:r>
      <w:r>
        <w:t xml:space="preserve"> </w:t>
      </w:r>
      <w:r>
        <w:rPr>
          <w:rStyle w:val="VerbatimChar"/>
        </w:rPr>
        <w:t xml:space="preserve">turboquant_k8v4</w:t>
      </w:r>
      <w:r>
        <w:t xml:space="preserve"> </w:t>
      </w:r>
      <w:r>
        <w:t xml:space="preserve">KV configuration, piecewise capture size 4 and safe synchronisation. Sampling used temperature 1, top-p 0.95, top-k 20, presence penalty 0, repetition penalty 1 and an active end-of-sequence rule, with recorded medium thinking. Per-request output was limited to 32,768 tokens including reasoning; input allowance was 196,608. These are historical configuration records, not independently verified current service properties or model weights. There was no imposed client generation deadline in this final run.</w:t>
      </w:r>
    </w:p>
    <w:bookmarkEnd w:id="22"/>
    <w:bookmarkStart w:id="23" w:name="recorded-acceptance-and-compilation"/>
    <w:p>
      <w:pPr>
        <w:pStyle w:val="Heading3"/>
        <w:keepNext/>
        <w:widowControl/>
      </w:pPr>
      <w:r>
        <w:rPr>
          <w:rFonts w:ascii="Times New Roman" w:hAnsi="Times New Roman"/>
          <w:b/>
          <w:color w:val="000000"/>
          <w:sz w:val="26"/>
        </w:rPr>
        <w:t xml:space="preserve">Recorded acceptance and compilation</w:t>
      </w:r>
    </w:p>
    <w:p>
      <w:pPr>
        <w:pStyle w:val="FirstParagraph"/>
        <w:widowControl/>
      </w:pPr>
      <w:r>
        <w:t xml:space="preserve">Five non-empty proof bodies were inserted into the identical template and compiled in the retained Lean 4.34.0-rc2 environment. The first declarations-only request had</w:t>
      </w:r>
      <w:r>
        <w:t xml:space="preserve"> </w:t>
      </w:r>
      <w:r>
        <w:rPr>
          <w:rStyle w:val="VerbatimChar"/>
        </w:rPr>
        <w:t xml:space="preserve">finish_reason=length</w:t>
      </w:r>
      <w:r>
        <w:t xml:space="preserve"> </w:t>
      </w:r>
      <w:r>
        <w:t xml:space="preserve">and no visible body, so no compiler was invoked for that response. Recorded compilation took approximately 13–14 seconds per candidate. Non-fatal cache/permission warnings in the saved compiler outputs remain part of the evidence; the logs have not been cleaned into idealised feedback. The successful record contains a zero return code, the exact enclosing type check and the printed axiom dependencies. Failed outputs may list</w:t>
      </w:r>
      <w:r>
        <w:t xml:space="preserve"> </w:t>
      </w:r>
      <w:r>
        <w:rPr>
          <w:rStyle w:val="VerbatimChar"/>
        </w:rPr>
        <w:t xml:space="preserve">sorryAx</w:t>
      </w:r>
      <w:r>
        <w:t xml:space="preserve"> </w:t>
      </w:r>
      <w:r>
        <w:t xml:space="preserve">because their proof remains incomplete; this is not evidence of deliberate use of an axiom to evade the task.</w:t>
      </w:r>
    </w:p>
    <w:p>
      <w:pPr>
        <w:pStyle w:val="BodyText"/>
        <w:widowControl/>
      </w:pPr>
      <w:r>
        <w:t xml:space="preserve">Record analysis reread the original handoff and reran the auditor in an isolated output directory. It verified the 859 payload identities, reconstructed all six response streams, matched the five candidate insertions and compiler receipts, and checked the 243 shared work-tree files outside the candidate module. The original collector duplicated two mirrored reasoning fields; their bytes are retained and the duplication documented. Only visible proof bodies and compiler feedback entered later requests; server usage is the token source. These checks reproduce recorded acceptance, not a new trusted compilation. The saved-candidate replay script reports the actual availability of Lean, Lake and the required 4.34.0-rc2 environment; no compatible toolchain was available for this analysis. No new Lean or independent-kernel validation is claimed.¹⁹</w:t>
      </w:r>
    </w:p>
    <w:bookmarkEnd w:id="23"/>
    <w:bookmarkStart w:id="24" w:name="sources-and-supplementary-checks"/>
    <w:p>
      <w:pPr>
        <w:pStyle w:val="Heading3"/>
        <w:keepNext/>
        <w:widowControl/>
      </w:pPr>
      <w:r>
        <w:rPr>
          <w:rFonts w:ascii="Times New Roman" w:hAnsi="Times New Roman"/>
          <w:b/>
          <w:color w:val="000000"/>
          <w:sz w:val="26"/>
        </w:rPr>
        <w:t xml:space="preserve">Sources and supplementary checks</w:t>
      </w:r>
    </w:p>
    <w:p>
      <w:pPr>
        <w:pStyle w:val="FirstParagraph"/>
        <w:widowControl/>
      </w:pPr>
      <w:r>
        <w:t xml:space="preserve">The Codex background refers to the supplied snapshot at commit</w:t>
      </w:r>
      <w:r>
        <w:t xml:space="preserve"> </w:t>
      </w:r>
      <w:r>
        <w:rPr>
          <w:rStyle w:val="VerbatimChar"/>
        </w:rPr>
        <w:t xml:space="preserve">a8964cb1bad67bc26a826fb07d1bef99c6a3f008</w:t>
      </w:r>
      <w:r>
        <w:t xml:space="preserve">, including the new-context handler and history-notes extension, backend and tools. The handler requests a new window without summarising the conversation. The extension exposes note and historical-content operations through a backend; the selected client files do not establish the server’s internal storage or the behaviour of all releases. Public source semantics, our experimental implementation and opaque internal state are different evidence classes. The mathematical community’s statement supplies a purpose-level argument, not measured general decline, and the NS process account is attributed to its publisher rather than treated as an isolated causal experiment.</w:t>
      </w:r>
    </w:p>
    <w:p>
      <w:pPr>
        <w:pStyle w:val="BodyText"/>
        <w:widowControl/>
      </w:pPr>
      <w:r>
        <w:t xml:space="preserve">Two ancillary records have distinct provenance. The independent diagnostic is a separate Codex task with its own stated same-start materials and retained local compilation records; it was interrupted and did not complete the full NS goal. Its model and tool environment differ from the final comparison, and its input boundary is not independent certification of blindness. The researcher recheck is a reference-exposed derivation and algebra check; its own account explicitly records no new Lean compilation. Neither record is pooled with the formal six-request comparison.</w:t>
      </w:r>
    </w:p>
    <w:bookmarkEnd w:id="24"/>
    <w:bookmarkStart w:id="25" w:name="evidence-interpretation-and-analysis"/>
    <w:p>
      <w:pPr>
        <w:pStyle w:val="Heading3"/>
        <w:keepNext/>
        <w:widowControl/>
      </w:pPr>
      <w:r>
        <w:rPr>
          <w:rFonts w:ascii="Times New Roman" w:hAnsi="Times New Roman"/>
          <w:b/>
          <w:color w:val="000000"/>
          <w:sz w:val="26"/>
        </w:rPr>
        <w:t xml:space="preserve">Evidence interpretation and analysis</w:t>
      </w:r>
    </w:p>
    <w:p>
      <w:pPr>
        <w:pStyle w:val="FirstParagraph"/>
        <w:widowControl/>
      </w:pPr>
      <w:r>
        <w:t xml:space="preserve">In the proof-completion study, the unit of observation is one selected obligation and its paired bounded attempt sequences. The six requests, five candidates, matrix entries and compiler messages are not independent samples. We report every attempt, the exact endpoint, visible tactic differences and realised resources. No population success rate, p-value, confidence interval or general efficiency estimate is inferred. The guided prompt adds 332 initial input tokens and procedural information; feedback sequences diverge. Additional explanation, context arrangement, unequal realised effort and stochastic variation remain possible explanations of the observed contrast. Both final candidates locate the relevant lemmas, which supports a specific diagnosis of application failure but does not isolate a unique cognitive mechanism.</w:t>
      </w:r>
    </w:p>
    <w:p>
      <w:pPr>
        <w:pStyle w:val="BodyText"/>
        <w:widowControl/>
      </w:pPr>
      <w:r>
        <w:t xml:space="preserve">The passage from</w:t>
      </w:r>
      <w:r>
        <w:t xml:space="preserve"> </w:t>
      </w:r>
      <w:r>
        <w:rPr>
          <w:rStyle w:val="VerbatimChar"/>
        </w:rPr>
        <w:t xml:space="preserve">hclose</w:t>
      </w:r>
      <w:r>
        <w:t xml:space="preserve"> </w:t>
      </w:r>
      <w:r>
        <w:t xml:space="preserve">to</w:t>
      </w:r>
      <w:r>
        <w:t xml:space="preserve"> </w:t>
      </w:r>
      <w:r>
        <w:rPr>
          <w:rStyle w:val="VerbatimChar"/>
        </w:rPr>
        <w:t xml:space="preserve">hmargin</w:t>
      </w:r>
      <w:r>
        <w:t xml:space="preserve"> </w:t>
      </w:r>
      <w:r>
        <w:t xml:space="preserve">is an observed source-level use of a generated object by a supplied consumer. It does not show that the agent designed the downstream programme, changed its general method or adapted an acquired relation to a new duty. Earlier zero, mixed, stopped and unrun studies retain their original identities in Supplementary Note 6. The separately executed coefficient-continuation evidence is detailed in Supplementary Note 9. Neither its selected favourable traces nor this local proof completion replaces an original study endpoint. Supplementary Note 7 distinguishes observed reconstruction from still-unidentified causal and cross-domain claims.</w:t>
      </w:r>
    </w:p>
    <w:bookmarkEnd w:id="25"/>
    <w:bookmarkStart w:id="26" w:name="archived-successor-studies"/>
    <w:p>
      <w:pPr>
        <w:pStyle w:val="Heading3"/>
        <w:keepNext/>
        <w:widowControl/>
      </w:pPr>
      <w:r>
        <w:rPr>
          <w:rFonts w:ascii="Times New Roman" w:hAnsi="Times New Roman"/>
          <w:b/>
          <w:color w:val="000000"/>
          <w:sz w:val="26"/>
        </w:rPr>
        <w:t xml:space="preserve">Archived successor studies</w:t>
      </w:r>
    </w:p>
    <w:p>
      <w:pPr>
        <w:pStyle w:val="FirstParagraph"/>
        <w:widowControl/>
      </w:pPr>
      <w:r>
        <w:t xml:space="preserve">The assistance study recorded four formation episodes with two shared archived ancestors, followed by two continuations in each of two feedback conditions. The adoption study recorded eight new formation episodes, a common assisted first continuation, and two subsequent version-adoption branches per episode. The totals are 20 and 32 stages. Later targets were fixed modifications of the preceding targets; each continuation read its actual predecessor’s amplitude array and programme inventory. The agent wrote two real expressions inside a supplied smooth-cutoff update family. Both branches could retain or reconstruct accessible programmes. These were coefficient-workbench duties, not generation of full NS fields.</w:t>
      </w:r>
    </w:p>
    <w:p>
      <w:pPr>
        <w:pStyle w:val="BodyText"/>
        <w:widowControl/>
      </w:pPr>
      <w:r>
        <w:t xml:space="preserve">The completed-record analysis uses 40 assistance returns and 64 adoption returns. One additional assistance request remains historically unknown; a separately authorised supplementary observation occupies its analysis slot without recovering that request. No unit is added by this editorial reanalysis. The complete stage counts include one empty final programme in assistance and four in adoption. The original protocol treated these as no applied update, even where a usable draft existed. This historical rule is preserved, not corrected after the fact. Initial and revised code were exactly equal in seven of eight adoption pairs. The original treatment-minus-control family contrasts and complete denominators are reported in Supplementary Note 9 rather than conditioned on valid final outputs.</w:t>
      </w:r>
    </w:p>
    <w:p>
      <w:pPr>
        <w:pStyle w:val="BodyText"/>
        <w:widowControl/>
      </w:pPr>
      <w:r>
        <w:t xml:space="preserve">Two traces, assistance episode P00 and adoption episode P07, are selected after examining the results for their inspectable mathematical content. The programmes, original visible text, feedback rows and parent-state references were reread directly from the archived files. A separate interpreter recomputed their displayed safe-core operations at 100-digit precision, while direct arithmetic checked all 18,720 terminal field rows. Forty inherited-state arrays were matched to predecessor outputs and source hashes. The few displayed coordinates are within-duty illustrations, not independent experimental units or estimates of average improvement. The whole-residual identities are derived analytically from the actual programmes. Their series properties do not license monotone improvement for every source, point or physical norm.</w:t>
      </w:r>
    </w:p>
    <w:bookmarkEnd w:id="26"/>
    <w:bookmarkStart w:id="27" w:name="data-availability"/>
    <w:p>
      <w:pPr>
        <w:pStyle w:val="Heading3"/>
        <w:keepNext/>
        <w:widowControl/>
      </w:pPr>
      <w:r>
        <w:rPr>
          <w:rFonts w:ascii="Times New Roman" w:hAnsi="Times New Roman"/>
          <w:b/>
          <w:color w:val="000000"/>
          <w:sz w:val="26"/>
        </w:rPr>
        <w:t xml:space="preserve">Data availability</w:t>
      </w:r>
    </w:p>
    <w:p>
      <w:pPr>
        <w:pStyle w:val="FirstParagraph"/>
        <w:widowControl/>
      </w:pPr>
      <w:r>
        <w:t xml:space="preserve">Figure Source Data, the complete mathematical task inputs, all five saved proof candidates, six visible proof-completion responses and compilation records, and source-mapped coefficient-continuation records are included in the accompanying review-support archive,</w:t>
      </w:r>
      <w:r>
        <w:t xml:space="preserve"> </w:t>
      </w:r>
      <w:r>
        <w:rPr>
          <w:rStyle w:val="VerbatimChar"/>
        </w:rPr>
        <w:t xml:space="preserve">MAOFIELD_REVIEW_SUPPORT.zip</w:t>
      </w:r>
      <w:r>
        <w:t xml:space="preserve">. The successor material preserves all recorded terminal outcomes and original study denominators, with separately identified explanatory traces. Provenance maps identify every supplied excerpt and any privacy transformation. Unmodified originals are retained in the separate internal evidence archive. Local release candidates additionally preserve the full scientific raw records, with file-level provenance and only necessary non-scientific redactions. This broader sharing scope does not enlarge the analysis inputs, observation units or original denominators. The new manuscript, software and raw records are prepared as three linked Zenodo records; deposition and public release have not occurred. Original data, text and figures are designated CC BY 4.0 and original code Apache-2.0, with third-party rights preserved.</w:t>
      </w:r>
    </w:p>
    <w:bookmarkEnd w:id="27"/>
    <w:bookmarkStart w:id="28" w:name="code-availability"/>
    <w:p>
      <w:pPr>
        <w:pStyle w:val="Heading3"/>
        <w:keepNext/>
        <w:widowControl/>
      </w:pPr>
      <w:r>
        <w:rPr>
          <w:rFonts w:ascii="Times New Roman" w:hAnsi="Times New Roman"/>
          <w:b/>
          <w:color w:val="000000"/>
          <w:sz w:val="26"/>
        </w:rPr>
        <w:t xml:space="preserve">Code availability</w:t>
      </w:r>
    </w:p>
    <w:p>
      <w:pPr>
        <w:pStyle w:val="FirstParagraph"/>
        <w:widowControl/>
      </w:pPr>
      <w:r>
        <w:t xml:space="preserve">The review-support archive contains figure-generation sources, exact mathematical checks, raw-record reanalysis, the successor-record audit and assembly/replay scripts for the five saved Lean candidates.</w:t>
      </w:r>
      <w:r>
        <w:t xml:space="preserve"> </w:t>
      </w:r>
      <w:r>
        <w:rPr>
          <w:rStyle w:val="VerbatimChar"/>
        </w:rPr>
        <w:t xml:space="preserve">REPRODUCIBILITY/README.md</w:t>
      </w:r>
      <w:r>
        <w:t xml:space="preserve"> </w:t>
      </w:r>
      <w:r>
        <w:t xml:space="preserve">identifies the input and output of each offline command and its verification layer. Default entry points do not contact a model service. Saved-candidate compilation requires Lean 4.34.0-rc2 and the pinned dependencies; it remains unexecuted in this revision, separately from independent-kernel verification. Third-party notices accompany their sources. The prepared repository destination is Wangziqi0/MaoField, on a local nature-main candidate that preserves the older main branch and R3.0 history. A remote branch publication, default-branch switch and GitHub–Zenodo automatic archive have not been executed; no permanent address for this new code release is asserted.</w:t>
      </w:r>
    </w:p>
    <w:bookmarkEnd w:id="28"/>
    <w:bookmarkStart w:id="29" w:name="ai-use-and-research-attribution"/>
    <w:p>
      <w:pPr>
        <w:pStyle w:val="Heading3"/>
        <w:keepNext/>
        <w:widowControl/>
      </w:pPr>
      <w:r>
        <w:rPr>
          <w:rFonts w:ascii="Times New Roman" w:hAnsi="Times New Roman"/>
          <w:b/>
          <w:color w:val="000000"/>
          <w:sz w:val="26"/>
        </w:rPr>
        <w:t xml:space="preserve">AI use and research attribution</w:t>
      </w:r>
    </w:p>
    <w:p>
      <w:pPr>
        <w:pStyle w:val="FirstParagraph"/>
        <w:widowControl/>
      </w:pPr>
      <w:r>
        <w:t xml:space="preserve">The archived studies used model-generated programmes or proof bodies, investigator-designed tasks and guidance, and Codex-based execution. AI assistance was also used in source organisation, deterministic analysis, drafting and figure preparation, with these outputs checked against the retained records and mathematical arguments. This revision adds no new experimental model responses. Source-mathematics authorship, investigator steering and checking, generated artefacts and computational verification are distinct contributions. AI systems are not designated as authors.</w:t>
      </w:r>
    </w:p>
    <w:bookmarkEnd w:id="29"/>
    <w:bookmarkStart w:id="30" w:name="additional-information"/>
    <w:p>
      <w:pPr>
        <w:pStyle w:val="Heading3"/>
        <w:keepNext/>
        <w:widowControl/>
      </w:pPr>
      <w:r>
        <w:rPr>
          <w:rFonts w:ascii="Times New Roman" w:hAnsi="Times New Roman"/>
          <w:b/>
          <w:color w:val="000000"/>
          <w:sz w:val="26"/>
        </w:rPr>
        <w:t xml:space="preserve">Additional information</w:t>
      </w:r>
    </w:p>
    <w:p>
      <w:pPr>
        <w:pStyle w:val="FirstParagraph"/>
        <w:widowControl/>
      </w:pPr>
      <w:r>
        <w:t xml:space="preserve">Supplementary Information is available for this paper.</w:t>
      </w:r>
    </w:p>
    <w:bookmarkEnd w:id="30"/>
    <w:bookmarkEnd w:id="31"/>
    <w:bookmarkStart w:id="32" w:name="extended-data"/>
    <w:p>
      <w:pPr>
        <w:pStyle w:val="Heading2"/>
        <w:keepNext/>
        <w:pageBreakBefore/>
        <w:widowControl/>
      </w:pPr>
      <w:r>
        <w:rPr>
          <w:rFonts w:ascii="Times New Roman" w:hAnsi="Times New Roman"/>
          <w:b/>
          <w:color w:val="000000"/>
          <w:sz w:val="26"/>
        </w:rPr>
        <w:t xml:space="preserve">Extended Data</w:t>
      </w:r>
    </w:p>
    <w:p>
      <w:pPr>
        <w:keepNext/>
        <w:pageBreakBefore w:val="0"/>
        <w:spacing w:line="240" w:lineRule="auto"/>
        <w:jc w:val="center"/>
      </w:pPr>
      <w:r>
        <w:drawing>
          <wp:inline>
            <wp:extent cx="6480000" cy="3420635"/>
            <wp:docPr id="5" name="Picture 5"/>
            <wp:cNvGraphicFramePr>
              <a:graphicFrameLocks noChangeAspect="1"/>
            </wp:cNvGraphicFramePr>
            <a:graphic>
              <a:graphicData uri="http://schemas.openxmlformats.org/drawingml/2006/picture">
                <pic:pic>
                  <pic:nvPicPr>
                    <pic:cNvPr id="0" name="extended_data_figure1_resources.png"/>
                    <pic:cNvPicPr/>
                  </pic:nvPicPr>
                  <pic:blipFill>
                    <a:blip r:embed="rId13"/>
                    <a:stretch>
                      <a:fillRect/>
                    </a:stretch>
                  </pic:blipFill>
                  <pic:spPr>
                    <a:xfrm>
                      <a:off x="0" y="0"/>
                      <a:ext cx="6480000" cy="3420635"/>
                    </a:xfrm>
                    <a:prstGeom prst="rect"/>
                  </pic:spPr>
                </pic:pic>
              </a:graphicData>
            </a:graphic>
          </wp:inline>
        </w:drawing>
      </w:r>
    </w:p>
    <w:p>
      <w:pPr>
        <w:pStyle w:val="FirstParagraph"/>
        <w:pageBreakBefore w:val="0"/>
        <w:widowControl/>
        <w:spacing w:line="269" w:lineRule="auto" w:after="80"/>
      </w:pPr>
      <w:r>
        <w:rPr>
          <w:b/>
          <w:bCs/>
          <w:sz w:val="20"/>
        </w:rPr>
        <w:t xml:space="preserve">Extended Data Fig. 1 | Recorded token use, not efficiency.</w:t>
      </w:r>
      <w:r>
        <w:rPr>
          <w:sz w:val="20"/>
        </w:rPr>
        <w:t xml:space="preserve"> </w:t>
      </w:r>
      <w:r>
        <w:rPr>
          <w:sz w:val="20"/>
        </w:rPr>
        <w:t xml:space="preserve">The six input and output counts are reproduced from the supplied source-data table. Output includes reasoning. The first declarations-only response reaches its configured limit without a visible proof body. Guided inputs grow with their own candidates and compiler feedback. The figure describes realised work in this one comparison; equal request limits did not equalise realised computation, and no general efficiency advantage is inferred.</w:t>
      </w:r>
    </w:p>
    <w:p>
      <w:pPr>
        <w:pStyle w:val="BodyText"/>
        <w:pageBreakBefore/>
        <w:widowControl/>
        <w:spacing w:line="324" w:lineRule="auto"/>
      </w:pPr>
      <w:r>
        <w:rPr>
          <w:b/>
          <w:bCs/>
        </w:rPr>
        <w:t xml:space="preserve">Extended Data Table 1 | Earlier workflows retain their identities.</w:t>
      </w:r>
      <w:r>
        <w:t xml:space="preserve"> </w:t>
      </w:r>
      <w:r>
        <w:t xml:space="preserve">Supplementary Note 6 lists the retained pre-</w:t>
      </w:r>
      <w:r>
        <w:rPr>
          <w:rStyle w:val="VerbatimChar"/>
        </w:rPr>
        <w:t xml:space="preserve">hclose</w:t>
      </w:r>
      <w:r>
        <w:t xml:space="preserve"> </w:t>
      </w:r>
      <w:r>
        <w:t xml:space="preserve">design history, including stopped or unrun branches. The coefficient-continuation and proof-completion rows are supported by raw-record reanalysis; older rows retain their historical-report identity. The completed successor studies are separately identified, not pooled with the proof-completion pair. Their failed, unchanged, truncated, unknown and NOT_RUN states do not become positive evidence because the final local completion was accepted.</w:t>
      </w:r>
    </w:p>
    <w:tbl>
      <w:tblPr>
        <w:tblW w:type="auto" w:w="0"/>
        <w:tblLook w:firstColumn="1" w:firstRow="1" w:lastColumn="0" w:lastRow="0" w:noHBand="0" w:noVBand="1" w:val="04A0"/>
      </w:tblPr>
      <w:tblGrid>
        <w:gridCol w:w="3402"/>
        <w:gridCol w:w="3402"/>
        <w:gridCol w:w="3402"/>
      </w:tblGrid>
      <w:tr>
        <w:trPr>
          <w:cantSplit/>
          <w:tblHeader/>
        </w:trPr>
        <w:tc>
          <w:tcPr>
            <w:tcW w:type="dxa" w:w="2268"/>
          </w:tcPr>
          <w:p>
            <w:pPr>
              <w:spacing w:line="264" w:lineRule="auto" w:after="140"/>
            </w:pPr>
            <w:r>
              <w:rPr>
                <w:rFonts w:ascii="Times New Roman" w:hAnsi="Times New Roman"/>
                <w:b/>
                <w:sz w:val="20"/>
              </w:rPr>
              <w:t>Recorded workflow</w:t>
            </w:r>
          </w:p>
        </w:tc>
        <w:tc>
          <w:tcPr>
            <w:tcW w:type="dxa" w:w="4479"/>
          </w:tcPr>
          <w:p>
            <w:pPr>
              <w:spacing w:line="264" w:lineRule="auto" w:after="140"/>
            </w:pPr>
            <w:r>
              <w:rPr>
                <w:rFonts w:ascii="Times New Roman" w:hAnsi="Times New Roman"/>
                <w:b/>
                <w:sz w:val="20"/>
              </w:rPr>
              <w:t>Retained outcome</w:t>
            </w:r>
          </w:p>
        </w:tc>
        <w:tc>
          <w:tcPr>
            <w:tcW w:type="dxa" w:w="2551"/>
          </w:tcPr>
          <w:p>
            <w:pPr>
              <w:spacing w:line="264" w:lineRule="auto" w:after="140"/>
            </w:pPr>
            <w:r>
              <w:rPr>
                <w:rFonts w:ascii="Times New Roman" w:hAnsi="Times New Roman"/>
                <w:b/>
                <w:sz w:val="20"/>
              </w:rPr>
              <w:t>Evidence status</w:t>
            </w:r>
          </w:p>
        </w:tc>
      </w:tr>
      <w:tr>
        <w:trPr>
          <w:cantSplit/>
        </w:trPr>
        <w:tc>
          <w:tcPr>
            <w:tcW w:type="dxa" w:w="2268"/>
          </w:tcPr>
          <w:p>
            <w:pPr>
              <w:spacing w:line="264" w:lineRule="auto" w:after="140"/>
            </w:pPr>
            <w:r>
              <w:rPr>
                <w:rFonts w:ascii="Times New Roman" w:hAnsi="Times New Roman"/>
                <w:b w:val="0"/>
                <w:sz w:val="20"/>
              </w:rPr>
              <w:t>Full-endpoint workflow</w:t>
            </w:r>
          </w:p>
        </w:tc>
        <w:tc>
          <w:tcPr>
            <w:tcW w:type="dxa" w:w="4479"/>
          </w:tcPr>
          <w:p>
            <w:pPr>
              <w:spacing w:line="264" w:lineRule="auto" w:after="140"/>
            </w:pPr>
            <w:r>
              <w:rPr>
                <w:rFonts w:ascii="Times New Roman" w:hAnsi="Times New Roman"/>
                <w:b w:val="0"/>
                <w:sz w:val="20"/>
              </w:rPr>
              <w:t>Four branches; 55 requests; no writes</w:t>
            </w:r>
          </w:p>
        </w:tc>
        <w:tc>
          <w:tcPr>
            <w:tcW w:type="dxa" w:w="2551"/>
          </w:tcPr>
          <w:p>
            <w:pPr>
              <w:spacing w:line="264" w:lineRule="auto" w:after="140"/>
            </w:pPr>
            <w:r>
              <w:rPr>
                <w:rFonts w:ascii="Times New Roman" w:hAnsi="Times New Roman"/>
                <w:b w:val="0"/>
                <w:sz w:val="20"/>
              </w:rPr>
              <w:t>Earlier exploration</w:t>
            </w:r>
          </w:p>
        </w:tc>
      </w:tr>
      <w:tr>
        <w:trPr>
          <w:cantSplit/>
        </w:trPr>
        <w:tc>
          <w:tcPr>
            <w:tcW w:type="dxa" w:w="2268"/>
          </w:tcPr>
          <w:p>
            <w:pPr>
              <w:spacing w:line="264" w:lineRule="auto" w:after="140"/>
            </w:pPr>
            <w:r>
              <w:rPr>
                <w:rFonts w:ascii="Times New Roman" w:hAnsi="Times New Roman"/>
                <w:b w:val="0"/>
                <w:sz w:val="20"/>
              </w:rPr>
              <w:t>Adapted continuation</w:t>
            </w:r>
          </w:p>
        </w:tc>
        <w:tc>
          <w:tcPr>
            <w:tcW w:type="dxa" w:w="4479"/>
          </w:tcPr>
          <w:p>
            <w:pPr>
              <w:spacing w:line="264" w:lineRule="auto" w:after="140"/>
            </w:pPr>
            <w:r>
              <w:rPr>
                <w:rFonts w:ascii="Times New Roman" w:hAnsi="Times New Roman"/>
                <w:b w:val="0"/>
                <w:sz w:val="20"/>
              </w:rPr>
              <w:t>40 requests; no writes; PI stop</w:t>
            </w:r>
          </w:p>
        </w:tc>
        <w:tc>
          <w:tcPr>
            <w:tcW w:type="dxa" w:w="2551"/>
          </w:tcPr>
          <w:p>
            <w:pPr>
              <w:spacing w:line="264" w:lineRule="auto" w:after="140"/>
            </w:pPr>
            <w:r>
              <w:rPr>
                <w:rFonts w:ascii="Times New Roman" w:hAnsi="Times New Roman"/>
                <w:b w:val="0"/>
                <w:sz w:val="20"/>
              </w:rPr>
              <w:t>Stopped</w:t>
            </w:r>
          </w:p>
        </w:tc>
      </w:tr>
      <w:tr>
        <w:trPr>
          <w:cantSplit/>
        </w:trPr>
        <w:tc>
          <w:tcPr>
            <w:tcW w:type="dxa" w:w="2268"/>
          </w:tcPr>
          <w:p>
            <w:pPr>
              <w:spacing w:line="264" w:lineRule="auto" w:after="140"/>
            </w:pPr>
            <w:r>
              <w:rPr>
                <w:rFonts w:ascii="Times New Roman" w:hAnsi="Times New Roman"/>
                <w:b w:val="0"/>
                <w:sz w:val="20"/>
              </w:rPr>
              <w:t>Dynamic organisation</w:t>
            </w:r>
          </w:p>
        </w:tc>
        <w:tc>
          <w:tcPr>
            <w:tcW w:type="dxa" w:w="4479"/>
          </w:tcPr>
          <w:p>
            <w:pPr>
              <w:spacing w:line="264" w:lineRule="auto" w:after="140"/>
            </w:pPr>
            <w:r>
              <w:rPr>
                <w:rFonts w:ascii="Times New Roman" w:hAnsi="Times New Roman"/>
                <w:b w:val="0"/>
                <w:sz w:val="20"/>
              </w:rPr>
              <w:t>23 requests; no writes</w:t>
            </w:r>
          </w:p>
        </w:tc>
        <w:tc>
          <w:tcPr>
            <w:tcW w:type="dxa" w:w="2551"/>
          </w:tcPr>
          <w:p>
            <w:pPr>
              <w:spacing w:line="264" w:lineRule="auto" w:after="140"/>
            </w:pPr>
            <w:r>
              <w:rPr>
                <w:rFonts w:ascii="Times New Roman" w:hAnsi="Times New Roman"/>
                <w:b w:val="0"/>
                <w:sz w:val="20"/>
              </w:rPr>
              <w:t>Earlier exploration</w:t>
            </w:r>
          </w:p>
        </w:tc>
      </w:tr>
      <w:tr>
        <w:trPr>
          <w:cantSplit/>
        </w:trPr>
        <w:tc>
          <w:tcPr>
            <w:tcW w:type="dxa" w:w="2268"/>
          </w:tcPr>
          <w:p>
            <w:pPr>
              <w:spacing w:line="264" w:lineRule="auto" w:after="140"/>
            </w:pPr>
            <w:r>
              <w:rPr>
                <w:rFonts w:ascii="Times New Roman" w:hAnsi="Times New Roman"/>
                <w:b w:val="0"/>
                <w:sz w:val="20"/>
              </w:rPr>
              <w:t>Material preparation</w:t>
            </w:r>
          </w:p>
        </w:tc>
        <w:tc>
          <w:tcPr>
            <w:tcW w:type="dxa" w:w="4479"/>
          </w:tcPr>
          <w:p>
            <w:pPr>
              <w:spacing w:line="264" w:lineRule="auto" w:after="140"/>
            </w:pPr>
            <w:r>
              <w:rPr>
                <w:rFonts w:ascii="Times New Roman" w:hAnsi="Times New Roman"/>
                <w:b w:val="0"/>
                <w:sz w:val="20"/>
              </w:rPr>
              <w:t>16 preparation calls; packet not accepted; four branches unrun</w:t>
            </w:r>
          </w:p>
        </w:tc>
        <w:tc>
          <w:tcPr>
            <w:tcW w:type="dxa" w:w="2551"/>
          </w:tcPr>
          <w:p>
            <w:pPr>
              <w:spacing w:line="264" w:lineRule="auto" w:after="140"/>
            </w:pPr>
            <w:r>
              <w:rPr>
                <w:rFonts w:ascii="Times New Roman" w:hAnsi="Times New Roman"/>
                <w:b w:val="0"/>
                <w:sz w:val="20"/>
              </w:rPr>
              <w:t>Preparation failure</w:t>
            </w:r>
          </w:p>
        </w:tc>
      </w:tr>
      <w:tr>
        <w:trPr>
          <w:cantSplit/>
        </w:trPr>
        <w:tc>
          <w:tcPr>
            <w:tcW w:type="dxa" w:w="2268"/>
          </w:tcPr>
          <w:p>
            <w:pPr>
              <w:spacing w:line="264" w:lineRule="auto" w:after="140"/>
            </w:pPr>
            <w:r>
              <w:rPr>
                <w:rFonts w:ascii="Times New Roman" w:hAnsi="Times New Roman"/>
                <w:b w:val="0"/>
                <w:sz w:val="20"/>
              </w:rPr>
              <w:t>Fixed-material continuation</w:t>
            </w:r>
          </w:p>
        </w:tc>
        <w:tc>
          <w:tcPr>
            <w:tcW w:type="dxa" w:w="4479"/>
          </w:tcPr>
          <w:p>
            <w:pPr>
              <w:spacing w:line="264" w:lineRule="auto" w:after="140"/>
            </w:pPr>
            <w:r>
              <w:rPr>
                <w:rFonts w:ascii="Times New Roman" w:hAnsi="Times New Roman"/>
                <w:b w:val="0"/>
                <w:sz w:val="20"/>
              </w:rPr>
              <w:t>23 requests; no writes; three remaining branches unrun</w:t>
            </w:r>
          </w:p>
        </w:tc>
        <w:tc>
          <w:tcPr>
            <w:tcW w:type="dxa" w:w="2551"/>
          </w:tcPr>
          <w:p>
            <w:pPr>
              <w:spacing w:line="264" w:lineRule="auto" w:after="140"/>
            </w:pPr>
            <w:r>
              <w:rPr>
                <w:rFonts w:ascii="Times New Roman" w:hAnsi="Times New Roman"/>
                <w:b w:val="0"/>
                <w:sz w:val="20"/>
              </w:rPr>
              <w:t>Earlier exploration</w:t>
            </w:r>
          </w:p>
        </w:tc>
      </w:tr>
      <w:tr>
        <w:trPr>
          <w:cantSplit/>
        </w:trPr>
        <w:tc>
          <w:tcPr>
            <w:tcW w:type="dxa" w:w="2268"/>
          </w:tcPr>
          <w:p>
            <w:pPr>
              <w:spacing w:line="264" w:lineRule="auto" w:after="140"/>
            </w:pPr>
            <w:r>
              <w:rPr>
                <w:rFonts w:ascii="Times New Roman" w:hAnsi="Times New Roman"/>
                <w:b w:val="0"/>
                <w:sz w:val="20"/>
              </w:rPr>
              <w:t>Precompiled-source continuation</w:t>
            </w:r>
          </w:p>
        </w:tc>
        <w:tc>
          <w:tcPr>
            <w:tcW w:type="dxa" w:w="4479"/>
          </w:tcPr>
          <w:p>
            <w:pPr>
              <w:spacing w:line="264" w:lineRule="auto" w:after="140"/>
            </w:pPr>
            <w:r>
              <w:rPr>
                <w:rFonts w:ascii="Times New Roman" w:hAnsi="Times New Roman"/>
                <w:b w:val="0"/>
                <w:sz w:val="20"/>
              </w:rPr>
              <w:t>42 requests; no writes; stop</w:t>
            </w:r>
          </w:p>
        </w:tc>
        <w:tc>
          <w:tcPr>
            <w:tcW w:type="dxa" w:w="2551"/>
          </w:tcPr>
          <w:p>
            <w:pPr>
              <w:spacing w:line="264" w:lineRule="auto" w:after="140"/>
            </w:pPr>
            <w:r>
              <w:rPr>
                <w:rFonts w:ascii="Times New Roman" w:hAnsi="Times New Roman"/>
                <w:b w:val="0"/>
                <w:sz w:val="20"/>
              </w:rPr>
              <w:t>Stopped</w:t>
            </w:r>
          </w:p>
        </w:tc>
      </w:tr>
      <w:tr>
        <w:trPr>
          <w:cantSplit/>
        </w:trPr>
        <w:tc>
          <w:tcPr>
            <w:tcW w:type="dxa" w:w="2268"/>
          </w:tcPr>
          <w:p>
            <w:pPr>
              <w:spacing w:line="264" w:lineRule="auto" w:after="140"/>
            </w:pPr>
            <w:r>
              <w:rPr>
                <w:rFonts w:ascii="Times New Roman" w:hAnsi="Times New Roman"/>
                <w:b w:val="0"/>
                <w:sz w:val="20"/>
              </w:rPr>
              <w:t>Independent Codex diagnostic</w:t>
            </w:r>
          </w:p>
        </w:tc>
        <w:tc>
          <w:tcPr>
            <w:tcW w:type="dxa" w:w="4479"/>
          </w:tcPr>
          <w:p>
            <w:pPr>
              <w:spacing w:line="264" w:lineRule="auto" w:after="140"/>
            </w:pPr>
            <w:r>
              <w:rPr>
                <w:rFonts w:ascii="Times New Roman" w:hAnsi="Times New Roman"/>
                <w:b w:val="0"/>
                <w:sz w:val="20"/>
              </w:rPr>
              <w:t>Own specified same-start task; saved local compilation; PI stop</w:t>
            </w:r>
          </w:p>
        </w:tc>
        <w:tc>
          <w:tcPr>
            <w:tcW w:type="dxa" w:w="2551"/>
          </w:tcPr>
          <w:p>
            <w:pPr>
              <w:spacing w:line="264" w:lineRule="auto" w:after="140"/>
            </w:pPr>
            <w:r>
              <w:rPr>
                <w:rFonts w:ascii="Times New Roman" w:hAnsi="Times New Roman"/>
                <w:b w:val="0"/>
                <w:sz w:val="20"/>
              </w:rPr>
              <w:t>Separate diagnostic, not a formal effect control</w:t>
            </w:r>
          </w:p>
        </w:tc>
      </w:tr>
      <w:tr>
        <w:trPr>
          <w:cantSplit/>
        </w:trPr>
        <w:tc>
          <w:tcPr>
            <w:tcW w:type="dxa" w:w="2268"/>
          </w:tcPr>
          <w:p>
            <w:pPr>
              <w:spacing w:line="264" w:lineRule="auto" w:after="140"/>
            </w:pPr>
            <w:r>
              <w:rPr>
                <w:rFonts w:ascii="Times New Roman" w:hAnsi="Times New Roman"/>
                <w:b w:val="0"/>
                <w:sz w:val="20"/>
              </w:rPr>
              <w:t>Researcher recheck</w:t>
            </w:r>
          </w:p>
        </w:tc>
        <w:tc>
          <w:tcPr>
            <w:tcW w:type="dxa" w:w="4479"/>
          </w:tcPr>
          <w:p>
            <w:pPr>
              <w:spacing w:line="264" w:lineRule="auto" w:after="140"/>
            </w:pPr>
            <w:r>
              <w:rPr>
                <w:rFonts w:ascii="Times New Roman" w:hAnsi="Times New Roman"/>
                <w:b w:val="0"/>
                <w:sz w:val="20"/>
              </w:rPr>
              <w:t>Full reference seen; algebra recheck; no new Lean compilation</w:t>
            </w:r>
          </w:p>
        </w:tc>
        <w:tc>
          <w:tcPr>
            <w:tcW w:type="dxa" w:w="2551"/>
          </w:tcPr>
          <w:p>
            <w:pPr>
              <w:spacing w:line="264" w:lineRule="auto" w:after="140"/>
            </w:pPr>
            <w:r>
              <w:rPr>
                <w:rFonts w:ascii="Times New Roman" w:hAnsi="Times New Roman"/>
                <w:b w:val="0"/>
                <w:sz w:val="20"/>
              </w:rPr>
              <w:t>Reference-exposed verification</w:t>
            </w:r>
          </w:p>
        </w:tc>
      </w:tr>
      <w:tr>
        <w:trPr>
          <w:cantSplit/>
        </w:trPr>
        <w:tc>
          <w:tcPr>
            <w:tcW w:type="dxa" w:w="2268"/>
          </w:tcPr>
          <w:p>
            <w:pPr>
              <w:spacing w:line="264" w:lineRule="auto" w:after="140"/>
            </w:pPr>
            <w:r>
              <w:rPr>
                <w:rFonts w:ascii="Times New Roman" w:hAnsi="Times New Roman"/>
                <w:b w:val="0"/>
                <w:sz w:val="20"/>
              </w:rPr>
              <w:t>Final hclose pair</w:t>
            </w:r>
          </w:p>
        </w:tc>
        <w:tc>
          <w:tcPr>
            <w:tcW w:type="dxa" w:w="4479"/>
          </w:tcPr>
          <w:p>
            <w:pPr>
              <w:spacing w:line="264" w:lineRule="auto" w:after="140"/>
            </w:pPr>
            <w:r>
              <w:rPr>
                <w:rFonts w:ascii="Times New Roman" w:hAnsi="Times New Roman"/>
                <w:b w:val="0"/>
                <w:sz w:val="20"/>
              </w:rPr>
              <w:t>Six requests; five candidates; guided third accepted</w:t>
            </w:r>
          </w:p>
        </w:tc>
        <w:tc>
          <w:tcPr>
            <w:tcW w:type="dxa" w:w="2551"/>
          </w:tcPr>
          <w:p>
            <w:pPr>
              <w:spacing w:line="264" w:lineRule="auto" w:after="140"/>
            </w:pPr>
            <w:r>
              <w:rPr>
                <w:rFonts w:ascii="Times New Roman" w:hAnsi="Times New Roman"/>
                <w:b w:val="0"/>
                <w:sz w:val="20"/>
              </w:rPr>
              <w:t>Present local record</w:t>
            </w:r>
          </w:p>
        </w:tc>
      </w:tr>
      <w:tr>
        <w:trPr>
          <w:cantSplit/>
        </w:trPr>
        <w:tc>
          <w:tcPr>
            <w:tcW w:type="dxa" w:w="2268"/>
          </w:tcPr>
          <w:p>
            <w:pPr>
              <w:spacing w:line="264" w:lineRule="auto" w:after="140"/>
            </w:pPr>
            <w:r>
              <w:rPr>
                <w:rFonts w:ascii="Times New Roman" w:hAnsi="Times New Roman"/>
                <w:b w:val="0"/>
                <w:sz w:val="20"/>
              </w:rPr>
              <w:t>Coefficient assistance / adoption</w:t>
            </w:r>
          </w:p>
        </w:tc>
        <w:tc>
          <w:tcPr>
            <w:tcW w:type="dxa" w:w="4479"/>
          </w:tcPr>
          <w:p>
            <w:pPr>
              <w:spacing w:line="264" w:lineRule="auto" w:after="140"/>
            </w:pPr>
            <w:r>
              <w:rPr>
                <w:rFonts w:ascii="Times New Roman" w:hAnsi="Times New Roman"/>
                <w:b w:val="0"/>
                <w:sz w:val="20"/>
              </w:rPr>
              <w:t>52 stages; 104 completed returns. Actual revision and reuse; 5 empty finals; 7/8 equal adoption versions.</w:t>
            </w:r>
          </w:p>
        </w:tc>
        <w:tc>
          <w:tcPr>
            <w:tcW w:type="dxa" w:w="2551"/>
          </w:tcPr>
          <w:p>
            <w:pPr>
              <w:spacing w:line="264" w:lineRule="auto" w:after="140"/>
            </w:pPr>
            <w:r>
              <w:rPr>
                <w:rFonts w:ascii="Times New Roman" w:hAnsi="Times New Roman"/>
                <w:b w:val="0"/>
                <w:sz w:val="20"/>
              </w:rPr>
              <w:t>Executed; raw reanalysis. No established average benefit.</w:t>
            </w:r>
          </w:p>
        </w:tc>
      </w:tr>
    </w:tbl>
    <w:bookmarkEnd w:id="32"/>
    <w:sectPr>
      <w:headerReference w:type="default" r:id="rId14"/>
      <w:footerReference w:type="default" r:id="rId15"/>
      <w:footnotePr>
        <w:numRestart w:val="eachSect"/>
      </w:footnotePr>
      <w:pgSz w:h="16838" w:w="11906"/>
      <w:pgMar w:top="1247" w:bottom="1247" w:left="850" w:right="850" w:header="567" w:footer="567"/>
      <w:lnNumType w:countBy="1" w:start="1" w:distance="18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suppressLineNumbers/>
    </w:pPr>
    <w:r>
      <w:rPr>
        <w:rFonts w:ascii="Arial" w:hAnsi="Arial"/>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pPr>
    <w:r>
      <w:rPr>
        <w:rFonts w:ascii="Arial" w:hAnsi="Arial"/>
        <w:color w:val="5F5F5F"/>
        <w:sz w:val="16"/>
      </w:rPr>
      <w:t>Results and the conditions for further discovery</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480" w:lineRule="auto"/>
    </w:pPr>
    <w:rPr>
      <w:rFonts w:ascii="Times New Roman" w:hAnsi="Times New Roman" w:cs="Times New Roman" w:eastAsia="Noto Serif CJK SC"/>
      <w:sz w:val="24"/>
    </w:rPr>
  </w:style>
  <w:style w:styleId="BodyText" w:type="paragraph">
    <w:name w:val="Body Text"/>
    <w:basedOn w:val="Normal"/>
    <w:link w:val="BodyTextChar"/>
    <w:qFormat/>
    <w:pPr>
      <w:spacing w:after="100" w:before="180" w:line="480" w:lineRule="auto"/>
    </w:pPr>
    <w:rPr>
      <w:rFonts w:ascii="Times New Roman" w:hAnsi="Times New Roman" w:cs="Times New Roman" w:eastAsia="Noto Serif CJK SC"/>
      <w:sz w:val="24"/>
    </w:rPr>
  </w:style>
  <w:style w:customStyle="1" w:styleId="FirstParagraph" w:type="paragraph">
    <w:name w:val="First Paragraph"/>
    <w:basedOn w:val="BodyText"/>
    <w:next w:val="BodyText"/>
    <w:qFormat/>
    <w:pPr>
      <w:spacing w:after="100" w:line="480" w:lineRule="auto"/>
    </w:pPr>
    <w:rPr>
      <w:rFonts w:ascii="Times New Roman" w:hAnsi="Times New Roman" w:cs="Times New Roman" w:eastAsia="Noto Serif CJK SC"/>
      <w:sz w:val="24"/>
    </w:rPr>
  </w:style>
  <w:style w:customStyle="1" w:styleId="Compact" w:type="paragraph">
    <w:name w:val="Compact"/>
    <w:basedOn w:val="BodyText"/>
    <w:qFormat/>
    <w:pPr>
      <w:spacing w:after="100" w:before="36" w:line="480" w:lineRule="auto"/>
    </w:pPr>
    <w:rPr>
      <w:rFonts w:ascii="Times New Roman" w:hAnsi="Times New Roman" w:cs="Times New Roman" w:eastAsia="Noto Serif CJK SC"/>
      <w:sz w:val="24"/>
    </w:rPr>
  </w:style>
  <w:style w:styleId="Title" w:type="paragraph">
    <w:name w:val="Title"/>
    <w:basedOn w:val="Normal"/>
    <w:next w:val="BodyText"/>
    <w:link w:val="TitleChar"/>
    <w:uiPriority w:val="10"/>
    <w:qFormat/>
    <w:rsid w:val="00A10FD9"/>
    <w:pPr>
      <w:keepNext/>
      <w:spacing w:after="120" w:line="264" w:lineRule="auto" w:before="0"/>
      <w:contextualSpacing/>
      <w:jc w:val="center"/>
    </w:pPr>
    <w:rPr>
      <w:rFonts w:ascii="Times New Roman" w:hAnsi="Times New Roman" w:cs="Times New Roman" w:eastAsia="Noto Serif CJK SC"/>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after="120" w:line="264" w:lineRule="auto" w:before="0"/>
    </w:pPr>
    <w:rPr>
      <w:rFonts w:ascii="Times New Roman" w:hAnsi="Times New Roman" w:cs="Times New Roman" w:eastAsia="Noto Serif CJK SC"/>
      <w:color w:val="000000"/>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00" w:line="480" w:lineRule="auto"/>
    </w:pPr>
    <w:rPr>
      <w:rFonts w:ascii="Times New Roman" w:hAnsi="Times New Roman" w:cs="Times New Roman" w:eastAsia="Noto Serif CJK SC"/>
      <w:sz w:val="24"/>
      <w:szCs w:val="24"/>
    </w:rPr>
  </w:style>
  <w:style w:styleId="Date" w:type="paragraph">
    <w:name w:val="Date"/>
    <w:basedOn w:val="Title"/>
    <w:next w:val="BodyText"/>
    <w:qFormat/>
    <w:pPr>
      <w:keepNext/>
      <w:keepLines/>
      <w:spacing w:after="100" w:line="480" w:lineRule="auto"/>
    </w:pPr>
    <w:rPr>
      <w:rFonts w:ascii="Times New Roman" w:hAnsi="Times New Roman" w:cs="Times New Roman" w:eastAsia="Noto Serif CJK SC"/>
      <w:sz w:val="24"/>
      <w:szCs w:val="24"/>
    </w:rPr>
  </w:style>
  <w:style w:customStyle="1" w:styleId="AbstractTitle" w:type="paragraph">
    <w:name w:val="Abstract Title"/>
    <w:basedOn w:val="Normal"/>
    <w:next w:val="Abstract"/>
    <w:qFormat/>
    <w:pPr>
      <w:keepNext/>
      <w:keepLines/>
      <w:spacing w:after="100" w:before="300" w:line="480" w:lineRule="auto"/>
      <w:jc w:val="center"/>
    </w:pPr>
    <w:rPr>
      <w:rFonts w:ascii="Times New Roman" w:hAnsi="Times New Roman" w:cs="Times New Roman" w:eastAsia="Noto Serif CJK SC"/>
      <w:b/>
      <w:sz w:val="24"/>
      <w:szCs w:val="20"/>
    </w:rPr>
  </w:style>
  <w:style w:customStyle="1" w:styleId="Abstract" w:type="paragraph">
    <w:name w:val="Abstract"/>
    <w:basedOn w:val="Normal"/>
    <w:next w:val="BodyText"/>
    <w:qFormat/>
    <w:pPr>
      <w:keepNext/>
      <w:keepLines/>
      <w:spacing w:after="100" w:before="100" w:line="480" w:lineRule="auto"/>
    </w:pPr>
    <w:rPr>
      <w:rFonts w:ascii="Times New Roman" w:hAnsi="Times New Roman" w:cs="Times New Roman" w:eastAsia="Noto Serif CJK SC"/>
      <w:sz w:val="24"/>
      <w:szCs w:val="20"/>
    </w:rPr>
  </w:style>
  <w:style w:styleId="Bibliography" w:type="paragraph">
    <w:name w:val="Bibliography"/>
    <w:basedOn w:val="Normal"/>
    <w:next w:val="Bibliography"/>
    <w:qFormat/>
    <w:pPr>
      <w:spacing w:after="100" w:line="480" w:lineRule="auto"/>
    </w:pPr>
    <w:rPr>
      <w:rFonts w:ascii="Times New Roman" w:hAnsi="Times New Roman" w:cs="Times New Roman" w:eastAsia="Noto Serif CJK SC"/>
      <w:sz w:val="24"/>
    </w:rPr>
  </w:style>
  <w:style w:styleId="Heading1" w:type="paragraph">
    <w:name w:val="heading 1"/>
    <w:basedOn w:val="Normal"/>
    <w:next w:val="BodyText"/>
    <w:link w:val="Heading1Char"/>
    <w:uiPriority w:val="9"/>
    <w:qFormat/>
    <w:rsid w:val="00A10FD9"/>
    <w:pPr>
      <w:keepNext/>
      <w:keepLines/>
      <w:spacing w:after="120" w:before="240" w:line="288" w:lineRule="auto"/>
      <w:outlineLvl w:val="0"/>
    </w:pPr>
    <w:rPr>
      <w:rFonts w:ascii="Times New Roman" w:hAnsi="Times New Roman" w:cs="Times New Roman" w:eastAsia="Noto Serif CJK SC"/>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88" w:lineRule="auto"/>
      <w:outlineLvl w:val="1"/>
    </w:pPr>
    <w:rPr>
      <w:rFonts w:ascii="Times New Roman" w:hAnsi="Times New Roman" w:cs="Times New Roman" w:eastAsia="Noto Serif CJK SC"/>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88" w:lineRule="auto"/>
      <w:outlineLvl w:val="2"/>
    </w:pPr>
    <w:rPr>
      <w:rFonts w:ascii="Times New Roman" w:hAnsi="Times New Roman" w:cs="Times New Roman" w:eastAsia="Noto Serif CJK SC"/>
      <w:color w:val="000000"/>
      <w:sz w:val="23"/>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88" w:lineRule="auto"/>
      <w:outlineLvl w:val="3"/>
    </w:pPr>
    <w:rPr>
      <w:rFonts w:ascii="Times New Roman" w:hAnsi="Times New Roman" w:cs="Times New Roman" w:eastAsia="Noto Serif CJK SC"/>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100" w:before="80" w:line="480" w:lineRule="auto"/>
      <w:outlineLvl w:val="4"/>
    </w:pPr>
    <w:rPr>
      <w:rFonts w:ascii="Times New Roman" w:hAnsi="Times New Roman" w:cs="Times New Roman" w:eastAsia="Noto Serif CJK SC"/>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100" w:before="40" w:line="480" w:lineRule="auto"/>
      <w:outlineLvl w:val="5"/>
    </w:pPr>
    <w:rPr>
      <w:rFonts w:ascii="Times New Roman" w:hAnsi="Times New Roman" w:cs="Times New Roman" w:eastAsia="Noto Serif CJK SC"/>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100" w:before="40" w:line="480" w:lineRule="auto"/>
      <w:outlineLvl w:val="6"/>
    </w:pPr>
    <w:rPr>
      <w:rFonts w:ascii="Times New Roman" w:hAnsi="Times New Roman" w:cs="Times New Roman" w:eastAsia="Noto Serif CJK SC"/>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100" w:line="480" w:lineRule="auto"/>
      <w:outlineLvl w:val="7"/>
    </w:pPr>
    <w:rPr>
      <w:rFonts w:ascii="Times New Roman" w:hAnsi="Times New Roman" w:cs="Times New Roman" w:eastAsia="Noto Serif CJK SC"/>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100" w:line="480" w:lineRule="auto"/>
      <w:outlineLvl w:val="8"/>
    </w:pPr>
    <w:rPr>
      <w:rFonts w:ascii="Times New Roman" w:hAnsi="Times New Roman" w:cs="Times New Roman" w:eastAsia="Noto Serif CJK SC"/>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rPr>
      <w:rFonts w:ascii="Times New Roman" w:hAnsi="Times New Roman" w:cs="Times New Roman" w:eastAsia="Noto Serif CJK SC"/>
      <w:sz w:val="24"/>
    </w:rPr>
  </w:style>
  <w:style w:styleId="FootnoteText" w:type="paragraph">
    <w:name w:val="Footnote Text"/>
    <w:basedOn w:val="Normal"/>
    <w:next w:val="FootnoteText"/>
    <w:uiPriority w:val="9"/>
    <w:unhideWhenUsed/>
    <w:qFormat/>
    <w:pPr>
      <w:spacing w:after="100" w:line="480" w:lineRule="auto"/>
    </w:pPr>
    <w:rPr>
      <w:rFonts w:ascii="Times New Roman" w:hAnsi="Times New Roman" w:cs="Times New Roman" w:eastAsia="Noto Serif CJK SC"/>
      <w:sz w:val="24"/>
    </w:r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rPr>
      <w:rFonts w:ascii="Times New Roman" w:hAnsi="Times New Roman" w:cs="Times New Roman" w:eastAsia="Noto Serif CJK SC"/>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0" w:line="480" w:lineRule="auto"/>
    </w:pPr>
    <w:rPr>
      <w:rFonts w:ascii="Times New Roman" w:hAnsi="Times New Roman" w:cs="Times New Roman" w:eastAsia="Noto Serif CJK SC"/>
      <w:b/>
      <w:sz w:val="24"/>
    </w:rPr>
  </w:style>
  <w:style w:customStyle="1" w:styleId="Definition" w:type="paragraph">
    <w:name w:val="Definition"/>
    <w:basedOn w:val="Normal"/>
    <w:pPr>
      <w:spacing w:after="100" w:line="480" w:lineRule="auto"/>
    </w:pPr>
    <w:rPr>
      <w:rFonts w:ascii="Times New Roman" w:hAnsi="Times New Roman" w:cs="Times New Roman" w:eastAsia="Noto Serif CJK SC"/>
      <w:sz w:val="24"/>
    </w:rPr>
  </w:style>
  <w:style w:styleId="Caption" w:type="paragraph">
    <w:name w:val="Caption"/>
    <w:basedOn w:val="Normal"/>
    <w:link w:val="BodyTextChar"/>
    <w:pPr>
      <w:spacing w:after="100" w:before="0" w:line="480" w:lineRule="auto"/>
    </w:pPr>
    <w:rPr>
      <w:rFonts w:ascii="Times New Roman" w:hAnsi="Times New Roman" w:cs="Times New Roman" w:eastAsia="Noto Serif CJK SC"/>
      <w:i/>
      <w:sz w:val="24"/>
    </w:rPr>
  </w:style>
  <w:style w:customStyle="1" w:styleId="TableCaption" w:type="paragraph">
    <w:name w:val="Table Caption"/>
    <w:basedOn w:val="Caption"/>
    <w:pPr>
      <w:keepNext/>
      <w:spacing w:after="100" w:line="480" w:lineRule="auto"/>
    </w:pPr>
    <w:rPr>
      <w:rFonts w:ascii="Times New Roman" w:hAnsi="Times New Roman" w:cs="Times New Roman" w:eastAsia="Noto Serif CJK SC"/>
      <w:sz w:val="24"/>
    </w:rPr>
  </w:style>
  <w:style w:customStyle="1" w:styleId="ImageCaption" w:type="paragraph">
    <w:name w:val="Image Caption"/>
    <w:basedOn w:val="Caption"/>
    <w:pPr>
      <w:spacing w:after="100" w:line="480" w:lineRule="auto"/>
    </w:pPr>
    <w:rPr>
      <w:rFonts w:ascii="Times New Roman" w:hAnsi="Times New Roman" w:cs="Times New Roman" w:eastAsia="Noto Serif CJK SC"/>
      <w:sz w:val="24"/>
    </w:rPr>
  </w:style>
  <w:style w:customStyle="1" w:styleId="Figure" w:type="paragraph">
    <w:name w:val="Figure"/>
    <w:basedOn w:val="Normal"/>
    <w:pPr>
      <w:spacing w:after="100" w:line="480" w:lineRule="auto"/>
    </w:pPr>
    <w:rPr>
      <w:rFonts w:ascii="Times New Roman" w:hAnsi="Times New Roman" w:cs="Times New Roman" w:eastAsia="Noto Serif CJK SC"/>
      <w:sz w:val="24"/>
    </w:rPr>
  </w:style>
  <w:style w:customStyle="1" w:styleId="CaptionedFigure" w:type="paragraph">
    <w:name w:val="Captioned Figure"/>
    <w:basedOn w:val="Figure"/>
    <w:pPr>
      <w:keepNext/>
      <w:spacing w:after="100" w:line="480" w:lineRule="auto"/>
    </w:pPr>
    <w:rPr>
      <w:rFonts w:ascii="Times New Roman" w:hAnsi="Times New Roman" w:cs="Times New Roman" w:eastAsia="Noto Serif CJK SC"/>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cs="DejaVu Sans Mono" w:eastAsia="Noto Sans CJK S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after="100"/>
      <w:outlineLvl w:val="9"/>
    </w:pPr>
    <w:rPr>
      <w:rFonts w:ascii="Times New Roman" w:hAnsi="Times New Roman" w:cs="Times New Roman" w:eastAsia="Noto Serif CJK SC"/>
      <w:b w:val="0"/>
      <w:bCs w:val="0"/>
      <w:color w:themeColor="accent1" w:themeShade="BF" w:val="365F91"/>
      <w:sz w:val="24"/>
    </w:rPr>
  </w:style>
  <w:style w:type="paragraph" w:customStyle="1" w:styleId="SourceCode">
    <w:name w:val="Source Code"/>
    <w:basedOn w:val="Normal"/>
    <w:link w:val="VerbatimChar"/>
    <w:pPr>
      <w:wordWrap w:val="off"/>
      <w:spacing w:after="0" w:line="240" w:lineRule="auto"/>
    </w:pPr>
    <w:rPr>
      <w:rFonts w:ascii="DejaVu Sans Mono" w:hAnsi="DejaVu Sans Mono" w:cs="DejaVu Sans Mono" w:eastAsia="Noto Sans CJK SC"/>
      <w:sz w:val="15"/>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can equal results lead to different scientific futures</dc:title>
  <dc:creator/>
  <dc:language>en-GB</dc:language>
  <cp:keywords/>
  <dcterms:created xsi:type="dcterms:W3CDTF">2026-09-22T16:15:51Z</dcterms:created>
  <dcterms:modified xsi:type="dcterms:W3CDTF">2026-09-22T16:15:51Z</dcterms:modified>
  <cp:lastModifiedBy/>
  <dc:subject>Research Article</dc:subject>
</cp:coreProperties>
</file>

<file path=docProps/custom.xml><?xml version="1.0" encoding="utf-8"?>
<Properties xmlns="http://schemas.openxmlformats.org/officeDocument/2006/custom-properties" xmlns:vt="http://schemas.openxmlformats.org/officeDocument/2006/docPropsVTypes"/>
</file>