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X1fe6ee860b31054e45aa65b59d4e540d3c3b5e6"/>
    <w:p>
      <w:pPr>
        <w:pStyle w:val="Heading1"/>
      </w:pPr>
      <w:r>
        <w:t xml:space="preserve">AD-Rank &amp; Shape-CFD: Physics-Inspired Reranking via Conservative Advection-Diffusion on Document Point Clouds for Dense Retrieval</w:t>
      </w:r>
    </w:p>
    <w:p>
      <w:pPr>
        <w:pStyle w:val="FirstParagraph"/>
      </w:pPr>
      <w:r>
        <w:rPr>
          <w:bCs/>
          <w:b/>
        </w:rPr>
        <w:t xml:space="preserve">Yifan Chen</w:t>
      </w:r>
    </w:p>
    <w:p>
      <w:pPr>
        <w:pStyle w:val="BodyText"/>
      </w:pPr>
      <w:r>
        <w:t xml:space="preserve">March 2026 (v3: V5 Ablation &amp; Mixed Initial Field Supplement)</w:t>
      </w:r>
    </w:p>
    <w:p>
      <w:r>
        <w:pict>
          <v:rect style="width:0;height:1.5pt" o:hralign="center" o:hrstd="t" o:hr="t"/>
        </w:pict>
      </w:r>
    </w:p>
    <w:bookmarkStart w:id="20" w:name="abstract"/>
    <w:p>
      <w:pPr>
        <w:pStyle w:val="Heading2"/>
      </w:pPr>
      <w:r>
        <w:t xml:space="preserve">Abstract</w:t>
      </w:r>
    </w:p>
    <w:p>
      <w:pPr>
        <w:pStyle w:val="FirstParagraph"/>
      </w:pPr>
      <w:r>
        <w:t xml:space="preserve">Neural dense retrieval systems typically rank candidate documents by computing independent, pairwise cosine similarities between query and document embeddings, discarding the rich inter-document structural information that resides in the retrieved set. We present</w:t>
      </w:r>
      <w:r>
        <w:t xml:space="preserve"> </w:t>
      </w:r>
      <w:r>
        <w:rPr>
          <w:bCs/>
          <w:b/>
        </w:rPr>
        <w:t xml:space="preserve">Shape-CFD</w:t>
      </w:r>
      <w:r>
        <w:t xml:space="preserve">, a physics-inspired reranking framework that recasts the post-retrieval reranking problem as a</w:t>
      </w:r>
      <w:r>
        <w:t xml:space="preserve"> </w:t>
      </w:r>
      <w:r>
        <w:rPr>
          <w:iCs/>
          <w:i/>
        </w:rPr>
        <w:t xml:space="preserve">conservative convection-diffusion process</w:t>
      </w:r>
      <w:r>
        <w:t xml:space="preserve"> </w:t>
      </w:r>
      <w:r>
        <w:t xml:space="preserve">on a sparse nearest-neighbor graph constructed over the candidate documents. Our formulation introduces two principal innovations: (1) an</w:t>
      </w:r>
      <w:r>
        <w:t xml:space="preserve"> </w:t>
      </w:r>
      <w:r>
        <w:rPr>
          <w:bCs/>
          <w:b/>
        </w:rPr>
        <w:t xml:space="preserve">advective transport term</w:t>
      </w:r>
      <w:r>
        <w:t xml:space="preserve"> </w:t>
      </w:r>
      <w:r>
        <w:t xml:space="preserve">that encodes query-directed momentum along graph edges, complementing the isotropic diffusion employed by prior graph-based rerankers; and (2) a</w:t>
      </w:r>
      <w:r>
        <w:t xml:space="preserve"> </w:t>
      </w:r>
      <w:r>
        <w:rPr>
          <w:bCs/>
          <w:b/>
        </w:rPr>
        <w:t xml:space="preserve">shape-aware extension</w:t>
      </w:r>
      <w:r>
        <w:t xml:space="preserve"> </w:t>
      </w:r>
      <w:r>
        <w:t xml:space="preserve">that upgrades each document from a single point embedding to a sentence-level</w:t>
      </w:r>
      <w:r>
        <w:t xml:space="preserve"> </w:t>
      </w:r>
      <w:r>
        <w:rPr>
          <w:iCs/>
          <w:i/>
        </w:rPr>
        <w:t xml:space="preserve">point cloud</w:t>
      </w:r>
      <w:r>
        <w:t xml:space="preserve">, measuring inter-document affinity via the symmetric Chamfer distance. To mitigate the variance collapse of inner products in high-dimensional spaces (</w:t>
      </w:r>
      <m:oMath>
        <m:r>
          <m:t>d</m:t>
        </m:r>
        <m:r>
          <m:rPr>
            <m:sty m:val="p"/>
          </m:rPr>
          <m:t>=</m:t>
        </m:r>
        <m:r>
          <m:t>4096</m:t>
        </m:r>
      </m:oMath>
      <w:r>
        <w:t xml:space="preserve">), we apply Johnson-Lindenstrauss random projection to a compact</w:t>
      </w:r>
      <w:r>
        <w:t xml:space="preserve"> </w:t>
      </w:r>
      <m:oMath>
        <m:r>
          <m:t>m</m:t>
        </m:r>
        <m:r>
          <m:rPr>
            <m:sty m:val="p"/>
          </m:rPr>
          <m:t>=</m:t>
        </m:r>
        <m:r>
          <m:t>128</m:t>
        </m:r>
      </m:oMath>
      <w:r>
        <w:t xml:space="preserve"> </w:t>
      </w:r>
      <w:r>
        <w:t xml:space="preserve">subspace, which simultaneously achieves a</w:t>
      </w:r>
      <w:r>
        <w:t xml:space="preserve"> </w:t>
      </w:r>
      <m:oMath>
        <m:r>
          <m:t>32</m:t>
        </m:r>
        <m:r>
          <m:rPr>
            <m:sty m:val="p"/>
          </m:rPr>
          <m:t>×</m:t>
        </m:r>
      </m:oMath>
      <w:r>
        <w:t xml:space="preserve"> </w:t>
      </w:r>
      <w:r>
        <w:t xml:space="preserve">computational speedup and introduces a stochastic regularization effect analogous to simulated annealing. The resulting iterative scheme provably converges to a unique stationary distribution under a Courant-Friedrichs-Lewy (CFL) stability condition, and its conservative upwind discretization guarantees global mass conservation. On three BEIR benchmarks, Shape-CFD achieves competitive NDCG@10 scores—including a</w:t>
      </w:r>
      <w:r>
        <w:t xml:space="preserve"> </w:t>
      </w:r>
      <w:r>
        <w:rPr>
          <w:bCs/>
          <w:b/>
        </w:rPr>
        <w:t xml:space="preserve">+21.5%</w:t>
      </w:r>
      <w:r>
        <w:t xml:space="preserve"> </w:t>
      </w:r>
      <w:r>
        <w:t xml:space="preserve">improvement on NFCorpus—while maintaining a retrieval latency of</w:t>
      </w:r>
      <w:r>
        <w:t xml:space="preserve"> </w:t>
      </w:r>
      <w:r>
        <w:rPr>
          <w:bCs/>
          <w:b/>
        </w:rPr>
        <w:t xml:space="preserve">22 ms</w:t>
      </w:r>
      <w:r>
        <w:t xml:space="preserve"> </w:t>
      </w:r>
      <w:r>
        <w:t xml:space="preserve">on commodity CPU hardware, approximately</w:t>
      </w:r>
      <w:r>
        <w:t xml:space="preserve"> </w:t>
      </w:r>
      <m:oMath>
        <m:r>
          <m:t>23</m:t>
        </m:r>
        <m:r>
          <m:rPr>
            <m:sty m:val="p"/>
          </m:rPr>
          <m:t>×</m:t>
        </m:r>
      </m:oMath>
      <w:r>
        <w:t xml:space="preserve"> </w:t>
      </w:r>
      <w:r>
        <w:t xml:space="preserve">faster than cross-encoder rerankers.</w:t>
      </w:r>
      <w:r>
        <w:t xml:space="preserve"> </w:t>
      </w:r>
      <w:r>
        <w:rPr>
          <w:bCs/>
          <w:b/>
        </w:rPr>
        <w:t xml:space="preserve">In this v3 supplement</w:t>
      </w:r>
      <w:r>
        <w:t xml:space="preserve">, we report a systematic ablation of the Allen-Cahn reaction-diffusion extension (proposed as future work in v1) across NFCorpus and SciFact, demonstrate that nonlinear reaction dynamics are numerically dormant in the narrow score-range regime of short queries (</w:t>
      </w:r>
      <m:oMath>
        <m:r>
          <m:t>Δ</m:t>
        </m:r>
        <m:sSub>
          <m:e>
            <m:r>
              <m:t>C</m:t>
            </m:r>
          </m:e>
          <m:sub>
            <m:r>
              <m:t>0</m:t>
            </m:r>
          </m:sub>
        </m:sSub>
        <m:r>
          <m:rPr>
            <m:sty m:val="p"/>
          </m:rPr>
          <m:t>≈</m:t>
        </m:r>
        <m:r>
          <m:t>0.1</m:t>
        </m:r>
      </m:oMath>
      <w:r>
        <w:t xml:space="preserve">), and discover that a</w:t>
      </w:r>
      <w:r>
        <w:t xml:space="preserve"> </w:t>
      </w:r>
      <w:r>
        <w:rPr>
          <w:iCs/>
          <w:i/>
        </w:rPr>
        <w:t xml:space="preserve">mixed initial field</w:t>
      </w:r>
      <w:r>
        <w:t xml:space="preserve"> </w:t>
      </w:r>
      <m:oMath>
        <m:sSub>
          <m:e>
            <m:r>
              <m:t>C</m:t>
            </m:r>
          </m:e>
          <m:sub>
            <m:r>
              <m:t>0</m:t>
            </m:r>
          </m:sub>
        </m:sSub>
        <m:r>
          <m:rPr>
            <m:sty m:val="p"/>
          </m:rPr>
          <m:t>=</m:t>
        </m:r>
        <m:r>
          <m:t>α</m:t>
        </m:r>
        <m:r>
          <m:rPr>
            <m:sty m:val="p"/>
          </m:rPr>
          <m:t>⋅</m:t>
        </m:r>
        <m:r>
          <m:rPr>
            <m:nor/>
            <m:sty m:val="p"/>
          </m:rPr>
          <m:t>MaxSim</m:t>
        </m:r>
        <m:r>
          <m:rPr>
            <m:sty m:val="p"/>
          </m:rPr>
          <m:t>+</m:t>
        </m:r>
        <m:d>
          <m:dPr>
            <m:begChr m:val="("/>
            <m:endChr m:val=")"/>
            <m:sepChr m:val=""/>
            <m:grow/>
          </m:dPr>
          <m:e>
            <m:r>
              <m:t>1</m:t>
            </m:r>
            <m:r>
              <m:rPr>
                <m:sty m:val="p"/>
              </m:rPr>
              <m:t>−</m:t>
            </m:r>
            <m:r>
              <m:t>α</m:t>
            </m:r>
          </m:e>
        </m:d>
        <m:r>
          <m:rPr>
            <m:sty m:val="p"/>
          </m:rPr>
          <m:t>⋅</m:t>
        </m:r>
        <m:r>
          <m:rPr>
            <m:nor/>
            <m:sty m:val="p"/>
          </m:rPr>
          <m:t>MeanSim</m:t>
        </m:r>
      </m:oMath>
      <w:r>
        <w:t xml:space="preserve"> </w:t>
      </w:r>
      <w:r>
        <w:t xml:space="preserve">with</w:t>
      </w:r>
      <w:r>
        <w:t xml:space="preserve"> </w:t>
      </w:r>
      <m:oMath>
        <m:r>
          <m:t>α</m:t>
        </m:r>
        <m:r>
          <m:rPr>
            <m:sty m:val="p"/>
          </m:rPr>
          <m:t>=</m:t>
        </m:r>
        <m:r>
          <m:t>0.7</m:t>
        </m:r>
      </m:oMath>
      <w:r>
        <w:t xml:space="preserve"> </w:t>
      </w:r>
      <w:r>
        <w:t xml:space="preserve">yields a</w:t>
      </w:r>
      <w:r>
        <w:t xml:space="preserve"> </w:t>
      </w:r>
      <w:r>
        <w:rPr>
          <w:bCs/>
          <w:b/>
        </w:rPr>
        <w:t xml:space="preserve">+3.2%</w:t>
      </w:r>
      <w:r>
        <w:t xml:space="preserve"> </w:t>
      </w:r>
      <w:r>
        <w:t xml:space="preserve">improvement over Shape-CFD v4 on NFCorpus—but degrades on SciFact. We formalize this dataset-dependent behavior as the</w:t>
      </w:r>
      <w:r>
        <w:t xml:space="preserve"> </w:t>
      </w:r>
      <w:r>
        <w:rPr>
          <w:bCs/>
          <w:b/>
        </w:rPr>
        <w:t xml:space="preserve">Pareto boundary of initial fields</w:t>
      </w:r>
      <w:r>
        <w:t xml:space="preserve">, governed by the trade-off between extreme-value sampling noise and signal dilution, and propose a scale-adaptive symmetry-breaking formula that reduces to the original Chamfer baseline as a special case.</w:t>
      </w:r>
    </w:p>
    <w:p>
      <w:r>
        <w:pict>
          <v:rect style="width:0;height:1.5pt" o:hralign="center" o:hrstd="t" o:hr="t"/>
        </w:pict>
      </w:r>
    </w:p>
    <w:bookmarkEnd w:id="20"/>
    <w:bookmarkStart w:id="22" w:name="introduction"/>
    <w:p>
      <w:pPr>
        <w:pStyle w:val="Heading2"/>
      </w:pPr>
      <w:r>
        <w:t xml:space="preserve">1 Introduction</w:t>
      </w:r>
    </w:p>
    <w:p>
      <w:pPr>
        <w:pStyle w:val="FirstParagraph"/>
      </w:pPr>
      <w:r>
        <w:t xml:space="preserve">Retrieval-Augmented Generation (RAG) systems have emerged as the dominant architecture for grounding large language models in external knowledge [10, 11]. In a typical RAG pipeline, a bi-encoder first retrieves a set of</w:t>
      </w:r>
      <w:r>
        <w:t xml:space="preserve"> </w:t>
      </w:r>
      <m:oMath>
        <m:r>
          <m:t>N</m:t>
        </m:r>
      </m:oMath>
      <w:r>
        <w:t xml:space="preserve"> </w:t>
      </w:r>
      <w:r>
        <w:t xml:space="preserve">candidate passages from a large corpus using approximate nearest-neighbor (ANN) search, and then either these candidates are fed directly to the generator or an intermediate</w:t>
      </w:r>
      <w:r>
        <w:t xml:space="preserve"> </w:t>
      </w:r>
      <w:r>
        <w:rPr>
          <w:iCs/>
          <w:i/>
        </w:rPr>
        <w:t xml:space="preserve">reranker</w:t>
      </w:r>
      <w:r>
        <w:t xml:space="preserve"> </w:t>
      </w:r>
      <w:r>
        <w:t xml:space="preserve">adjusts the ordering before generation. The quality of the final answer critically depends on the precision and recall of this retrieval stage.</w:t>
      </w:r>
    </w:p>
    <w:p>
      <w:pPr>
        <w:pStyle w:val="BodyText"/>
      </w:pPr>
      <w:r>
        <w:t xml:space="preserve">The prevailing approach to first-stage ranking relies on cosine similarity between the query vector</w:t>
      </w:r>
      <w:r>
        <w:t xml:space="preserve"> </w:t>
      </w:r>
      <m:oMath>
        <m:r>
          <m:t>q</m:t>
        </m:r>
      </m:oMath>
      <w:r>
        <w:t xml:space="preserve"> </w:t>
      </w:r>
      <w:r>
        <w:t xml:space="preserve">and each document vector</w:t>
      </w:r>
      <w:r>
        <w:t xml:space="preserve"> </w:t>
      </w:r>
      <m:oMath>
        <m:sSub>
          <m:e>
            <m:r>
              <m:t>v</m:t>
            </m:r>
          </m:e>
          <m:sub>
            <m:r>
              <m:t>i</m:t>
            </m:r>
          </m:sub>
        </m:sSub>
      </m:oMath>
      <w:r>
        <w:t xml:space="preserve">, computed independently:</w:t>
      </w:r>
    </w:p>
    <w:p>
      <w:pPr>
        <w:pStyle w:val="BodyText"/>
      </w:pPr>
      <m:oMathPara>
        <m:oMathParaPr>
          <m:jc m:val="center"/>
        </m:oMathParaPr>
        <m:oMath>
          <m:r>
            <m:rPr>
              <m:nor/>
              <m:sty m:val="p"/>
            </m:rPr>
            <m:t>score</m:t>
          </m:r>
          <m:d>
            <m:dPr>
              <m:begChr m:val="("/>
              <m:endChr m:val=")"/>
              <m:sepChr m:val=""/>
              <m:grow/>
            </m:dPr>
            <m:e>
              <m:sSub>
                <m:e>
                  <m:r>
                    <m:t>d</m:t>
                  </m:r>
                </m:e>
                <m:sub>
                  <m:r>
                    <m:t>i</m:t>
                  </m:r>
                </m:sub>
              </m:sSub>
            </m:e>
          </m:d>
          <m:r>
            <m:rPr>
              <m:sty m:val="p"/>
            </m:rPr>
            <m:t>=</m:t>
          </m:r>
          <m:f>
            <m:fPr>
              <m:type m:val="bar"/>
            </m:fPr>
            <m:num>
              <m:r>
                <m:t>q</m:t>
              </m:r>
              <m:r>
                <m:rPr>
                  <m:sty m:val="p"/>
                </m:rPr>
                <m:t>⋅</m:t>
              </m:r>
              <m:sSub>
                <m:e>
                  <m:r>
                    <m:t>v</m:t>
                  </m:r>
                </m:e>
                <m:sub>
                  <m:r>
                    <m:t>i</m:t>
                  </m:r>
                </m:sub>
              </m:sSub>
            </m:num>
            <m:den>
              <m:r>
                <m:rPr>
                  <m:sty m:val="p"/>
                </m:rPr>
                <m:t>∥</m:t>
              </m:r>
              <m:r>
                <m:t>q</m:t>
              </m:r>
              <m:r>
                <m:rPr>
                  <m:sty m:val="p"/>
                </m:rPr>
                <m:t>∥</m:t>
              </m:r>
              <m:r>
                <m:rPr>
                  <m:sty m:val="p"/>
                </m:rPr>
                <m:t>∥</m:t>
              </m:r>
              <m:sSub>
                <m:e>
                  <m:r>
                    <m:t>v</m:t>
                  </m:r>
                </m:e>
                <m:sub>
                  <m:r>
                    <m:t>i</m:t>
                  </m:r>
                </m:sub>
              </m:sSub>
              <m:r>
                <m:rPr>
                  <m:sty m:val="p"/>
                </m:rPr>
                <m:t>∥</m:t>
              </m:r>
            </m:den>
          </m:f>
        </m:oMath>
      </m:oMathPara>
    </w:p>
    <w:p>
      <w:pPr>
        <w:pStyle w:val="FirstParagraph"/>
      </w:pPr>
      <w:r>
        <w:t xml:space="preserve">While simple and efficient, this pointwise scoring paradigm fundamentally ignores the</w:t>
      </w:r>
      <w:r>
        <w:t xml:space="preserve"> </w:t>
      </w:r>
      <w:r>
        <w:rPr>
          <w:bCs/>
          <w:b/>
        </w:rPr>
        <w:t xml:space="preserve">inter-document semantic structure</w:t>
      </w:r>
      <w:r>
        <w:t xml:space="preserve"> </w:t>
      </w:r>
      <w:r>
        <w:t xml:space="preserve">within the retrieved set. When the query is ambiguous, polysemous, or spans multiple topical domains, isolated scoring fails to exploit the mutual information carried by document neighborhoods—a limitation well-studied under the</w:t>
      </w:r>
      <w:r>
        <w:t xml:space="preserve"> </w:t>
      </w:r>
      <w:r>
        <w:rPr>
          <w:iCs/>
          <w:i/>
        </w:rPr>
        <w:t xml:space="preserve">cluster hypothesis</w:t>
      </w:r>
      <w:r>
        <w:t xml:space="preserve"> </w:t>
      </w:r>
      <w:r>
        <w:t xml:space="preserve">in information retrieval [4].</w:t>
      </w:r>
    </w:p>
    <w:p>
      <w:pPr>
        <w:pStyle w:val="BodyText"/>
      </w:pPr>
      <w:r>
        <w:t xml:space="preserve">Cross-encoder rerankers [11] address this quality gap by jointly encoding the query-document pair through a deep transformer, achieving state-of-the-art ranking accuracy. However, their computational cost scales as</w:t>
      </w:r>
      <w:r>
        <w:t xml:space="preserve"> </w:t>
      </w:r>
      <m:oMath>
        <m:r>
          <m:t>O</m:t>
        </m:r>
        <m:d>
          <m:dPr>
            <m:begChr m:val="("/>
            <m:endChr m:val=")"/>
            <m:sepChr m:val=""/>
            <m:grow/>
          </m:dPr>
          <m:e>
            <m:r>
              <m:t>N</m:t>
            </m:r>
            <m:r>
              <m:rPr>
                <m:sty m:val="p"/>
              </m:rPr>
              <m:t>⋅</m:t>
            </m:r>
            <m:sSup>
              <m:e>
                <m:r>
                  <m:t>L</m:t>
                </m:r>
              </m:e>
              <m:sup>
                <m:r>
                  <m:t>2</m:t>
                </m:r>
              </m:sup>
            </m:sSup>
            <m:r>
              <m:rPr>
                <m:sty m:val="p"/>
              </m:rPr>
              <m:t>⋅</m:t>
            </m:r>
            <m:r>
              <m:t>H</m:t>
            </m:r>
          </m:e>
        </m:d>
      </m:oMath>
      <w:r>
        <w:t xml:space="preserve">, where</w:t>
      </w:r>
      <w:r>
        <w:t xml:space="preserve"> </w:t>
      </w:r>
      <m:oMath>
        <m:r>
          <m:t>L</m:t>
        </m:r>
      </m:oMath>
      <w:r>
        <w:t xml:space="preserve"> </w:t>
      </w:r>
      <w:r>
        <w:t xml:space="preserve">is the sequence length and</w:t>
      </w:r>
      <w:r>
        <w:t xml:space="preserve"> </w:t>
      </w:r>
      <m:oMath>
        <m:r>
          <m:t>H</m:t>
        </m:r>
      </m:oMath>
      <w:r>
        <w:t xml:space="preserve"> </w:t>
      </w:r>
      <w:r>
        <w:t xml:space="preserve">the hidden dimension, resulting in latencies of approximately 500 ms for</w:t>
      </w:r>
      <w:r>
        <w:t xml:space="preserve"> </w:t>
      </w:r>
      <m:oMath>
        <m:r>
          <m:t>N</m:t>
        </m:r>
        <m:r>
          <m:rPr>
            <m:sty m:val="p"/>
          </m:rPr>
          <m:t>=</m:t>
        </m:r>
        <m:r>
          <m:t>30</m:t>
        </m:r>
      </m:oMath>
      <w:r>
        <w:t xml:space="preserve"> </w:t>
      </w:r>
      <w:r>
        <w:t xml:space="preserve">candidates—prohibitive for many real-time applications.</w:t>
      </w:r>
    </w:p>
    <w:p>
      <w:pPr>
        <w:pStyle w:val="BodyText"/>
      </w:pPr>
      <w:r>
        <w:t xml:space="preserve">Recent work has explored graph-based diffusion as a middle ground. Dampanaboina et al. [2] construct a document similarity graph and apply isotropic heat diffusion to re-score candidates, demonstrating that inter-document signal propagation can improve retrieval quality without the overhead of cross-encoders. However, their formulation is purely</w:t>
      </w:r>
      <w:r>
        <w:t xml:space="preserve"> </w:t>
      </w:r>
      <w:r>
        <w:rPr>
          <w:iCs/>
          <w:i/>
        </w:rPr>
        <w:t xml:space="preserve">diffusive</w:t>
      </w:r>
      <w:r>
        <w:t xml:space="preserve">: every node diffuses its score to neighbors symmetrically, without directional preference. In physical terms, this corresponds to a system governed solely by Fick’s second law, which guarantees convergence to a flat equilibrium—the retrieval analogue of over-smoothing in graph neural networks [13, 14].</w:t>
      </w:r>
    </w:p>
    <w:p>
      <w:pPr>
        <w:pStyle w:val="BodyText"/>
      </w:pPr>
      <w:r>
        <w:rPr>
          <w:bCs/>
          <w:b/>
        </w:rPr>
        <w:t xml:space="preserve">Our key insight</w:t>
      </w:r>
      <w:r>
        <w:t xml:space="preserve"> </w:t>
      </w:r>
      <w:r>
        <w:t xml:space="preserve">is that retrieval reranking is more faithfully modeled by the full</w:t>
      </w:r>
      <w:r>
        <w:t xml:space="preserve"> </w:t>
      </w:r>
      <w:r>
        <w:rPr>
          <w:iCs/>
          <w:i/>
        </w:rPr>
        <w:t xml:space="preserve">convection-diffusion equation</w:t>
      </w:r>
      <w:r>
        <w:t xml:space="preserve"> </w:t>
      </w:r>
      <w:r>
        <w:t xml:space="preserve">rather than pure diffusion. In fluid dynamics, the convection-diffusion equation</w:t>
      </w:r>
      <w:r>
        <w:t xml:space="preserve"> </w:t>
      </w:r>
      <m:oMath>
        <m:f>
          <m:fPr>
            <m:type m:val="bar"/>
          </m:fPr>
          <m:num>
            <m:r>
              <m:rPr>
                <m:sty m:val="p"/>
              </m:rPr>
              <m:t>∂</m:t>
            </m:r>
            <m:r>
              <m:t>C</m:t>
            </m:r>
          </m:num>
          <m:den>
            <m:r>
              <m:rPr>
                <m:sty m:val="p"/>
              </m:rPr>
              <m:t>∂</m:t>
            </m:r>
            <m:r>
              <m:t>t</m:t>
            </m:r>
          </m:den>
        </m:f>
        <m:r>
          <m:rPr>
            <m:sty m:val="p"/>
          </m:rPr>
          <m:t>=</m:t>
        </m:r>
        <m:r>
          <m:t>D</m:t>
        </m:r>
        <m:sSup>
          <m:e>
            <m:r>
              <m:rPr>
                <m:sty m:val="p"/>
              </m:rPr>
              <m:t>∇</m:t>
            </m:r>
          </m:e>
          <m:sup>
            <m:r>
              <m:t>2</m:t>
            </m:r>
          </m:sup>
        </m:sSup>
        <m:r>
          <m:t>C</m:t>
        </m:r>
        <m:r>
          <m:rPr>
            <m:sty m:val="p"/>
          </m:rPr>
          <m:t>−</m:t>
        </m:r>
        <m:r>
          <m:rPr>
            <m:sty m:val="p"/>
          </m:rPr>
          <m:t>∇</m:t>
        </m:r>
        <m:r>
          <m:rPr>
            <m:sty m:val="p"/>
          </m:rPr>
          <m:t>⋅</m:t>
        </m:r>
        <m:d>
          <m:dPr>
            <m:begChr m:val="("/>
            <m:endChr m:val=")"/>
            <m:sepChr m:val=""/>
            <m:grow/>
          </m:dPr>
          <m:e>
            <m:acc>
              <m:accPr>
                <m:chr m:val="⃗"/>
              </m:accPr>
              <m:e>
                <m:r>
                  <m:t>u</m:t>
                </m:r>
              </m:e>
            </m:acc>
            <m:r>
              <m:t>C</m:t>
            </m:r>
          </m:e>
        </m:d>
      </m:oMath>
      <w:r>
        <w:t xml:space="preserve"> </w:t>
      </w:r>
      <w:r>
        <w:t xml:space="preserve">governs the transport of a scalar concentration field</w:t>
      </w:r>
      <w:r>
        <w:t xml:space="preserve"> </w:t>
      </w:r>
      <m:oMath>
        <m:r>
          <m:t>C</m:t>
        </m:r>
      </m:oMath>
      <w:r>
        <w:t xml:space="preserve"> </w:t>
      </w:r>
      <w:r>
        <w:t xml:space="preserve">under the combined influence of diffusive spreading (coefficient</w:t>
      </w:r>
      <w:r>
        <w:t xml:space="preserve"> </w:t>
      </w:r>
      <m:oMath>
        <m:r>
          <m:t>D</m:t>
        </m:r>
      </m:oMath>
      <w:r>
        <w:t xml:space="preserve">) and directional advective transport (velocity field</w:t>
      </w:r>
      <w:r>
        <w:t xml:space="preserve"> </w:t>
      </w:r>
      <m:oMath>
        <m:acc>
          <m:accPr>
            <m:chr m:val="⃗"/>
          </m:accPr>
          <m:e>
            <m:r>
              <m:t>u</m:t>
            </m:r>
          </m:e>
        </m:acc>
      </m:oMath>
      <w:r>
        <w:t xml:space="preserve">). By drawing this analogy, we introduce an</w:t>
      </w:r>
      <w:r>
        <w:t xml:space="preserve"> </w:t>
      </w:r>
      <w:r>
        <w:rPr>
          <w:bCs/>
          <w:b/>
        </w:rPr>
        <w:t xml:space="preserve">advection term</w:t>
      </w:r>
      <w:r>
        <w:t xml:space="preserve"> </w:t>
      </w:r>
      <w:r>
        <w:t xml:space="preserve">that encodes the query’s semantic direction: on each graph edge, the advection coefficient measures the alignment between the inter-document displacement vector and the query embedding, providing a directional bias that pure diffusion lacks.</w:t>
      </w:r>
    </w:p>
    <w:p>
      <w:pPr>
        <w:pStyle w:val="BodyText"/>
      </w:pPr>
      <w:r>
        <w:t xml:space="preserve">A second limitation of existing approaches is that they represent each document as a single point in the embedding space. In practice, a document—particularly a statutory provision or a technical passage—carries heterogeneous semantic content across its constituent sentences. A single centroid embedding necessarily conflates these distinct semantic facets. To address this, we propose the</w:t>
      </w:r>
      <w:r>
        <w:t xml:space="preserve"> </w:t>
      </w:r>
      <w:r>
        <w:rPr>
          <w:bCs/>
          <w:b/>
        </w:rPr>
        <w:t xml:space="preserve">Shape-CFD extension</w:t>
      </w:r>
      <w:r>
        <w:t xml:space="preserve">, which represents each document as a</w:t>
      </w:r>
      <w:r>
        <w:t xml:space="preserve"> </w:t>
      </w:r>
      <w:r>
        <w:rPr>
          <w:iCs/>
          <w:i/>
        </w:rPr>
        <w:t xml:space="preserve">sentence-level point cloud</w:t>
      </w:r>
      <w:r>
        <w:t xml:space="preserve"> </w:t>
      </w:r>
      <m:oMath>
        <m:sSub>
          <m:e>
            <m:r>
              <m:rPr>
                <m:sty m:val="p"/>
                <m:scr m:val="script"/>
              </m:rPr>
              <m:t>P</m:t>
            </m:r>
          </m:e>
          <m:sub>
            <m:r>
              <m:t>i</m:t>
            </m:r>
          </m:sub>
        </m:sSub>
        <m:r>
          <m:rPr>
            <m:sty m:val="p"/>
          </m:rPr>
          <m:t>=</m:t>
        </m:r>
        <m:r>
          <m:rPr>
            <m:sty m:val="p"/>
          </m:rPr>
          <m:t>{</m:t>
        </m:r>
        <m:sSub>
          <m:e>
            <m:r>
              <m:t>s</m:t>
            </m:r>
          </m:e>
          <m:sub>
            <m:r>
              <m:t>i</m:t>
            </m:r>
            <m:r>
              <m:rPr>
                <m:sty m:val="p"/>
              </m:rPr>
              <m:t>,</m:t>
            </m:r>
            <m:r>
              <m:t>1</m:t>
            </m:r>
          </m:sub>
        </m:sSub>
        <m:r>
          <m:rPr>
            <m:sty m:val="p"/>
          </m:rPr>
          <m:t>,</m:t>
        </m:r>
        <m:r>
          <m:rPr>
            <m:sty m:val="p"/>
          </m:rPr>
          <m:t>…</m:t>
        </m:r>
        <m:r>
          <m:rPr>
            <m:sty m:val="p"/>
          </m:rPr>
          <m:t>,</m:t>
        </m:r>
        <m:sSub>
          <m:e>
            <m:r>
              <m:t>s</m:t>
            </m:r>
          </m:e>
          <m:sub>
            <m:r>
              <m:t>i</m:t>
            </m:r>
            <m:r>
              <m:rPr>
                <m:sty m:val="p"/>
              </m:rPr>
              <m:t>,</m:t>
            </m:r>
            <m:sSub>
              <m:e>
                <m:r>
                  <m:t>K</m:t>
                </m:r>
              </m:e>
              <m:sub>
                <m:r>
                  <m:t>i</m:t>
                </m:r>
              </m:sub>
            </m:sSub>
          </m:sub>
        </m:sSub>
        <m:r>
          <m:rPr>
            <m:sty m:val="p"/>
          </m:rPr>
          <m:t>}</m:t>
        </m:r>
        <m:r>
          <m:rPr>
            <m:sty m:val="p"/>
          </m:rPr>
          <m:t>⊂</m:t>
        </m:r>
        <m:sSup>
          <m:e>
            <m:r>
              <m:rPr>
                <m:sty m:val="p"/>
                <m:scr m:val="double-struck"/>
              </m:rPr>
              <m:t>R</m:t>
            </m:r>
          </m:e>
          <m:sup>
            <m:r>
              <m:t>d</m:t>
            </m:r>
          </m:sup>
        </m:sSup>
      </m:oMath>
      <w:r>
        <w:t xml:space="preserve"> </w:t>
      </w:r>
      <w:r>
        <w:t xml:space="preserve">and replaces cosine-based graph weights with the symmetric Chamfer distance. This formulation captures local semantic matches between document sub-components—even when the overall document-level similarity is moderate—and naturally degrades to the point representation for single-sentence documents.</w:t>
      </w:r>
    </w:p>
    <w:p>
      <w:pPr>
        <w:pStyle w:val="BodyText"/>
      </w:pPr>
      <w:r>
        <w:t xml:space="preserve">However, computing Chamfer distances in the native</w:t>
      </w:r>
      <w:r>
        <w:t xml:space="preserve"> </w:t>
      </w:r>
      <m:oMath>
        <m:r>
          <m:t>d</m:t>
        </m:r>
        <m:r>
          <m:rPr>
            <m:sty m:val="p"/>
          </m:rPr>
          <m:t>=</m:t>
        </m:r>
        <m:r>
          <m:t>4096</m:t>
        </m:r>
      </m:oMath>
      <w:r>
        <w:t xml:space="preserve"> </w:t>
      </w:r>
      <w:r>
        <w:t xml:space="preserve">embedding space introduces a dual challenge: (i) the computational cost of</w:t>
      </w:r>
      <w:r>
        <w:t xml:space="preserve"> </w:t>
      </w:r>
      <m:oMath>
        <m:r>
          <m:t>O</m:t>
        </m:r>
        <m:d>
          <m:dPr>
            <m:begChr m:val="("/>
            <m:endChr m:val=")"/>
            <m:sepChr m:val=""/>
            <m:grow/>
          </m:dPr>
          <m:e>
            <m:sSub>
              <m:e>
                <m:r>
                  <m:t>K</m:t>
                </m:r>
              </m:e>
              <m:sub>
                <m:r>
                  <m:t>A</m:t>
                </m:r>
              </m:sub>
            </m:sSub>
            <m:r>
              <m:rPr>
                <m:sty m:val="p"/>
              </m:rPr>
              <m:t>⋅</m:t>
            </m:r>
            <m:sSub>
              <m:e>
                <m:r>
                  <m:t>K</m:t>
                </m:r>
              </m:e>
              <m:sub>
                <m:r>
                  <m:t>B</m:t>
                </m:r>
              </m:sub>
            </m:sSub>
            <m:r>
              <m:rPr>
                <m:sty m:val="p"/>
              </m:rPr>
              <m:t>⋅</m:t>
            </m:r>
            <m:r>
              <m:t>d</m:t>
            </m:r>
          </m:e>
        </m:d>
      </m:oMath>
      <w:r>
        <w:t xml:space="preserve"> </w:t>
      </w:r>
      <w:r>
        <w:t xml:space="preserve">per document pair, and (ii) the</w:t>
      </w:r>
      <w:r>
        <w:t xml:space="preserve"> </w:t>
      </w:r>
      <w:r>
        <w:rPr>
          <w:iCs/>
          <w:i/>
        </w:rPr>
        <w:t xml:space="preserve">curse of dimensionality</w:t>
      </w:r>
      <w:r>
        <w:t xml:space="preserve">, which causes inner-product-based advection coefficients to collapse toward zero (with standard deviation</w:t>
      </w:r>
      <w:r>
        <w:t xml:space="preserve"> </w:t>
      </w:r>
      <m:oMath>
        <m:r>
          <m:t>σ</m:t>
        </m:r>
        <m:r>
          <m:rPr>
            <m:sty m:val="p"/>
          </m:rPr>
          <m:t>≈</m:t>
        </m:r>
        <m:r>
          <m:t>1</m:t>
        </m:r>
        <m:r>
          <m:rPr>
            <m:sty m:val="p"/>
          </m:rPr>
          <m:t>/</m:t>
        </m:r>
        <m:rad>
          <m:radPr>
            <m:degHide m:val="on"/>
          </m:radPr>
          <m:deg/>
          <m:e>
            <m:r>
              <m:t>d</m:t>
            </m:r>
          </m:e>
        </m:rad>
        <m:r>
          <m:rPr>
            <m:sty m:val="p"/>
          </m:rPr>
          <m:t>≈</m:t>
        </m:r>
        <m:r>
          <m:t>0.016</m:t>
        </m:r>
      </m:oMath>
      <w:r>
        <w:t xml:space="preserve">). We resolve both issues via Johnson-Lindenstrauss (JL) random projection to</w:t>
      </w:r>
      <w:r>
        <w:t xml:space="preserve"> </w:t>
      </w:r>
      <m:oMath>
        <m:r>
          <m:t>m</m:t>
        </m:r>
        <m:r>
          <m:rPr>
            <m:sty m:val="p"/>
          </m:rPr>
          <m:t>=</m:t>
        </m:r>
        <m:r>
          <m:t>128</m:t>
        </m:r>
      </m:oMath>
      <w:r>
        <w:t xml:space="preserve"> </w:t>
      </w:r>
      <w:r>
        <w:t xml:space="preserve">dimensions, achieving a</w:t>
      </w:r>
      <w:r>
        <w:t xml:space="preserve"> </w:t>
      </w:r>
      <m:oMath>
        <m:r>
          <m:t>32</m:t>
        </m:r>
        <m:r>
          <m:rPr>
            <m:sty m:val="p"/>
          </m:rPr>
          <m:t>×</m:t>
        </m:r>
      </m:oMath>
      <w:r>
        <w:t xml:space="preserve"> </w:t>
      </w:r>
      <w:r>
        <w:t xml:space="preserve">speedup. Crucially, we provide a corrected theoretical account of the dimensional reduction effect: contrary to naive interpretations, the expanded variance of inner products in the reduced space does not</w:t>
      </w:r>
      <w:r>
        <w:t xml:space="preserve"> </w:t>
      </w:r>
      <w:r>
        <w:t xml:space="preserve">“</w:t>
      </w:r>
      <w:r>
        <w:t xml:space="preserve">amplify</w:t>
      </w:r>
      <w:r>
        <w:t xml:space="preserve">”</w:t>
      </w:r>
      <w:r>
        <w:t xml:space="preserve"> </w:t>
      </w:r>
      <w:r>
        <w:t xml:space="preserve">true physical signals but rather injects</w:t>
      </w:r>
      <w:r>
        <w:t xml:space="preserve"> </w:t>
      </w:r>
      <m:oMath>
        <m:r>
          <m:t>O</m:t>
        </m:r>
        <m:d>
          <m:dPr>
            <m:begChr m:val="("/>
            <m:endChr m:val=")"/>
            <m:sepChr m:val=""/>
            <m:grow/>
          </m:dPr>
          <m:e>
            <m:r>
              <m:t>1</m:t>
            </m:r>
            <m:r>
              <m:rPr>
                <m:sty m:val="p"/>
              </m:rPr>
              <m:t>/</m:t>
            </m:r>
            <m:r>
              <m:t>m</m:t>
            </m:r>
          </m:e>
        </m:d>
      </m:oMath>
      <w:r>
        <w:t xml:space="preserve"> </w:t>
      </w:r>
      <w:r>
        <w:t xml:space="preserve">stochastic noise that acts as a form of</w:t>
      </w:r>
      <w:r>
        <w:t xml:space="preserve"> </w:t>
      </w:r>
      <w:r>
        <w:rPr>
          <w:iCs/>
          <w:i/>
        </w:rPr>
        <w:t xml:space="preserve">flow-field annealing</w:t>
      </w:r>
      <w:r>
        <w:t xml:space="preserve">, breaking the near-orthogonal deadlock of high-dimensional geometry.</w:t>
      </w:r>
    </w:p>
    <w:bookmarkStart w:id="21" w:name="contributions"/>
    <w:p>
      <w:pPr>
        <w:pStyle w:val="Heading3"/>
      </w:pPr>
      <w:r>
        <w:t xml:space="preserve">Contributions</w:t>
      </w:r>
    </w:p>
    <w:p>
      <w:pPr>
        <w:pStyle w:val="FirstParagraph"/>
      </w:pPr>
      <w:r>
        <w:t xml:space="preserve">We summarize our contributions as follows:</w:t>
      </w:r>
    </w:p>
    <w:p>
      <w:pPr>
        <w:numPr>
          <w:ilvl w:val="0"/>
          <w:numId w:val="1001"/>
        </w:numPr>
      </w:pPr>
      <w:r>
        <w:rPr>
          <w:bCs/>
          <w:b/>
        </w:rPr>
        <w:t xml:space="preserve">AD-Rank</w:t>
      </w:r>
      <w:r>
        <w:t xml:space="preserve">: A graph-based reranking algorithm that solves the conservative convection-diffusion equation on a sparse KNN document graph, introducing directional query-aware advection to complement isotropic diffusion. We prove global mass conservation and convergence under CFL stability conditions.</w:t>
      </w:r>
    </w:p>
    <w:p>
      <w:pPr>
        <w:numPr>
          <w:ilvl w:val="0"/>
          <w:numId w:val="1001"/>
        </w:numPr>
      </w:pPr>
      <w:r>
        <w:rPr>
          <w:bCs/>
          <w:b/>
        </w:rPr>
        <w:t xml:space="preserve">Shape-CFD</w:t>
      </w:r>
      <w:r>
        <w:t xml:space="preserve">: An extension that replaces point embeddings with sentence-level point clouds, using Chamfer distance for graph construction and centroid-based advection directions. This captures fine-grained sub-document semantic matching.</w:t>
      </w:r>
    </w:p>
    <w:p>
      <w:pPr>
        <w:numPr>
          <w:ilvl w:val="0"/>
          <w:numId w:val="1001"/>
        </w:numPr>
      </w:pPr>
      <w:r>
        <w:rPr>
          <w:bCs/>
          <w:b/>
        </w:rPr>
        <w:t xml:space="preserve">Theoretical analysis</w:t>
      </w:r>
      <w:r>
        <w:t xml:space="preserve">: We characterize the operating regime through the structural Péclet number and provide a physically grounded explanation for the empirically observed optimality of weak advection (</w:t>
      </w:r>
      <m:oMath>
        <m:r>
          <m:rPr>
            <m:nor/>
            <m:sty m:val="p"/>
          </m:rPr>
          <m:t>Pe</m:t>
        </m:r>
        <m:r>
          <m:rPr>
            <m:sty m:val="p"/>
          </m:rPr>
          <m:t>≈</m:t>
        </m:r>
        <m:r>
          <m:t>0.065</m:t>
        </m:r>
      </m:oMath>
      <w:r>
        <w:t xml:space="preserve">).</w:t>
      </w:r>
    </w:p>
    <w:p>
      <w:pPr>
        <w:numPr>
          <w:ilvl w:val="0"/>
          <w:numId w:val="1001"/>
        </w:numPr>
      </w:pPr>
      <w:r>
        <w:rPr>
          <w:bCs/>
          <w:b/>
        </w:rPr>
        <w:t xml:space="preserve">Comprehensive evaluation</w:t>
      </w:r>
      <w:r>
        <w:t xml:space="preserve">: We evaluate on three BEIR benchmarks (SciFact, NFCorpus, FiQA) and a Chinese legal statute retrieval dataset (23,701 documents), demonstrating competitive NDCG@10 with</w:t>
      </w:r>
      <w:r>
        <w:t xml:space="preserve"> </w:t>
      </w:r>
      <m:oMath>
        <m:r>
          <m:t>22</m:t>
        </m:r>
      </m:oMath>
      <w:r>
        <w:t xml:space="preserve"> </w:t>
      </w:r>
      <w:r>
        <w:t xml:space="preserve">ms latency on CPU.</w:t>
      </w:r>
    </w:p>
    <w:p>
      <w:pPr>
        <w:pStyle w:val="FirstParagraph"/>
      </w:pPr>
      <w:r>
        <w:t xml:space="preserve">The remainder of this paper is organized as follows. Section 2 surveys related work. Section 3 presents the mathematical framework of AD-Rank and its Shape-CFD extension. Section 4 reports experimental results. Section 5 provides physical analysis of the algorithm’s behavior, and Section 6 concludes with directions for future work.</w:t>
      </w:r>
    </w:p>
    <w:p>
      <w:r>
        <w:pict>
          <v:rect style="width:0;height:1.5pt" o:hralign="center" o:hrstd="t" o:hr="t"/>
        </w:pict>
      </w:r>
    </w:p>
    <w:bookmarkEnd w:id="21"/>
    <w:bookmarkEnd w:id="22"/>
    <w:bookmarkStart w:id="26" w:name="related-work"/>
    <w:p>
      <w:pPr>
        <w:pStyle w:val="Heading2"/>
      </w:pPr>
      <w:r>
        <w:t xml:space="preserve">2 Related Work</w:t>
      </w:r>
    </w:p>
    <w:p>
      <w:pPr>
        <w:pStyle w:val="FirstParagraph"/>
      </w:pPr>
      <w:r>
        <w:t xml:space="preserve">Our work draws upon and bridges three distinct research threads: graph-based reranking in information retrieval, distributional and shape-aware representations for text, and partial differential equations on graph structures.</w:t>
      </w:r>
    </w:p>
    <w:bookmarkStart w:id="23" w:name="graph-based-reranking"/>
    <w:p>
      <w:pPr>
        <w:pStyle w:val="Heading3"/>
      </w:pPr>
      <w:r>
        <w:t xml:space="preserve">2.1 Graph-Based Reranking</w:t>
      </w:r>
    </w:p>
    <w:p>
      <w:pPr>
        <w:pStyle w:val="FirstParagraph"/>
      </w:pPr>
      <w:r>
        <w:t xml:space="preserve">The idea of leveraging inter-document relationships for reranking has a long history. The PageRank algorithm [4] pioneered the use of iterative graph propagation for web page ranking, treating hyperlink structure as a random walk on a directed graph. More recently, several works have adapted graph-based methods specifically for dense retrieval reranking.</w:t>
      </w:r>
    </w:p>
    <w:p>
      <w:pPr>
        <w:pStyle w:val="BodyText"/>
      </w:pPr>
      <w:r>
        <w:rPr>
          <w:bCs/>
          <w:b/>
        </w:rPr>
        <w:t xml:space="preserve">Diffusion-Aided RAG</w:t>
      </w:r>
      <w:r>
        <w:t xml:space="preserve"> </w:t>
      </w:r>
      <w:r>
        <w:t xml:space="preserve">[2] constructs a semantic similarity graph over retrieved documents and applies isotropic heat diffusion to redistribute relevance scores. By allowing high-scoring documents to propagate their scores to semantically similar neighbors, this approach effectively discovers latent relevant passages that might have received low initial cosine scores. However, the diffusion process is purely isotropic—it lacks any directional preference tied to the query—and therefore cannot distinguish between semantically similar documents that differ in their query-relevance orientation.</w:t>
      </w:r>
    </w:p>
    <w:p>
      <w:pPr>
        <w:pStyle w:val="BodyText"/>
      </w:pPr>
      <w:r>
        <w:rPr>
          <w:bCs/>
          <w:b/>
        </w:rPr>
        <w:t xml:space="preserve">G-RAG</w:t>
      </w:r>
      <w:r>
        <w:t xml:space="preserve"> </w:t>
      </w:r>
      <w:r>
        <w:t xml:space="preserve">[18] employs graph neural networks to learn reranking functions over document graphs, achieving strong results through supervised training on labeled query-document relevance pairs. While powerful when sufficient training data is available, this supervised approach requires domain-specific annotation and does not transfer freely across domains without fine-tuning.</w:t>
      </w:r>
    </w:p>
    <w:p>
      <w:pPr>
        <w:pStyle w:val="BodyText"/>
      </w:pPr>
      <w:r>
        <w:rPr>
          <w:bCs/>
          <w:b/>
        </w:rPr>
        <w:t xml:space="preserve">Graph-Augmented Dense Statute Retrieval (G-DSR)</w:t>
      </w:r>
      <w:r>
        <w:t xml:space="preserve"> </w:t>
      </w:r>
      <w:r>
        <w:t xml:space="preserve">[19] exploits the hierarchical structure inherent in legal document collections, using graph augmentation to improve statute retrieval. Our approach differs fundamentally in that we construct graphs dynamically from the retrieved set at query time, making no assumptions about pre-existing document structure.</w:t>
      </w:r>
    </w:p>
    <w:p>
      <w:pPr>
        <w:pStyle w:val="BodyText"/>
      </w:pPr>
      <w:r>
        <w:rPr>
          <w:bCs/>
          <w:b/>
        </w:rPr>
        <w:t xml:space="preserve">Spreading Activation for KG-RAG</w:t>
      </w:r>
      <w:r>
        <w:t xml:space="preserve"> </w:t>
      </w:r>
      <w:r>
        <w:t xml:space="preserve">[20] adapts the classical spreading activation paradigm from cognitive science to knowledge graph-augmented retrieval. Activation propagation can be viewed as a special case of diffusion; our framework generalizes this by introducing the advection term for directional transport.</w:t>
      </w:r>
    </w:p>
    <w:bookmarkEnd w:id="23"/>
    <w:bookmarkStart w:id="24" w:name="shape-and-distributional-representations"/>
    <w:p>
      <w:pPr>
        <w:pStyle w:val="Heading3"/>
      </w:pPr>
      <w:r>
        <w:t xml:space="preserve">2.2 Shape and Distributional Representations</w:t>
      </w:r>
    </w:p>
    <w:p>
      <w:pPr>
        <w:pStyle w:val="FirstParagraph"/>
      </w:pPr>
      <w:r>
        <w:t xml:space="preserve">The standard practice in dense retrieval compresses each document into a single vector (a</w:t>
      </w:r>
      <w:r>
        <w:t xml:space="preserve"> </w:t>
      </w:r>
      <w:r>
        <w:t xml:space="preserve">“</w:t>
      </w:r>
      <w:r>
        <w:t xml:space="preserve">point</w:t>
      </w:r>
      <w:r>
        <w:t xml:space="preserve">”</w:t>
      </w:r>
      <w:r>
        <w:t xml:space="preserve"> </w:t>
      </w:r>
      <w:r>
        <w:t xml:space="preserve">in embedding space), which necessarily conflates the diverse semantic facets of multi-sentence passages. Several prior works have explored richer representations.</w:t>
      </w:r>
    </w:p>
    <w:p>
      <w:pPr>
        <w:pStyle w:val="BodyText"/>
      </w:pPr>
      <w:r>
        <w:rPr>
          <w:bCs/>
          <w:b/>
        </w:rPr>
        <w:t xml:space="preserve">Gaussian Embeddings</w:t>
      </w:r>
      <w:r>
        <w:t xml:space="preserve"> </w:t>
      </w:r>
      <w:r>
        <w:t xml:space="preserve">[1] represent words as Gaussian distributions rather than point vectors, capturing uncertainty and enabling asymmetric distance measures via KL divergence. The GELD framework [21] extends this to document-level Gaussian embeddings for retrieval.</w:t>
      </w:r>
    </w:p>
    <w:p>
      <w:pPr>
        <w:pStyle w:val="BodyText"/>
      </w:pPr>
      <w:r>
        <w:rPr>
          <w:bCs/>
          <w:b/>
        </w:rPr>
        <w:t xml:space="preserve">ColBERT</w:t>
      </w:r>
      <w:r>
        <w:t xml:space="preserve"> </w:t>
      </w:r>
      <w:r>
        <w:t xml:space="preserve">[22] introduces a</w:t>
      </w:r>
      <w:r>
        <w:t xml:space="preserve"> </w:t>
      </w:r>
      <w:r>
        <w:rPr>
          <w:iCs/>
          <w:i/>
        </w:rPr>
        <w:t xml:space="preserve">late interaction</w:t>
      </w:r>
      <w:r>
        <w:t xml:space="preserve"> </w:t>
      </w:r>
      <w:r>
        <w:t xml:space="preserve">mechanism in which both query and document are represented as sets of token-level vectors, and relevance is computed via a</w:t>
      </w:r>
      <w:r>
        <w:t xml:space="preserve"> </w:t>
      </w:r>
      <w:r>
        <w:rPr>
          <w:iCs/>
          <w:i/>
        </w:rPr>
        <w:t xml:space="preserve">MaxSim</w:t>
      </w:r>
      <w:r>
        <w:t xml:space="preserve"> </w:t>
      </w:r>
      <w:r>
        <w:t xml:space="preserve">operator that finds the maximum similarity between each query token and all document tokens. This multi-vector representation captures fine-grained alignment but computes relevance in a purely pointwise manner—each document is scored independently of its retrieved neighbors.</w:t>
      </w:r>
    </w:p>
    <w:p>
      <w:pPr>
        <w:pStyle w:val="BodyText"/>
      </w:pPr>
      <w:r>
        <w:t xml:space="preserve">Our Shape-CFD extension shares ColBERT’s insight that documents should be represented as collections of sub-vectors. However, we go further by using these point clouds not for isolated pointwise scoring but as the basis for</w:t>
      </w:r>
      <w:r>
        <w:t xml:space="preserve"> </w:t>
      </w:r>
      <w:r>
        <w:rPr>
          <w:iCs/>
          <w:i/>
        </w:rPr>
        <w:t xml:space="preserve">graph-structured collective reranking</w:t>
      </w:r>
      <w:r>
        <w:t xml:space="preserve">: the Chamfer distance between point clouds determines graph edge weights, and the full convection-diffusion dynamics then propagates information across the document graph. This listwise, topology-aware approach is fundamentally distinct from ColBERT’s pointwise MaxSim.</w:t>
      </w:r>
    </w:p>
    <w:bookmarkEnd w:id="24"/>
    <w:bookmarkStart w:id="25" w:name="partial-differential-equations-on-graphs"/>
    <w:p>
      <w:pPr>
        <w:pStyle w:val="Heading3"/>
      </w:pPr>
      <w:r>
        <w:t xml:space="preserve">2.3 Partial Differential Equations on Graphs</w:t>
      </w:r>
    </w:p>
    <w:p>
      <w:pPr>
        <w:pStyle w:val="FirstParagraph"/>
      </w:pPr>
      <w:r>
        <w:t xml:space="preserve">The application of continuous PDEs to discrete graph structures has gained significant traction in the graph neural network (GNN) community.</w:t>
      </w:r>
    </w:p>
    <w:p>
      <w:pPr>
        <w:pStyle w:val="BodyText"/>
      </w:pPr>
      <w:r>
        <w:rPr>
          <w:bCs/>
          <w:b/>
        </w:rPr>
        <w:t xml:space="preserve">GRAND</w:t>
      </w:r>
      <w:r>
        <w:t xml:space="preserve"> </w:t>
      </w:r>
      <w:r>
        <w:t xml:space="preserve">[13] established that many GNN architectures can be interpreted as discretizations of the heat diffusion equation on graphs, providing a continuous-time perspective on message passing. This insight has spawned a family of diffusion-based GNN architectures.</w:t>
      </w:r>
    </w:p>
    <w:p>
      <w:pPr>
        <w:pStyle w:val="BodyText"/>
      </w:pPr>
      <w:r>
        <w:rPr>
          <w:bCs/>
          <w:b/>
        </w:rPr>
        <w:t xml:space="preserve">Reaction-Diffusion GNNs</w:t>
      </w:r>
      <w:r>
        <w:t xml:space="preserve"> </w:t>
      </w:r>
      <w:r>
        <w:t xml:space="preserve">[23] extend the pure diffusion framework by incorporating nonlinear reaction terms, enabling the formation of</w:t>
      </w:r>
      <w:r>
        <w:t xml:space="preserve"> </w:t>
      </w:r>
      <w:r>
        <w:rPr>
          <w:iCs/>
          <w:i/>
        </w:rPr>
        <w:t xml:space="preserve">Turing patterns</w:t>
      </w:r>
      <w:r>
        <w:t xml:space="preserve">—spatially heterogeneous steady states that counteract the over-smoothing tendency of pure diffusion. The Allen-Cahn reaction term, in particular, drives a phase-separation dynamic that polarizes node features into distinct clusters. Our analysis of the Péclet number regime (Section 5) reveals a related phenomenon: the dominant diffusion term provides global smoothing while the weak advection term introduces a subtle but critical directional perturbation.</w:t>
      </w:r>
    </w:p>
    <w:p>
      <w:pPr>
        <w:pStyle w:val="BodyText"/>
      </w:pPr>
      <w:r>
        <w:rPr>
          <w:bCs/>
          <w:b/>
        </w:rPr>
        <w:t xml:space="preserve">Advection-Augmented CNNs</w:t>
      </w:r>
      <w:r>
        <w:t xml:space="preserve"> </w:t>
      </w:r>
      <w:r>
        <w:t xml:space="preserve">[3] directly incorporate advection-diffusion dynamics into convolutional neural network layers for scientific prediction tasks, demonstrating that the advective transport component meaningfully enhances model performance. Our work is, to our knowledge, the first to apply the full convection-diffusion equation to information retrieval reranking.</w:t>
      </w:r>
    </w:p>
    <w:p>
      <w:pPr>
        <w:pStyle w:val="BodyText"/>
      </w:pPr>
      <w:r>
        <w:rPr>
          <w:bCs/>
          <w:b/>
        </w:rPr>
        <w:t xml:space="preserve">Spectral methods on graphs</w:t>
      </w:r>
      <w:r>
        <w:t xml:space="preserve">, including Chebyshev spectral filtering [24] and diffusion kernels via the matrix exponential</w:t>
      </w:r>
      <w:r>
        <w:t xml:space="preserve"> </w:t>
      </w:r>
      <m:oMath>
        <m:r>
          <m:t>K</m:t>
        </m:r>
        <m:r>
          <m:rPr>
            <m:sty m:val="p"/>
          </m:rPr>
          <m:t>=</m:t>
        </m:r>
        <m:r>
          <m:rPr>
            <m:sty m:val="p"/>
          </m:rPr>
          <m:t>exp</m:t>
        </m:r>
        <m:d>
          <m:dPr>
            <m:begChr m:val="("/>
            <m:endChr m:val=")"/>
            <m:sepChr m:val=""/>
            <m:grow/>
          </m:dPr>
          <m:e>
            <m:r>
              <m:rPr>
                <m:sty m:val="p"/>
              </m:rPr>
              <m:t>−</m:t>
            </m:r>
            <m:r>
              <m:t>β</m:t>
            </m:r>
            <m:r>
              <m:t>L</m:t>
            </m:r>
          </m:e>
        </m:d>
      </m:oMath>
      <w:r>
        <w:t xml:space="preserve"> </w:t>
      </w:r>
      <w:r>
        <w:t xml:space="preserve">[12], provide alternative computational pathways. For our problem scale (</w:t>
      </w:r>
      <m:oMath>
        <m:r>
          <m:t>N</m:t>
        </m:r>
        <m:r>
          <m:rPr>
            <m:sty m:val="p"/>
          </m:rPr>
          <m:t>=</m:t>
        </m:r>
        <m:r>
          <m:t>30</m:t>
        </m:r>
      </m:oMath>
      <w:r>
        <w:t xml:space="preserve"> </w:t>
      </w:r>
      <w:r>
        <w:t xml:space="preserve">candidate documents), explicit time-stepping proves more practical than eigendecomposition, though spectral acceleration remains a promising direction for larger candidate sets.</w:t>
      </w:r>
    </w:p>
    <w:p>
      <w:r>
        <w:pict>
          <v:rect style="width:0;height:1.5pt" o:hralign="center" o:hrstd="t" o:hr="t"/>
        </w:pict>
      </w:r>
    </w:p>
    <w:bookmarkEnd w:id="25"/>
    <w:bookmarkEnd w:id="26"/>
    <w:bookmarkStart w:id="35" w:name="method"/>
    <w:p>
      <w:pPr>
        <w:pStyle w:val="Heading2"/>
      </w:pPr>
      <w:r>
        <w:t xml:space="preserve">3 Method</w:t>
      </w:r>
    </w:p>
    <w:p>
      <w:pPr>
        <w:pStyle w:val="FirstParagraph"/>
      </w:pPr>
      <w:r>
        <w:t xml:space="preserve">We now present the AD-Rank algorithm and its Shape-CFD extension. We begin by formalizing the reranking problem, then describe the graph construction, the conservative convection-diffusion discretization, convergence guarantees, and the shape-aware generalization.</w:t>
      </w:r>
    </w:p>
    <w:bookmarkStart w:id="27" w:name="problem-formulation"/>
    <w:p>
      <w:pPr>
        <w:pStyle w:val="Heading3"/>
      </w:pPr>
      <w:r>
        <w:t xml:space="preserve">3.1 Problem Formulation</w:t>
      </w:r>
    </w:p>
    <w:p>
      <w:pPr>
        <w:pStyle w:val="FirstParagraph"/>
      </w:pPr>
      <w:r>
        <w:t xml:space="preserve">Let</w:t>
      </w:r>
      <w:r>
        <w:t xml:space="preserve"> </w:t>
      </w:r>
      <m:oMath>
        <m:r>
          <m:t>q</m:t>
        </m:r>
        <m:r>
          <m:rPr>
            <m:sty m:val="p"/>
          </m:rPr>
          <m:t>∈</m:t>
        </m:r>
        <m:sSup>
          <m:e>
            <m:r>
              <m:rPr>
                <m:sty m:val="p"/>
                <m:scr m:val="double-struck"/>
              </m:rPr>
              <m:t>R</m:t>
            </m:r>
          </m:e>
          <m:sup>
            <m:r>
              <m:t>d</m:t>
            </m:r>
          </m:sup>
        </m:sSup>
      </m:oMath>
      <w:r>
        <w:t xml:space="preserve"> </w:t>
      </w:r>
      <w:r>
        <w:t xml:space="preserve">denote the query embedding produced by a pretrained language model (in our implementation, Qwen3-Embedding-8B with</w:t>
      </w:r>
      <w:r>
        <w:t xml:space="preserve"> </w:t>
      </w:r>
      <m:oMath>
        <m:r>
          <m:t>d</m:t>
        </m:r>
        <m:r>
          <m:rPr>
            <m:sty m:val="p"/>
          </m:rPr>
          <m:t>=</m:t>
        </m:r>
        <m:r>
          <m:t>4096</m:t>
        </m:r>
      </m:oMath>
      <w:r>
        <w:t xml:space="preserve">). Given a corpus, the first-stage retriever returns a candidate set</w:t>
      </w:r>
      <w:r>
        <w:t xml:space="preserve"> </w:t>
      </w:r>
      <m:oMath>
        <m:r>
          <m:rPr>
            <m:sty m:val="p"/>
            <m:scr m:val="script"/>
          </m:rPr>
          <m:t>D</m:t>
        </m:r>
        <m:r>
          <m:rPr>
            <m:sty m:val="p"/>
          </m:rPr>
          <m:t>=</m:t>
        </m:r>
        <m:r>
          <m:rPr>
            <m:sty m:val="p"/>
          </m:rPr>
          <m:t>{</m:t>
        </m:r>
        <m:sSub>
          <m:e>
            <m:r>
              <m:t>d</m:t>
            </m:r>
          </m:e>
          <m:sub>
            <m:r>
              <m:t>1</m:t>
            </m:r>
          </m:sub>
        </m:sSub>
        <m:r>
          <m:rPr>
            <m:sty m:val="p"/>
          </m:rPr>
          <m:t>,</m:t>
        </m:r>
        <m:sSub>
          <m:e>
            <m:r>
              <m:t>d</m:t>
            </m:r>
          </m:e>
          <m:sub>
            <m:r>
              <m:t>2</m:t>
            </m:r>
          </m:sub>
        </m:sSub>
        <m:r>
          <m:rPr>
            <m:sty m:val="p"/>
          </m:rPr>
          <m:t>,</m:t>
        </m:r>
        <m:r>
          <m:rPr>
            <m:sty m:val="p"/>
          </m:rPr>
          <m:t>…</m:t>
        </m:r>
        <m:r>
          <m:rPr>
            <m:sty m:val="p"/>
          </m:rPr>
          <m:t>,</m:t>
        </m:r>
        <m:sSub>
          <m:e>
            <m:r>
              <m:t>d</m:t>
            </m:r>
          </m:e>
          <m:sub>
            <m:r>
              <m:t>N</m:t>
            </m:r>
          </m:sub>
        </m:sSub>
        <m:r>
          <m:rPr>
            <m:sty m:val="p"/>
          </m:rPr>
          <m:t>}</m:t>
        </m:r>
      </m:oMath>
      <w:r>
        <w:t xml:space="preserve"> </w:t>
      </w:r>
      <w:r>
        <w:t xml:space="preserve">of</w:t>
      </w:r>
      <w:r>
        <w:t xml:space="preserve"> </w:t>
      </w:r>
      <m:oMath>
        <m:r>
          <m:t>N</m:t>
        </m:r>
      </m:oMath>
      <w:r>
        <w:t xml:space="preserve"> </w:t>
      </w:r>
      <w:r>
        <w:t xml:space="preserve">documents (we use</w:t>
      </w:r>
      <w:r>
        <w:t xml:space="preserve"> </w:t>
      </w:r>
      <m:oMath>
        <m:r>
          <m:t>N</m:t>
        </m:r>
        <m:r>
          <m:rPr>
            <m:sty m:val="p"/>
          </m:rPr>
          <m:t>=</m:t>
        </m:r>
        <m:r>
          <m:t>30</m:t>
        </m:r>
      </m:oMath>
      <w:r>
        <w:t xml:space="preserve"> </w:t>
      </w:r>
      <w:r>
        <w:t xml:space="preserve">via HNSW approximate nearest-neighbor search), where each document</w:t>
      </w:r>
      <w:r>
        <w:t xml:space="preserve"> </w:t>
      </w:r>
      <m:oMath>
        <m:sSub>
          <m:e>
            <m:r>
              <m:t>d</m:t>
            </m:r>
          </m:e>
          <m:sub>
            <m:r>
              <m:t>i</m:t>
            </m:r>
          </m:sub>
        </m:sSub>
      </m:oMath>
      <w:r>
        <w:t xml:space="preserve"> </w:t>
      </w:r>
      <w:r>
        <w:t xml:space="preserve">is associated with an embedding vector</w:t>
      </w:r>
      <w:r>
        <w:t xml:space="preserve"> </w:t>
      </w:r>
      <m:oMath>
        <m:sSub>
          <m:e>
            <m:r>
              <m:t>v</m:t>
            </m:r>
          </m:e>
          <m:sub>
            <m:r>
              <m:t>i</m:t>
            </m:r>
          </m:sub>
        </m:sSub>
        <m:r>
          <m:rPr>
            <m:sty m:val="p"/>
          </m:rPr>
          <m:t>∈</m:t>
        </m:r>
        <m:sSup>
          <m:e>
            <m:r>
              <m:rPr>
                <m:sty m:val="p"/>
                <m:scr m:val="double-struck"/>
              </m:rPr>
              <m:t>R</m:t>
            </m:r>
          </m:e>
          <m:sup>
            <m:r>
              <m:t>d</m:t>
            </m:r>
          </m:sup>
        </m:sSup>
      </m:oMath>
      <w:r>
        <w:t xml:space="preserve">.</w:t>
      </w:r>
    </w:p>
    <w:p>
      <w:pPr>
        <w:pStyle w:val="BodyText"/>
      </w:pPr>
      <w:r>
        <w:t xml:space="preserve">The reranking task is to learn a scoring function</w:t>
      </w:r>
      <w:r>
        <w:t xml:space="preserve"> </w:t>
      </w:r>
      <m:oMath>
        <m:r>
          <m:t>f</m:t>
        </m:r>
        <m:r>
          <m:rPr>
            <m:sty m:val="p"/>
          </m:rPr>
          <m:t>:</m:t>
        </m:r>
        <m:r>
          <m:rPr>
            <m:sty m:val="p"/>
            <m:scr m:val="script"/>
          </m:rPr>
          <m:t>D</m:t>
        </m:r>
        <m:r>
          <m:rPr>
            <m:sty m:val="p"/>
          </m:rPr>
          <m:t>×</m:t>
        </m:r>
        <m:r>
          <m:t>q</m:t>
        </m:r>
        <m:r>
          <m:rPr>
            <m:sty m:val="p"/>
          </m:rPr>
          <m:t>→</m:t>
        </m:r>
        <m:sSup>
          <m:e>
            <m:r>
              <m:rPr>
                <m:sty m:val="p"/>
                <m:scr m:val="double-struck"/>
              </m:rPr>
              <m:t>R</m:t>
            </m:r>
          </m:e>
          <m:sup>
            <m:r>
              <m:t>N</m:t>
            </m:r>
          </m:sup>
        </m:sSup>
      </m:oMath>
      <w:r>
        <w:t xml:space="preserve"> </w:t>
      </w:r>
      <w:r>
        <w:t xml:space="preserve">that produces a ranking superior to the initial cosine-similarity ordering. Unlike pointwise and pairwise rerankers, our approach is</w:t>
      </w:r>
      <w:r>
        <w:t xml:space="preserve"> </w:t>
      </w:r>
      <w:r>
        <w:rPr>
          <w:iCs/>
          <w:i/>
        </w:rPr>
        <w:t xml:space="preserve">listwise</w:t>
      </w:r>
      <w:r>
        <w:t xml:space="preserve">: the score of each document is determined collectively by the entire retrieved set through a dynamic process on a document graph.</w:t>
      </w:r>
    </w:p>
    <w:bookmarkEnd w:id="27"/>
    <w:bookmarkStart w:id="28" w:name="graph-construction"/>
    <w:p>
      <w:pPr>
        <w:pStyle w:val="Heading3"/>
      </w:pPr>
      <w:r>
        <w:t xml:space="preserve">3.2 Graph Construction</w:t>
      </w:r>
    </w:p>
    <w:p>
      <w:pPr>
        <w:pStyle w:val="FirstParagraph"/>
      </w:pPr>
      <w:r>
        <w:t xml:space="preserve">We construct a sparse, weighted, undirected graph</w:t>
      </w:r>
      <w:r>
        <w:t xml:space="preserve"> </w:t>
      </w:r>
      <m:oMath>
        <m:r>
          <m:rPr>
            <m:sty m:val="p"/>
            <m:scr m:val="script"/>
          </m:rPr>
          <m:t>G</m:t>
        </m:r>
        <m:r>
          <m:rPr>
            <m:sty m:val="p"/>
          </m:rPr>
          <m:t>=</m:t>
        </m:r>
        <m:d>
          <m:dPr>
            <m:begChr m:val="("/>
            <m:endChr m:val=")"/>
            <m:sepChr m:val=""/>
            <m:grow/>
          </m:dPr>
          <m:e>
            <m:r>
              <m:rPr>
                <m:sty m:val="p"/>
                <m:scr m:val="script"/>
              </m:rPr>
              <m:t>V</m:t>
            </m:r>
            <m:r>
              <m:rPr>
                <m:sty m:val="p"/>
              </m:rPr>
              <m:t>,</m:t>
            </m:r>
            <m:r>
              <m:rPr>
                <m:sty m:val="p"/>
                <m:scr m:val="script"/>
              </m:rPr>
              <m:t>E</m:t>
            </m:r>
            <m:r>
              <m:rPr>
                <m:sty m:val="p"/>
              </m:rPr>
              <m:t>,</m:t>
            </m:r>
            <m:r>
              <m:t>W</m:t>
            </m:r>
          </m:e>
        </m:d>
      </m:oMath>
      <w:r>
        <w:t xml:space="preserve"> </w:t>
      </w:r>
      <w:r>
        <w:t xml:space="preserve">over the</w:t>
      </w:r>
      <w:r>
        <w:t xml:space="preserve"> </w:t>
      </w:r>
      <m:oMath>
        <m:r>
          <m:t>N</m:t>
        </m:r>
      </m:oMath>
      <w:r>
        <w:t xml:space="preserve"> </w:t>
      </w:r>
      <w:r>
        <w:t xml:space="preserve">candidate documents.</w:t>
      </w:r>
    </w:p>
    <w:p>
      <w:pPr>
        <w:pStyle w:val="BodyText"/>
      </w:pPr>
      <w:r>
        <w:rPr>
          <w:bCs/>
          <w:b/>
        </w:rPr>
        <w:t xml:space="preserve">Step 1: Pairwise similarity.</w:t>
      </w:r>
      <w:r>
        <w:t xml:space="preserve"> </w:t>
      </w:r>
      <w:r>
        <w:t xml:space="preserve">We compute the full</w:t>
      </w:r>
      <w:r>
        <w:t xml:space="preserve"> </w:t>
      </w:r>
      <m:oMath>
        <m:r>
          <m:t>N</m:t>
        </m:r>
        <m:r>
          <m:rPr>
            <m:sty m:val="p"/>
          </m:rPr>
          <m:t>×</m:t>
        </m:r>
        <m:r>
          <m:t>N</m:t>
        </m:r>
      </m:oMath>
      <w:r>
        <w:t xml:space="preserve"> </w:t>
      </w:r>
      <w:r>
        <w:t xml:space="preserve">cosine similarity matrix:</w:t>
      </w:r>
    </w:p>
    <w:p>
      <w:pPr>
        <w:pStyle w:val="BodyText"/>
      </w:pPr>
      <m:oMathPara>
        <m:oMathParaPr>
          <m:jc m:val="center"/>
        </m:oMathParaPr>
        <m:oMath>
          <m:sSub>
            <m:e>
              <m:r>
                <m:t>S</m:t>
              </m:r>
            </m:e>
            <m:sub>
              <m:r>
                <m:t>i</m:t>
              </m:r>
              <m:r>
                <m:t>j</m:t>
              </m:r>
            </m:sub>
          </m:sSub>
          <m:r>
            <m:rPr>
              <m:sty m:val="p"/>
            </m:rPr>
            <m:t>=</m:t>
          </m:r>
          <m:r>
            <m:rPr>
              <m:sty m:val="p"/>
            </m:rPr>
            <m:t>cos</m:t>
          </m:r>
          <m:d>
            <m:dPr>
              <m:begChr m:val="("/>
              <m:endChr m:val=")"/>
              <m:sepChr m:val=""/>
              <m:grow/>
            </m:dPr>
            <m:e>
              <m:sSub>
                <m:e>
                  <m:r>
                    <m:t>v</m:t>
                  </m:r>
                </m:e>
                <m:sub>
                  <m:r>
                    <m:t>i</m:t>
                  </m:r>
                </m:sub>
              </m:sSub>
              <m:r>
                <m:rPr>
                  <m:sty m:val="p"/>
                </m:rPr>
                <m:t>,</m:t>
              </m:r>
              <m:sSub>
                <m:e>
                  <m:r>
                    <m:t>v</m:t>
                  </m:r>
                </m:e>
                <m:sub>
                  <m:r>
                    <m:t>j</m:t>
                  </m:r>
                </m:sub>
              </m:sSub>
            </m:e>
          </m:d>
          <m:r>
            <m:rPr>
              <m:sty m:val="p"/>
            </m:rPr>
            <m:t>=</m:t>
          </m:r>
          <m:f>
            <m:fPr>
              <m:type m:val="bar"/>
            </m:fPr>
            <m:num>
              <m:sSub>
                <m:e>
                  <m:r>
                    <m:t>v</m:t>
                  </m:r>
                </m:e>
                <m:sub>
                  <m:r>
                    <m:t>i</m:t>
                  </m:r>
                </m:sub>
              </m:sSub>
              <m:r>
                <m:rPr>
                  <m:sty m:val="p"/>
                </m:rPr>
                <m:t>⋅</m:t>
              </m:r>
              <m:sSub>
                <m:e>
                  <m:r>
                    <m:t>v</m:t>
                  </m:r>
                </m:e>
                <m:sub>
                  <m:r>
                    <m:t>j</m:t>
                  </m:r>
                </m:sub>
              </m:sSub>
            </m:num>
            <m:den>
              <m:r>
                <m:rPr>
                  <m:sty m:val="p"/>
                </m:rPr>
                <m:t>∥</m:t>
              </m:r>
              <m:sSub>
                <m:e>
                  <m:r>
                    <m:t>v</m:t>
                  </m:r>
                </m:e>
                <m:sub>
                  <m:r>
                    <m:t>i</m:t>
                  </m:r>
                </m:sub>
              </m:sSub>
              <m:r>
                <m:rPr>
                  <m:sty m:val="p"/>
                </m:rPr>
                <m:t>∥</m:t>
              </m:r>
              <m:r>
                <m:rPr>
                  <m:sty m:val="p"/>
                </m:rPr>
                <m:t>∥</m:t>
              </m:r>
              <m:sSub>
                <m:e>
                  <m:r>
                    <m:t>v</m:t>
                  </m:r>
                </m:e>
                <m:sub>
                  <m:r>
                    <m:t>j</m:t>
                  </m:r>
                </m:sub>
              </m:sSub>
              <m:r>
                <m:rPr>
                  <m:sty m:val="p"/>
                </m:rPr>
                <m:t>∥</m:t>
              </m:r>
            </m:den>
          </m:f>
          <m:r>
            <m:rPr>
              <m:sty m:val="p"/>
            </m:rPr>
            <m:t>,</m:t>
          </m:r>
          <m:r>
            <m:t> </m:t>
          </m:r>
          <m:r>
            <m:rPr>
              <m:sty m:val="p"/>
            </m:rPr>
            <m:t>∀</m:t>
          </m:r>
          <m:r>
            <m:t>i</m:t>
          </m:r>
          <m:r>
            <m:rPr>
              <m:sty m:val="p"/>
            </m:rPr>
            <m:t>,</m:t>
          </m:r>
          <m:r>
            <m:t>j</m:t>
          </m:r>
          <m:r>
            <m:rPr>
              <m:sty m:val="p"/>
            </m:rPr>
            <m:t>∈</m:t>
          </m:r>
          <m:r>
            <m:rPr>
              <m:sty m:val="p"/>
            </m:rPr>
            <m:t>{</m:t>
          </m:r>
          <m:r>
            <m:t>1</m:t>
          </m:r>
          <m:r>
            <m:rPr>
              <m:sty m:val="p"/>
            </m:rPr>
            <m:t>,</m:t>
          </m:r>
          <m:r>
            <m:rPr>
              <m:sty m:val="p"/>
            </m:rPr>
            <m:t>…</m:t>
          </m:r>
          <m:r>
            <m:rPr>
              <m:sty m:val="p"/>
            </m:rPr>
            <m:t>,</m:t>
          </m:r>
          <m:r>
            <m:t>N</m:t>
          </m:r>
          <m:r>
            <m:rPr>
              <m:sty m:val="p"/>
            </m:rPr>
            <m:t>}</m:t>
          </m:r>
        </m:oMath>
      </m:oMathPara>
    </w:p>
    <w:p>
      <w:pPr>
        <w:pStyle w:val="FirstParagraph"/>
      </w:pPr>
      <w:r>
        <w:rPr>
          <w:bCs/>
          <w:b/>
        </w:rPr>
        <w:t xml:space="preserve">Step 2: KNN sparsification.</w:t>
      </w:r>
      <w:r>
        <w:t xml:space="preserve"> </w:t>
      </w:r>
      <w:r>
        <w:t xml:space="preserve">For each node</w:t>
      </w:r>
      <w:r>
        <w:t xml:space="preserve"> </w:t>
      </w:r>
      <m:oMath>
        <m:r>
          <m:t>i</m:t>
        </m:r>
      </m:oMath>
      <w:r>
        <w:t xml:space="preserve">, we retain edges only to its</w:t>
      </w:r>
      <w:r>
        <w:t xml:space="preserve"> </w:t>
      </w:r>
      <m:oMath>
        <m:r>
          <m:t>k</m:t>
        </m:r>
      </m:oMath>
      <w:r>
        <w:t xml:space="preserve"> </w:t>
      </w:r>
      <w:r>
        <w:t xml:space="preserve">most similar neighbors:</w:t>
      </w:r>
    </w:p>
    <w:p>
      <w:pPr>
        <w:pStyle w:val="BodyText"/>
      </w:pPr>
      <m:oMathPara>
        <m:oMathParaPr>
          <m:jc m:val="center"/>
        </m:oMathParaPr>
        <m:oMath>
          <m:r>
            <m:rPr>
              <m:sty m:val="p"/>
              <m:scr m:val="script"/>
            </m:rPr>
            <m:t>N</m:t>
          </m:r>
          <m:d>
            <m:dPr>
              <m:begChr m:val="("/>
              <m:endChr m:val=")"/>
              <m:sepChr m:val=""/>
              <m:grow/>
            </m:dPr>
            <m:e>
              <m:r>
                <m:t>i</m:t>
              </m:r>
            </m:e>
          </m:d>
          <m:r>
            <m:rPr>
              <m:sty m:val="p"/>
            </m:rPr>
            <m:t>=</m:t>
          </m:r>
          <m:sSub>
            <m:e>
              <m:r>
                <m:rPr>
                  <m:nor/>
                  <m:sty m:val="p"/>
                </m:rPr>
                <m:t>argTopK</m:t>
              </m:r>
            </m:e>
            <m:sub>
              <m:r>
                <m:t>j</m:t>
              </m:r>
              <m:r>
                <m:rPr>
                  <m:sty m:val="p"/>
                </m:rPr>
                <m:t>≠</m:t>
              </m:r>
              <m:r>
                <m:t>i</m:t>
              </m:r>
            </m:sub>
          </m:sSub>
          <m:d>
            <m:dPr>
              <m:begChr m:val="("/>
              <m:endChr m:val=")"/>
              <m:sepChr m:val=""/>
              <m:grow/>
            </m:dPr>
            <m:e>
              <m:sSub>
                <m:e>
                  <m:r>
                    <m:t>S</m:t>
                  </m:r>
                </m:e>
                <m:sub>
                  <m:r>
                    <m:t>i</m:t>
                  </m:r>
                  <m:r>
                    <m:t>j</m:t>
                  </m:r>
                </m:sub>
              </m:sSub>
              <m:r>
                <m:rPr>
                  <m:sty m:val="p"/>
                </m:rPr>
                <m:t>,</m:t>
              </m:r>
              <m:r>
                <m:t>k</m:t>
              </m:r>
            </m:e>
          </m:d>
          <m:r>
            <m:rPr>
              <m:sty m:val="p"/>
            </m:rPr>
            <m:t>,</m:t>
          </m:r>
          <m:r>
            <m:t> </m:t>
          </m:r>
          <m:r>
            <m:t>k</m:t>
          </m:r>
          <m:r>
            <m:rPr>
              <m:sty m:val="p"/>
            </m:rPr>
            <m:t>=</m:t>
          </m:r>
          <m:r>
            <m:t>3</m:t>
          </m:r>
        </m:oMath>
      </m:oMathPara>
    </w:p>
    <w:p>
      <w:pPr>
        <w:pStyle w:val="FirstParagraph"/>
      </w:pPr>
      <w:r>
        <w:t xml:space="preserve">This sparsification reduces the graph density from</w:t>
      </w:r>
      <w:r>
        <w:t xml:space="preserve"> </w:t>
      </w:r>
      <m:oMath>
        <m:r>
          <m:t>O</m:t>
        </m:r>
        <m:d>
          <m:dPr>
            <m:begChr m:val="("/>
            <m:endChr m:val=")"/>
            <m:sepChr m:val=""/>
            <m:grow/>
          </m:dPr>
          <m:e>
            <m:sSup>
              <m:e>
                <m:r>
                  <m:t>N</m:t>
                </m:r>
              </m:e>
              <m:sup>
                <m:r>
                  <m:t>2</m:t>
                </m:r>
              </m:sup>
            </m:sSup>
          </m:e>
        </m:d>
      </m:oMath>
      <w:r>
        <w:t xml:space="preserve"> </w:t>
      </w:r>
      <w:r>
        <w:t xml:space="preserve">to</w:t>
      </w:r>
      <w:r>
        <w:t xml:space="preserve"> </w:t>
      </w:r>
      <m:oMath>
        <m:r>
          <m:t>O</m:t>
        </m:r>
        <m:d>
          <m:dPr>
            <m:begChr m:val="("/>
            <m:endChr m:val=")"/>
            <m:sepChr m:val=""/>
            <m:grow/>
          </m:dPr>
          <m:e>
            <m:r>
              <m:t>N</m:t>
            </m:r>
            <m:r>
              <m:t>k</m:t>
            </m:r>
          </m:e>
        </m:d>
      </m:oMath>
      <w:r>
        <w:t xml:space="preserve">, which is critical for controlling both computational cost and diffusion dynamics.</w:t>
      </w:r>
    </w:p>
    <w:p>
      <w:pPr>
        <w:pStyle w:val="BodyText"/>
      </w:pPr>
      <w:r>
        <w:rPr>
          <w:bCs/>
          <w:b/>
        </w:rPr>
        <w:t xml:space="preserve">Step 3: Edge weights.</w:t>
      </w:r>
      <w:r>
        <w:t xml:space="preserve"> </w:t>
      </w:r>
      <w:r>
        <w:t xml:space="preserve">We assign exponentially decaying weights:</w:t>
      </w:r>
    </w:p>
    <w:p>
      <w:pPr>
        <w:pStyle w:val="BodyText"/>
      </w:pPr>
      <m:oMathPara>
        <m:oMathParaPr>
          <m:jc m:val="center"/>
        </m:oMathParaPr>
        <m:oMath>
          <m:sSub>
            <m:e>
              <m:r>
                <m:t>W</m:t>
              </m:r>
            </m:e>
            <m:sub>
              <m:r>
                <m:t>i</m:t>
              </m:r>
              <m:r>
                <m:t>j</m:t>
              </m:r>
            </m:sub>
          </m:sSub>
          <m:r>
            <m:rPr>
              <m:sty m:val="p"/>
            </m:rPr>
            <m:t>=</m:t>
          </m:r>
          <m:r>
            <m:rPr>
              <m:sty m:val="p"/>
            </m:rPr>
            <m:t>exp</m:t>
          </m:r>
          <m:d>
            <m:dPr>
              <m:begChr m:val="("/>
              <m:endChr m:val=")"/>
              <m:sepChr m:val=""/>
              <m:grow/>
            </m:dPr>
            <m:e>
              <m:r>
                <m:rPr>
                  <m:sty m:val="p"/>
                </m:rPr>
                <m:t>−</m:t>
              </m:r>
              <m:r>
                <m:t>β</m:t>
              </m:r>
              <m:r>
                <m:rPr>
                  <m:sty m:val="p"/>
                </m:rPr>
                <m:t>⋅</m:t>
              </m:r>
              <m:d>
                <m:dPr>
                  <m:begChr m:val="("/>
                  <m:endChr m:val=")"/>
                  <m:sepChr m:val=""/>
                  <m:grow/>
                </m:dPr>
                <m:e>
                  <m:r>
                    <m:t>1</m:t>
                  </m:r>
                  <m:r>
                    <m:rPr>
                      <m:sty m:val="p"/>
                    </m:rPr>
                    <m:t>−</m:t>
                  </m:r>
                  <m:sSub>
                    <m:e>
                      <m:r>
                        <m:t>S</m:t>
                      </m:r>
                    </m:e>
                    <m:sub>
                      <m:r>
                        <m:t>i</m:t>
                      </m:r>
                      <m:r>
                        <m:t>j</m:t>
                      </m:r>
                    </m:sub>
                  </m:sSub>
                </m:e>
              </m:d>
            </m:e>
          </m:d>
          <m:r>
            <m:rPr>
              <m:sty m:val="p"/>
            </m:rPr>
            <m:t>,</m:t>
          </m:r>
          <m:r>
            <m:t> </m:t>
          </m:r>
          <m:r>
            <m:t>β</m:t>
          </m:r>
          <m:r>
            <m:rPr>
              <m:sty m:val="p"/>
            </m:rPr>
            <m:t>=</m:t>
          </m:r>
          <m:r>
            <m:t>2.0</m:t>
          </m:r>
        </m:oMath>
      </m:oMathPara>
    </w:p>
    <w:p>
      <w:pPr>
        <w:pStyle w:val="FirstParagraph"/>
      </w:pPr>
      <w:r>
        <w:t xml:space="preserve">The parameter</w:t>
      </w:r>
      <w:r>
        <w:t xml:space="preserve"> </w:t>
      </w:r>
      <m:oMath>
        <m:r>
          <m:t>β</m:t>
        </m:r>
      </m:oMath>
      <w:r>
        <w:t xml:space="preserve"> </w:t>
      </w:r>
      <w:r>
        <w:t xml:space="preserve">controls the decay rate: larger values concentrate diffusion along high-similarity edges.</w:t>
      </w:r>
    </w:p>
    <w:p>
      <w:pPr>
        <w:pStyle w:val="BodyText"/>
      </w:pPr>
      <w:r>
        <w:rPr>
          <w:bCs/>
          <w:b/>
        </w:rPr>
        <w:t xml:space="preserve">Step 4: Symmetrization.</w:t>
      </w:r>
      <w:r>
        <w:t xml:space="preserve"> </w:t>
      </w:r>
      <w:r>
        <w:t xml:space="preserve">If</w:t>
      </w:r>
      <w:r>
        <w:t xml:space="preserve"> </w:t>
      </w:r>
      <m:oMath>
        <m:r>
          <m:t>j</m:t>
        </m:r>
        <m:r>
          <m:rPr>
            <m:sty m:val="p"/>
          </m:rPr>
          <m:t>∈</m:t>
        </m:r>
        <m:r>
          <m:rPr>
            <m:sty m:val="p"/>
            <m:scr m:val="script"/>
          </m:rPr>
          <m:t>N</m:t>
        </m:r>
        <m:d>
          <m:dPr>
            <m:begChr m:val="("/>
            <m:endChr m:val=")"/>
            <m:sepChr m:val=""/>
            <m:grow/>
          </m:dPr>
          <m:e>
            <m:r>
              <m:t>i</m:t>
            </m:r>
          </m:e>
        </m:d>
      </m:oMath>
      <w:r>
        <w:t xml:space="preserve"> </w:t>
      </w:r>
      <w:r>
        <w:t xml:space="preserve">but</w:t>
      </w:r>
      <w:r>
        <w:t xml:space="preserve"> </w:t>
      </w:r>
      <m:oMath>
        <m:r>
          <m:t>i</m:t>
        </m:r>
        <m:r>
          <m:rPr>
            <m:sty m:val="p"/>
          </m:rPr>
          <m:t>∉</m:t>
        </m:r>
        <m:r>
          <m:rPr>
            <m:sty m:val="p"/>
            <m:scr m:val="script"/>
          </m:rPr>
          <m:t>N</m:t>
        </m:r>
        <m:d>
          <m:dPr>
            <m:begChr m:val="("/>
            <m:endChr m:val=")"/>
            <m:sepChr m:val=""/>
            <m:grow/>
          </m:dPr>
          <m:e>
            <m:r>
              <m:t>j</m:t>
            </m:r>
          </m:e>
        </m:d>
      </m:oMath>
      <w:r>
        <w:t xml:space="preserve">, we add the reverse edge with</w:t>
      </w:r>
      <w:r>
        <w:t xml:space="preserve"> </w:t>
      </w:r>
      <m:oMath>
        <m:sSub>
          <m:e>
            <m:r>
              <m:t>W</m:t>
            </m:r>
          </m:e>
          <m:sub>
            <m:r>
              <m:t>j</m:t>
            </m:r>
            <m:r>
              <m:t>i</m:t>
            </m:r>
          </m:sub>
        </m:sSub>
        <m:r>
          <m:rPr>
            <m:sty m:val="p"/>
          </m:rPr>
          <m:t>=</m:t>
        </m:r>
        <m:sSub>
          <m:e>
            <m:r>
              <m:t>W</m:t>
            </m:r>
          </m:e>
          <m:sub>
            <m:r>
              <m:t>i</m:t>
            </m:r>
            <m:r>
              <m:t>j</m:t>
            </m:r>
          </m:sub>
        </m:sSub>
      </m:oMath>
      <w:r>
        <w:t xml:space="preserve">. This ensures the graph is undirected, which is essential for the symmetric positive-definite property of the graph Laplacian and, consequently, for the conservation law of the diffusion operator.</w:t>
      </w:r>
    </w:p>
    <w:bookmarkEnd w:id="28"/>
    <w:bookmarkStart w:id="29" w:name="X9cbedee42f8e07c6e8b7679a4f2e2f5e7decec0"/>
    <w:p>
      <w:pPr>
        <w:pStyle w:val="Heading3"/>
      </w:pPr>
      <w:r>
        <w:t xml:space="preserve">3.3 Conservative Convection-Diffusion on Graphs</w:t>
      </w:r>
    </w:p>
    <w:p>
      <w:pPr>
        <w:pStyle w:val="FirstParagraph"/>
      </w:pPr>
      <w:r>
        <w:t xml:space="preserve">We model the evolution of document relevance scores as a convection-diffusion process on the graph</w:t>
      </w:r>
      <w:r>
        <w:t xml:space="preserve"> </w:t>
      </w:r>
      <m:oMath>
        <m:r>
          <m:rPr>
            <m:sty m:val="p"/>
            <m:scr m:val="script"/>
          </m:rPr>
          <m:t>G</m:t>
        </m:r>
      </m:oMath>
      <w:r>
        <w:t xml:space="preserve">.</w:t>
      </w:r>
    </w:p>
    <w:p>
      <w:pPr>
        <w:pStyle w:val="BodyText"/>
      </w:pPr>
      <w:r>
        <w:rPr>
          <w:bCs/>
          <w:b/>
        </w:rPr>
        <w:t xml:space="preserve">Initial concentration field.</w:t>
      </w:r>
      <w:r>
        <w:t xml:space="preserve"> </w:t>
      </w:r>
      <w:r>
        <w:t xml:space="preserve">Each document is assigned an initial</w:t>
      </w:r>
      <w:r>
        <w:t xml:space="preserve"> </w:t>
      </w:r>
      <w:r>
        <w:t xml:space="preserve">“</w:t>
      </w:r>
      <w:r>
        <w:t xml:space="preserve">concentration</w:t>
      </w:r>
      <w:r>
        <w:t xml:space="preserve">”</w:t>
      </w:r>
      <w:r>
        <w:t xml:space="preserve"> </w:t>
      </w:r>
      <w:r>
        <w:t xml:space="preserve">equal to its cosine similarity with the query:</w:t>
      </w:r>
    </w:p>
    <w:p>
      <w:pPr>
        <w:pStyle w:val="BodyText"/>
      </w:pPr>
      <m:oMathPara>
        <m:oMathParaPr>
          <m:jc m:val="center"/>
        </m:oMathParaPr>
        <m:oMath>
          <m:sSub>
            <m:e>
              <m:r>
                <m:t>C</m:t>
              </m:r>
            </m:e>
            <m:sub>
              <m:r>
                <m:t>0</m:t>
              </m:r>
            </m:sub>
          </m:sSub>
          <m:d>
            <m:dPr>
              <m:begChr m:val="("/>
              <m:endChr m:val=")"/>
              <m:sepChr m:val=""/>
              <m:grow/>
            </m:dPr>
            <m:e>
              <m:r>
                <m:t>i</m:t>
              </m:r>
            </m:e>
          </m:d>
          <m:r>
            <m:rPr>
              <m:sty m:val="p"/>
            </m:rPr>
            <m:t>=</m:t>
          </m:r>
          <m:r>
            <m:rPr>
              <m:sty m:val="p"/>
            </m:rPr>
            <m:t>cos</m:t>
          </m:r>
          <m:d>
            <m:dPr>
              <m:begChr m:val="("/>
              <m:endChr m:val=")"/>
              <m:sepChr m:val=""/>
              <m:grow/>
            </m:dPr>
            <m:e>
              <m:r>
                <m:t>q</m:t>
              </m:r>
              <m:r>
                <m:rPr>
                  <m:sty m:val="p"/>
                </m:rPr>
                <m:t>,</m:t>
              </m:r>
              <m:sSub>
                <m:e>
                  <m:r>
                    <m:t>v</m:t>
                  </m:r>
                </m:e>
                <m:sub>
                  <m:r>
                    <m:t>i</m:t>
                  </m:r>
                </m:sub>
              </m:sSub>
            </m:e>
          </m:d>
          <m:r>
            <m:rPr>
              <m:sty m:val="p"/>
            </m:rPr>
            <m:t>,</m:t>
          </m:r>
          <m:r>
            <m:t> </m:t>
          </m:r>
          <m:r>
            <m:t>i</m:t>
          </m:r>
          <m:r>
            <m:rPr>
              <m:sty m:val="p"/>
            </m:rPr>
            <m:t>=</m:t>
          </m:r>
          <m:r>
            <m:t>1</m:t>
          </m:r>
          <m:r>
            <m:rPr>
              <m:sty m:val="p"/>
            </m:rPr>
            <m:t>,</m:t>
          </m:r>
          <m:r>
            <m:rPr>
              <m:sty m:val="p"/>
            </m:rPr>
            <m:t>…</m:t>
          </m:r>
          <m:r>
            <m:rPr>
              <m:sty m:val="p"/>
            </m:rPr>
            <m:t>,</m:t>
          </m:r>
          <m:r>
            <m:t>N</m:t>
          </m:r>
        </m:oMath>
      </m:oMathPara>
    </w:p>
    <w:p>
      <w:pPr>
        <w:pStyle w:val="FirstParagraph"/>
      </w:pPr>
      <w:r>
        <w:t xml:space="preserve">This initial condition seeds the dynamic process with the first-stage retrieval signal.</w:t>
      </w:r>
    </w:p>
    <w:p>
      <w:pPr>
        <w:pStyle w:val="BodyText"/>
      </w:pPr>
      <w:r>
        <w:rPr>
          <w:bCs/>
          <w:b/>
        </w:rPr>
        <w:t xml:space="preserve">Advection direction.</w:t>
      </w:r>
      <w:r>
        <w:t xml:space="preserve"> </w:t>
      </w:r>
      <w:r>
        <w:t xml:space="preserve">For each edge</w:t>
      </w:r>
      <w:r>
        <w:t xml:space="preserve"> </w:t>
      </w:r>
      <m:oMath>
        <m:d>
          <m:dPr>
            <m:begChr m:val="("/>
            <m:endChr m:val=")"/>
            <m:sepChr m:val=""/>
            <m:grow/>
          </m:dPr>
          <m:e>
            <m:r>
              <m:t>i</m:t>
            </m:r>
            <m:r>
              <m:rPr>
                <m:sty m:val="p"/>
              </m:rPr>
              <m:t>,</m:t>
            </m:r>
            <m:r>
              <m:t>j</m:t>
            </m:r>
          </m:e>
        </m:d>
      </m:oMath>
      <w:r>
        <w:t xml:space="preserve">, we define the advection coefficient by projecting the inter-document displacement onto the query direction:</w:t>
      </w:r>
    </w:p>
    <w:p>
      <w:pPr>
        <w:pStyle w:val="BodyText"/>
      </w:pPr>
      <m:oMathPara>
        <m:oMathParaPr>
          <m:jc m:val="center"/>
        </m:oMathParaPr>
        <m:oMath>
          <m:sSub>
            <m:e>
              <m:r>
                <m:t>u</m:t>
              </m:r>
            </m:e>
            <m:sub>
              <m:r>
                <m:t>i</m:t>
              </m:r>
              <m:r>
                <m:t>j</m:t>
              </m:r>
            </m:sub>
          </m:sSub>
          <m:r>
            <m:rPr>
              <m:sty m:val="p"/>
            </m:rPr>
            <m:t>=</m:t>
          </m:r>
          <m:d>
            <m:dPr>
              <m:begChr m:val="⟨"/>
              <m:endChr m:val="⟩"/>
              <m:sepChr m:val=""/>
              <m:grow/>
            </m:dPr>
            <m:e>
              <m:f>
                <m:fPr>
                  <m:type m:val="bar"/>
                </m:fPr>
                <m:num>
                  <m:sSub>
                    <m:e>
                      <m:r>
                        <m:t>v</m:t>
                      </m:r>
                    </m:e>
                    <m:sub>
                      <m:r>
                        <m:t>j</m:t>
                      </m:r>
                    </m:sub>
                  </m:sSub>
                  <m:r>
                    <m:rPr>
                      <m:sty m:val="p"/>
                    </m:rPr>
                    <m:t>−</m:t>
                  </m:r>
                  <m:sSub>
                    <m:e>
                      <m:r>
                        <m:t>v</m:t>
                      </m:r>
                    </m:e>
                    <m:sub>
                      <m:r>
                        <m:t>i</m:t>
                      </m:r>
                    </m:sub>
                  </m:sSub>
                </m:num>
                <m:den>
                  <m:r>
                    <m:rPr>
                      <m:sty m:val="p"/>
                    </m:rPr>
                    <m:t>∥</m:t>
                  </m:r>
                  <m:sSub>
                    <m:e>
                      <m:r>
                        <m:t>v</m:t>
                      </m:r>
                    </m:e>
                    <m:sub>
                      <m:r>
                        <m:t>j</m:t>
                      </m:r>
                    </m:sub>
                  </m:sSub>
                  <m:r>
                    <m:rPr>
                      <m:sty m:val="p"/>
                    </m:rPr>
                    <m:t>−</m:t>
                  </m:r>
                  <m:sSub>
                    <m:e>
                      <m:r>
                        <m:t>v</m:t>
                      </m:r>
                    </m:e>
                    <m:sub>
                      <m:r>
                        <m:t>i</m:t>
                      </m:r>
                    </m:sub>
                  </m:sSub>
                  <m:sSub>
                    <m:e>
                      <m:r>
                        <m:rPr>
                          <m:sty m:val="p"/>
                        </m:rPr>
                        <m:t>∥</m:t>
                      </m:r>
                    </m:e>
                    <m:sub>
                      <m:r>
                        <m:t>2</m:t>
                      </m:r>
                    </m:sub>
                  </m:sSub>
                  <m:r>
                    <m:rPr>
                      <m:sty m:val="p"/>
                    </m:rPr>
                    <m:t>+</m:t>
                  </m:r>
                  <m:r>
                    <m:t>ε</m:t>
                  </m:r>
                </m:den>
              </m:f>
              <m:r>
                <m:rPr>
                  <m:sty m:val="p"/>
                </m:rPr>
                <m:t>,</m:t>
              </m:r>
              <m:r>
                <m:t> </m:t>
              </m:r>
              <m:f>
                <m:fPr>
                  <m:type m:val="bar"/>
                </m:fPr>
                <m:num>
                  <m:r>
                    <m:t>q</m:t>
                  </m:r>
                </m:num>
                <m:den>
                  <m:r>
                    <m:rPr>
                      <m:sty m:val="p"/>
                    </m:rPr>
                    <m:t>∥</m:t>
                  </m:r>
                  <m:r>
                    <m:t>q</m:t>
                  </m:r>
                  <m:r>
                    <m:rPr>
                      <m:sty m:val="p"/>
                    </m:rPr>
                    <m:t>∥</m:t>
                  </m:r>
                </m:den>
              </m:f>
            </m:e>
          </m:d>
          <m:r>
            <m:rPr>
              <m:sty m:val="p"/>
            </m:rPr>
            <m:t>⋅</m:t>
          </m:r>
          <m:sSub>
            <m:e>
              <m:r>
                <m:t>u</m:t>
              </m:r>
            </m:e>
            <m:sub>
              <m:r>
                <m:rPr>
                  <m:nor/>
                  <m:sty m:val="p"/>
                </m:rPr>
                <m:t>strength</m:t>
              </m:r>
            </m:sub>
          </m:sSub>
          <m:r>
            <m:rPr>
              <m:sty m:val="p"/>
            </m:rPr>
            <m:t>,</m:t>
          </m:r>
          <m:r>
            <m:t> </m:t>
          </m:r>
          <m:r>
            <m:t>ε</m:t>
          </m:r>
          <m:r>
            <m:rPr>
              <m:sty m:val="p"/>
            </m:rPr>
            <m:t>=</m:t>
          </m:r>
          <m:sSup>
            <m:e>
              <m:r>
                <m:t>10</m:t>
              </m:r>
            </m:e>
            <m:sup>
              <m:r>
                <m:rPr>
                  <m:sty m:val="p"/>
                </m:rPr>
                <m:t>−</m:t>
              </m:r>
              <m:r>
                <m:t>8</m:t>
              </m:r>
            </m:sup>
          </m:sSup>
        </m:oMath>
      </m:oMathPara>
    </w:p>
    <w:p>
      <w:pPr>
        <w:pStyle w:val="FirstParagraph"/>
      </w:pPr>
      <w:r>
        <w:t xml:space="preserve">The scalar</w:t>
      </w:r>
      <w:r>
        <w:t xml:space="preserve"> </w:t>
      </w:r>
      <m:oMath>
        <m:sSub>
          <m:e>
            <m:r>
              <m:t>u</m:t>
            </m:r>
          </m:e>
          <m:sub>
            <m:r>
              <m:t>i</m:t>
            </m:r>
            <m:r>
              <m:t>j</m:t>
            </m:r>
          </m:sub>
        </m:sSub>
      </m:oMath>
      <w:r>
        <w:t xml:space="preserve"> </w:t>
      </w:r>
      <w:r>
        <w:t xml:space="preserve">measures how well the edge direction</w:t>
      </w:r>
      <w:r>
        <w:t xml:space="preserve"> </w:t>
      </w:r>
      <m:oMath>
        <m:r>
          <m:t>i</m:t>
        </m:r>
        <m:r>
          <m:rPr>
            <m:sty m:val="p"/>
          </m:rPr>
          <m:t>→</m:t>
        </m:r>
        <m:r>
          <m:t>j</m:t>
        </m:r>
      </m:oMath>
      <w:r>
        <w:t xml:space="preserve"> </w:t>
      </w:r>
      <w:r>
        <w:t xml:space="preserve">aligns with the query’s semantic orientation. A positive value (</w:t>
      </w:r>
      <m:oMath>
        <m:sSub>
          <m:e>
            <m:r>
              <m:t>u</m:t>
            </m:r>
          </m:e>
          <m:sub>
            <m:r>
              <m:t>i</m:t>
            </m:r>
            <m:r>
              <m:t>j</m:t>
            </m:r>
          </m:sub>
        </m:sSub>
        <m:r>
          <m:rPr>
            <m:sty m:val="p"/>
          </m:rPr>
          <m:t>&gt;</m:t>
        </m:r>
        <m:r>
          <m:t>0</m:t>
        </m:r>
      </m:oMath>
      <w:r>
        <w:t xml:space="preserve">) indicates that moving from</w:t>
      </w:r>
      <w:r>
        <w:t xml:space="preserve"> </w:t>
      </w:r>
      <m:oMath>
        <m:r>
          <m:t>i</m:t>
        </m:r>
      </m:oMath>
      <w:r>
        <w:t xml:space="preserve"> </w:t>
      </w:r>
      <w:r>
        <w:t xml:space="preserve">to</w:t>
      </w:r>
      <w:r>
        <w:t xml:space="preserve"> </w:t>
      </w:r>
      <m:oMath>
        <m:r>
          <m:t>j</m:t>
        </m:r>
      </m:oMath>
      <w:r>
        <w:t xml:space="preserve"> </w:t>
      </w:r>
      <w:r>
        <w:t xml:space="preserve">proceeds</w:t>
      </w:r>
      <w:r>
        <w:t xml:space="preserve"> </w:t>
      </w:r>
      <w:r>
        <w:t xml:space="preserve">“</w:t>
      </w:r>
      <w:r>
        <w:t xml:space="preserve">downwind</w:t>
      </w:r>
      <w:r>
        <w:t xml:space="preserve">”</w:t>
      </w:r>
      <w:r>
        <w:t xml:space="preserve"> </w:t>
      </w:r>
      <w:r>
        <w:t xml:space="preserve">(toward the query); a negative value indicates the reverse. The small constant</w:t>
      </w:r>
      <w:r>
        <w:t xml:space="preserve"> </w:t>
      </w:r>
      <m:oMath>
        <m:r>
          <m:t>ε</m:t>
        </m:r>
      </m:oMath>
      <w:r>
        <w:t xml:space="preserve"> </w:t>
      </w:r>
      <w:r>
        <w:t xml:space="preserve">prevents division by zero when two documents have near-identical embeddings.</w:t>
      </w:r>
    </w:p>
    <w:p>
      <w:pPr>
        <w:pStyle w:val="BodyText"/>
      </w:pPr>
      <w:r>
        <w:rPr>
          <w:bCs/>
          <w:b/>
        </w:rPr>
        <w:t xml:space="preserve">Anti-symmetry.</w:t>
      </w:r>
      <w:r>
        <w:t xml:space="preserve"> </w:t>
      </w:r>
      <w:r>
        <w:t xml:space="preserve">The advection coefficients satisfy a strict anti-symmetry:</w:t>
      </w:r>
    </w:p>
    <w:p>
      <w:pPr>
        <w:pStyle w:val="BodyText"/>
      </w:pPr>
      <m:oMathPara>
        <m:oMathParaPr>
          <m:jc m:val="center"/>
        </m:oMathParaPr>
        <m:oMath>
          <m:sSub>
            <m:e>
              <m:r>
                <m:t>u</m:t>
              </m:r>
            </m:e>
            <m:sub>
              <m:r>
                <m:t>j</m:t>
              </m:r>
              <m:r>
                <m:t>i</m:t>
              </m:r>
            </m:sub>
          </m:sSub>
          <m:r>
            <m:rPr>
              <m:sty m:val="p"/>
            </m:rPr>
            <m:t>=</m:t>
          </m:r>
          <m:d>
            <m:dPr>
              <m:begChr m:val="⟨"/>
              <m:endChr m:val="⟩"/>
              <m:sepChr m:val=""/>
              <m:grow/>
            </m:dPr>
            <m:e>
              <m:f>
                <m:fPr>
                  <m:type m:val="bar"/>
                </m:fPr>
                <m:num>
                  <m:sSub>
                    <m:e>
                      <m:r>
                        <m:t>v</m:t>
                      </m:r>
                    </m:e>
                    <m:sub>
                      <m:r>
                        <m:t>i</m:t>
                      </m:r>
                    </m:sub>
                  </m:sSub>
                  <m:r>
                    <m:rPr>
                      <m:sty m:val="p"/>
                    </m:rPr>
                    <m:t>−</m:t>
                  </m:r>
                  <m:sSub>
                    <m:e>
                      <m:r>
                        <m:t>v</m:t>
                      </m:r>
                    </m:e>
                    <m:sub>
                      <m:r>
                        <m:t>j</m:t>
                      </m:r>
                    </m:sub>
                  </m:sSub>
                </m:num>
                <m:den>
                  <m:r>
                    <m:rPr>
                      <m:sty m:val="p"/>
                    </m:rPr>
                    <m:t>∥</m:t>
                  </m:r>
                  <m:sSub>
                    <m:e>
                      <m:r>
                        <m:t>v</m:t>
                      </m:r>
                    </m:e>
                    <m:sub>
                      <m:r>
                        <m:t>i</m:t>
                      </m:r>
                    </m:sub>
                  </m:sSub>
                  <m:r>
                    <m:rPr>
                      <m:sty m:val="p"/>
                    </m:rPr>
                    <m:t>−</m:t>
                  </m:r>
                  <m:sSub>
                    <m:e>
                      <m:r>
                        <m:t>v</m:t>
                      </m:r>
                    </m:e>
                    <m:sub>
                      <m:r>
                        <m:t>j</m:t>
                      </m:r>
                    </m:sub>
                  </m:sSub>
                  <m:r>
                    <m:rPr>
                      <m:sty m:val="p"/>
                    </m:rPr>
                    <m:t>∥</m:t>
                  </m:r>
                </m:den>
              </m:f>
              <m:r>
                <m:rPr>
                  <m:sty m:val="p"/>
                </m:rPr>
                <m:t>,</m:t>
              </m:r>
              <m:r>
                <m:t> </m:t>
              </m:r>
              <m:acc>
                <m:accPr>
                  <m:chr m:val="̂"/>
                </m:accPr>
                <m:e>
                  <m:r>
                    <m:t>q</m:t>
                  </m:r>
                </m:e>
              </m:acc>
            </m:e>
          </m:d>
          <m:r>
            <m:rPr>
              <m:sty m:val="p"/>
            </m:rPr>
            <m:t>⋅</m:t>
          </m:r>
          <m:sSub>
            <m:e>
              <m:r>
                <m:t>u</m:t>
              </m:r>
            </m:e>
            <m:sub>
              <m:r>
                <m:rPr>
                  <m:nor/>
                  <m:sty m:val="p"/>
                </m:rPr>
                <m:t>strength</m:t>
              </m:r>
            </m:sub>
          </m:sSub>
          <m:r>
            <m:rPr>
              <m:sty m:val="p"/>
            </m:rPr>
            <m:t>=</m:t>
          </m:r>
          <m:r>
            <m:rPr>
              <m:sty m:val="p"/>
            </m:rPr>
            <m:t>−</m:t>
          </m:r>
          <m:sSub>
            <m:e>
              <m:r>
                <m:t>u</m:t>
              </m:r>
            </m:e>
            <m:sub>
              <m:r>
                <m:t>i</m:t>
              </m:r>
              <m:r>
                <m:t>j</m:t>
              </m:r>
            </m:sub>
          </m:sSub>
        </m:oMath>
      </m:oMathPara>
    </w:p>
    <w:p>
      <w:pPr>
        <w:pStyle w:val="FirstParagraph"/>
      </w:pPr>
      <w:r>
        <w:t xml:space="preserve">since</w:t>
      </w:r>
      <w:r>
        <w:t xml:space="preserve"> </w:t>
      </w:r>
      <m:oMath>
        <m:sSub>
          <m:e>
            <m:r>
              <m:t>v</m:t>
            </m:r>
          </m:e>
          <m:sub>
            <m:r>
              <m:t>i</m:t>
            </m:r>
          </m:sub>
        </m:sSub>
        <m:r>
          <m:rPr>
            <m:sty m:val="p"/>
          </m:rPr>
          <m:t>−</m:t>
        </m:r>
        <m:sSub>
          <m:e>
            <m:r>
              <m:t>v</m:t>
            </m:r>
          </m:e>
          <m:sub>
            <m:r>
              <m:t>j</m:t>
            </m:r>
          </m:sub>
        </m:sSub>
        <m:r>
          <m:rPr>
            <m:sty m:val="p"/>
          </m:rPr>
          <m:t>=</m:t>
        </m:r>
        <m:r>
          <m:rPr>
            <m:sty m:val="p"/>
          </m:rPr>
          <m:t>−</m:t>
        </m:r>
        <m:d>
          <m:dPr>
            <m:begChr m:val="("/>
            <m:endChr m:val=")"/>
            <m:sepChr m:val=""/>
            <m:grow/>
          </m:dPr>
          <m:e>
            <m:sSub>
              <m:e>
                <m:r>
                  <m:t>v</m:t>
                </m:r>
              </m:e>
              <m:sub>
                <m:r>
                  <m:t>j</m:t>
                </m:r>
              </m:sub>
            </m:sSub>
            <m:r>
              <m:rPr>
                <m:sty m:val="p"/>
              </m:rPr>
              <m:t>−</m:t>
            </m:r>
            <m:sSub>
              <m:e>
                <m:r>
                  <m:t>v</m:t>
                </m:r>
              </m:e>
              <m:sub>
                <m:r>
                  <m:t>i</m:t>
                </m:r>
              </m:sub>
            </m:sSub>
          </m:e>
        </m:d>
      </m:oMath>
      <w:r>
        <w:t xml:space="preserve"> </w:t>
      </w:r>
      <w:r>
        <w:t xml:space="preserve">and</w:t>
      </w:r>
      <w:r>
        <w:t xml:space="preserve"> </w:t>
      </w:r>
      <m:oMath>
        <m:r>
          <m:rPr>
            <m:sty m:val="p"/>
          </m:rPr>
          <m:t>∥</m:t>
        </m:r>
        <m:sSub>
          <m:e>
            <m:r>
              <m:t>v</m:t>
            </m:r>
          </m:e>
          <m:sub>
            <m:r>
              <m:t>i</m:t>
            </m:r>
          </m:sub>
        </m:sSub>
        <m:r>
          <m:rPr>
            <m:sty m:val="p"/>
          </m:rPr>
          <m:t>−</m:t>
        </m:r>
        <m:sSub>
          <m:e>
            <m:r>
              <m:t>v</m:t>
            </m:r>
          </m:e>
          <m:sub>
            <m:r>
              <m:t>j</m:t>
            </m:r>
          </m:sub>
        </m:sSub>
        <m:r>
          <m:rPr>
            <m:sty m:val="p"/>
          </m:rPr>
          <m:t>∥</m:t>
        </m:r>
        <m:r>
          <m:rPr>
            <m:sty m:val="p"/>
          </m:rPr>
          <m:t>=</m:t>
        </m:r>
        <m:r>
          <m:rPr>
            <m:sty m:val="p"/>
          </m:rPr>
          <m:t>∥</m:t>
        </m:r>
        <m:sSub>
          <m:e>
            <m:r>
              <m:t>v</m:t>
            </m:r>
          </m:e>
          <m:sub>
            <m:r>
              <m:t>j</m:t>
            </m:r>
          </m:sub>
        </m:sSub>
        <m:r>
          <m:rPr>
            <m:sty m:val="p"/>
          </m:rPr>
          <m:t>−</m:t>
        </m:r>
        <m:sSub>
          <m:e>
            <m:r>
              <m:t>v</m:t>
            </m:r>
          </m:e>
          <m:sub>
            <m:r>
              <m:t>i</m:t>
            </m:r>
          </m:sub>
        </m:sSub>
        <m:r>
          <m:rPr>
            <m:sty m:val="p"/>
          </m:rPr>
          <m:t>∥</m:t>
        </m:r>
      </m:oMath>
      <w:r>
        <w:t xml:space="preserve">. This property is crucial for ensuring global conservation of the advective flux (</w:t>
      </w:r>
      <m:oMath>
        <m:nary>
          <m:naryPr>
            <m:chr m:val="∑"/>
            <m:limLoc m:val="undOvr"/>
            <m:subHide m:val="off"/>
            <m:supHide m:val="on"/>
          </m:naryPr>
          <m:sub>
            <m:r>
              <m:t>i</m:t>
            </m:r>
          </m:sub>
          <m:sup>
            <m:r>
              <m:t>​</m:t>
            </m:r>
          </m:sup>
          <m:e>
            <m:sSubSup>
              <m:e>
                <m:r>
                  <m:t>F</m:t>
                </m:r>
              </m:e>
              <m:sub>
                <m:r>
                  <m:t>i</m:t>
                </m:r>
              </m:sub>
              <m:sup>
                <m:r>
                  <m:rPr>
                    <m:nor/>
                    <m:sty m:val="p"/>
                  </m:rPr>
                  <m:t>adv</m:t>
                </m:r>
              </m:sup>
            </m:sSubSup>
          </m:e>
        </m:nary>
        <m:r>
          <m:rPr>
            <m:sty m:val="p"/>
          </m:rPr>
          <m:t>=</m:t>
        </m:r>
        <m:r>
          <m:t>0</m:t>
        </m:r>
      </m:oMath>
      <w:r>
        <w:t xml:space="preserve">).</w:t>
      </w:r>
    </w:p>
    <w:p>
      <w:pPr>
        <w:pStyle w:val="BodyText"/>
      </w:pPr>
      <w:r>
        <w:rPr>
          <w:bCs/>
          <w:b/>
        </w:rPr>
        <w:t xml:space="preserve">Governing equation.</w:t>
      </w:r>
      <w:r>
        <w:t xml:space="preserve"> </w:t>
      </w:r>
      <w:r>
        <w:t xml:space="preserve">The continuous convection-diffusion equation</w:t>
      </w:r>
    </w:p>
    <w:p>
      <w:pPr>
        <w:pStyle w:val="BodyText"/>
      </w:pPr>
      <m:oMathPara>
        <m:oMathParaPr>
          <m:jc m:val="center"/>
        </m:oMathParaPr>
        <m:oMath>
          <m:f>
            <m:fPr>
              <m:type m:val="bar"/>
            </m:fPr>
            <m:num>
              <m:r>
                <m:rPr>
                  <m:sty m:val="p"/>
                </m:rPr>
                <m:t>∂</m:t>
              </m:r>
              <m:r>
                <m:t>C</m:t>
              </m:r>
            </m:num>
            <m:den>
              <m:r>
                <m:rPr>
                  <m:sty m:val="p"/>
                </m:rPr>
                <m:t>∂</m:t>
              </m:r>
              <m:r>
                <m:t>t</m:t>
              </m:r>
            </m:den>
          </m:f>
          <m:r>
            <m:rPr>
              <m:sty m:val="p"/>
            </m:rPr>
            <m:t>=</m:t>
          </m:r>
          <m:r>
            <m:t>D</m:t>
          </m:r>
          <m:sSup>
            <m:e>
              <m:r>
                <m:rPr>
                  <m:sty m:val="p"/>
                </m:rPr>
                <m:t>∇</m:t>
              </m:r>
            </m:e>
            <m:sup>
              <m:r>
                <m:t>2</m:t>
              </m:r>
            </m:sup>
          </m:sSup>
          <m:r>
            <m:t>C</m:t>
          </m:r>
          <m:r>
            <m:rPr>
              <m:sty m:val="p"/>
            </m:rPr>
            <m:t>−</m:t>
          </m:r>
          <m:r>
            <m:rPr>
              <m:sty m:val="p"/>
            </m:rPr>
            <m:t>∇</m:t>
          </m:r>
          <m:r>
            <m:rPr>
              <m:sty m:val="p"/>
            </m:rPr>
            <m:t>⋅</m:t>
          </m:r>
          <m:d>
            <m:dPr>
              <m:begChr m:val="("/>
              <m:endChr m:val=")"/>
              <m:sepChr m:val=""/>
              <m:grow/>
            </m:dPr>
            <m:e>
              <m:acc>
                <m:accPr>
                  <m:chr m:val="⃗"/>
                </m:accPr>
                <m:e>
                  <m:r>
                    <m:t>u</m:t>
                  </m:r>
                </m:e>
              </m:acc>
              <m:r>
                <m:t>C</m:t>
              </m:r>
            </m:e>
          </m:d>
        </m:oMath>
      </m:oMathPara>
    </w:p>
    <w:p>
      <w:pPr>
        <w:pStyle w:val="FirstParagraph"/>
      </w:pPr>
      <w:r>
        <w:t xml:space="preserve">is discretized on the graph using a</w:t>
      </w:r>
      <w:r>
        <w:t xml:space="preserve"> </w:t>
      </w:r>
      <w:r>
        <w:rPr>
          <w:bCs/>
          <w:b/>
        </w:rPr>
        <w:t xml:space="preserve">conservative upwind scheme</w:t>
      </w:r>
      <w:r>
        <w:t xml:space="preserve">:</w:t>
      </w:r>
    </w:p>
    <w:p>
      <w:pPr>
        <w:pStyle w:val="BodyText"/>
      </w:pPr>
      <m:oMathPara>
        <m:oMathParaPr>
          <m:jc m:val="center"/>
        </m:oMathParaPr>
        <m:oMath>
          <m:sSub>
            <m:e>
              <m:r>
                <m:t>C</m:t>
              </m:r>
            </m:e>
            <m:sub>
              <m:r>
                <m:t>t</m:t>
              </m:r>
              <m:r>
                <m:rPr>
                  <m:sty m:val="p"/>
                </m:rPr>
                <m:t>+</m:t>
              </m:r>
              <m:r>
                <m:t>1</m:t>
              </m:r>
            </m:sub>
          </m:sSub>
          <m:d>
            <m:dPr>
              <m:begChr m:val="("/>
              <m:endChr m:val=")"/>
              <m:sepChr m:val=""/>
              <m:grow/>
            </m:dPr>
            <m:e>
              <m:r>
                <m:t>i</m:t>
              </m:r>
            </m:e>
          </m:d>
          <m:r>
            <m:rPr>
              <m:sty m:val="p"/>
            </m:rPr>
            <m:t>=</m:t>
          </m:r>
          <m:sSub>
            <m:e>
              <m:r>
                <m:t>C</m:t>
              </m:r>
            </m:e>
            <m:sub>
              <m:r>
                <m:t>t</m:t>
              </m:r>
            </m:sub>
          </m:sSub>
          <m:d>
            <m:dPr>
              <m:begChr m:val="("/>
              <m:endChr m:val=")"/>
              <m:sepChr m:val=""/>
              <m:grow/>
            </m:dPr>
            <m:e>
              <m:r>
                <m:t>i</m:t>
              </m:r>
            </m:e>
          </m:d>
          <m:r>
            <m:rPr>
              <m:sty m:val="p"/>
            </m:rPr>
            <m:t>+</m:t>
          </m:r>
          <m:r>
            <m:t>Δ</m:t>
          </m:r>
          <m:r>
            <m:t>t</m:t>
          </m:r>
          <m:r>
            <m:rPr>
              <m:sty m:val="p"/>
            </m:rPr>
            <m:t>⋅</m:t>
          </m:r>
          <m:d>
            <m:dPr>
              <m:begChr m:val="["/>
              <m:endChr m:val="]"/>
              <m:sepChr m:val=""/>
              <m:grow/>
            </m:dPr>
            <m:e>
              <m:limLow>
                <m:e>
                  <m:limLow>
                    <m:e>
                      <m:r>
                        <m:t>D</m:t>
                      </m:r>
                      <m:nary>
                        <m:naryPr>
                          <m:chr m:val="∑"/>
                          <m:limLoc m:val="undOvr"/>
                          <m:subHide m:val="off"/>
                          <m:supHide m:val="on"/>
                        </m:naryPr>
                        <m:sub>
                          <m:r>
                            <m:t>j</m:t>
                          </m:r>
                          <m:r>
                            <m:rPr>
                              <m:sty m:val="p"/>
                            </m:rPr>
                            <m:t>∈</m:t>
                          </m:r>
                          <m:r>
                            <m:rPr>
                              <m:sty m:val="p"/>
                              <m:scr m:val="script"/>
                            </m:rPr>
                            <m:t>N</m:t>
                          </m:r>
                          <m:d>
                            <m:dPr>
                              <m:begChr m:val="("/>
                              <m:endChr m:val=")"/>
                              <m:sepChr m:val=""/>
                              <m:grow/>
                            </m:dPr>
                            <m:e>
                              <m:r>
                                <m:t>i</m:t>
                              </m:r>
                            </m:e>
                          </m:d>
                        </m:sub>
                        <m:sup>
                          <m:r>
                            <m:t>​</m:t>
                          </m:r>
                        </m:sup>
                        <m:e>
                          <m:sSub>
                            <m:e>
                              <m:r>
                                <m:t>W</m:t>
                              </m:r>
                            </m:e>
                            <m:sub>
                              <m:r>
                                <m:t>i</m:t>
                              </m:r>
                              <m:r>
                                <m:t>j</m:t>
                              </m:r>
                            </m:sub>
                          </m:sSub>
                        </m:e>
                      </m:nary>
                      <m:r>
                        <m:t> </m:t>
                      </m:r>
                      <m:d>
                        <m:dPr>
                          <m:begChr m:val="("/>
                          <m:endChr m:val=")"/>
                          <m:sepChr m:val=""/>
                          <m:grow/>
                        </m:dPr>
                        <m:e>
                          <m:sSub>
                            <m:e>
                              <m:r>
                                <m:t>C</m:t>
                              </m:r>
                            </m:e>
                            <m:sub>
                              <m:r>
                                <m:t>t</m:t>
                              </m:r>
                            </m:sub>
                          </m:sSub>
                          <m:d>
                            <m:dPr>
                              <m:begChr m:val="("/>
                              <m:endChr m:val=")"/>
                              <m:sepChr m:val=""/>
                              <m:grow/>
                            </m:dPr>
                            <m:e>
                              <m:r>
                                <m:t>j</m:t>
                              </m:r>
                            </m:e>
                          </m:d>
                          <m:r>
                            <m:rPr>
                              <m:sty m:val="p"/>
                            </m:rPr>
                            <m:t>−</m:t>
                          </m:r>
                          <m:sSub>
                            <m:e>
                              <m:r>
                                <m:t>C</m:t>
                              </m:r>
                            </m:e>
                            <m:sub>
                              <m:r>
                                <m:t>t</m:t>
                              </m:r>
                            </m:sub>
                          </m:sSub>
                          <m:d>
                            <m:dPr>
                              <m:begChr m:val="("/>
                              <m:endChr m:val=")"/>
                              <m:sepChr m:val=""/>
                              <m:grow/>
                            </m:dPr>
                            <m:e>
                              <m:r>
                                <m:t>i</m:t>
                              </m:r>
                            </m:e>
                          </m:d>
                        </m:e>
                      </m:d>
                    </m:e>
                    <m:lim>
                      <m:r>
                        <m:rPr>
                          <m:sty m:val="p"/>
                        </m:rPr>
                        <m:t>⏟</m:t>
                      </m:r>
                    </m:lim>
                  </m:limLow>
                </m:e>
                <m:lim>
                  <m:r>
                    <m:rPr>
                      <m:nor/>
                      <m:sty m:val="p"/>
                    </m:rPr>
                    <m:t>diffusion flux</m:t>
                  </m:r>
                </m:lim>
              </m:limLow>
              <m:r>
                <m:rPr>
                  <m:sty m:val="p"/>
                </m:rPr>
                <m:t>+</m:t>
              </m:r>
              <m:limLow>
                <m:e>
                  <m:limLow>
                    <m:e>
                      <m:nary>
                        <m:naryPr>
                          <m:chr m:val="∑"/>
                          <m:limLoc m:val="undOvr"/>
                          <m:subHide m:val="off"/>
                          <m:supHide m:val="on"/>
                        </m:naryPr>
                        <m:sub>
                          <m:r>
                            <m:t>j</m:t>
                          </m:r>
                          <m:r>
                            <m:rPr>
                              <m:sty m:val="p"/>
                            </m:rPr>
                            <m:t>∈</m:t>
                          </m:r>
                          <m:r>
                            <m:rPr>
                              <m:sty m:val="p"/>
                              <m:scr m:val="script"/>
                            </m:rPr>
                            <m:t>N</m:t>
                          </m:r>
                          <m:d>
                            <m:dPr>
                              <m:begChr m:val="("/>
                              <m:endChr m:val=")"/>
                              <m:sepChr m:val=""/>
                              <m:grow/>
                            </m:dPr>
                            <m:e>
                              <m:r>
                                <m:t>i</m:t>
                              </m:r>
                            </m:e>
                          </m:d>
                        </m:sub>
                        <m:sup>
                          <m:r>
                            <m:t>​</m:t>
                          </m:r>
                        </m:sup>
                        <m:e>
                          <m:sSub>
                            <m:e>
                              <m:r>
                                <m:t>W</m:t>
                              </m:r>
                            </m:e>
                            <m:sub>
                              <m:r>
                                <m:t>i</m:t>
                              </m:r>
                              <m:r>
                                <m:t>j</m:t>
                              </m:r>
                            </m:sub>
                          </m:sSub>
                        </m:e>
                      </m:nary>
                      <m:d>
                        <m:dPr>
                          <m:begChr m:val="["/>
                          <m:endChr m:val="]"/>
                          <m:sepChr m:val=""/>
                          <m:grow/>
                        </m:dPr>
                        <m:e>
                          <m:r>
                            <m:rPr>
                              <m:sty m:val="p"/>
                            </m:rPr>
                            <m:t>max</m:t>
                          </m:r>
                          <m:d>
                            <m:dPr>
                              <m:begChr m:val="("/>
                              <m:endChr m:val=")"/>
                              <m:sepChr m:val=""/>
                              <m:grow/>
                            </m:dPr>
                            <m:e>
                              <m:sSub>
                                <m:e>
                                  <m:r>
                                    <m:t>u</m:t>
                                  </m:r>
                                </m:e>
                                <m:sub>
                                  <m:r>
                                    <m:t>j</m:t>
                                  </m:r>
                                  <m:r>
                                    <m:t>i</m:t>
                                  </m:r>
                                </m:sub>
                              </m:sSub>
                              <m:r>
                                <m:rPr>
                                  <m:sty m:val="p"/>
                                </m:rPr>
                                <m:t>,</m:t>
                              </m:r>
                              <m:r>
                                <m:t>0</m:t>
                              </m:r>
                            </m:e>
                          </m:d>
                          <m:r>
                            <m:t> </m:t>
                          </m:r>
                          <m:sSub>
                            <m:e>
                              <m:r>
                                <m:t>C</m:t>
                              </m:r>
                            </m:e>
                            <m:sub>
                              <m:r>
                                <m:t>t</m:t>
                              </m:r>
                            </m:sub>
                          </m:sSub>
                          <m:d>
                            <m:dPr>
                              <m:begChr m:val="("/>
                              <m:endChr m:val=")"/>
                              <m:sepChr m:val=""/>
                              <m:grow/>
                            </m:dPr>
                            <m:e>
                              <m:r>
                                <m:t>j</m:t>
                              </m:r>
                            </m:e>
                          </m:d>
                          <m:r>
                            <m:rPr>
                              <m:sty m:val="p"/>
                            </m:rPr>
                            <m:t>−</m:t>
                          </m:r>
                          <m:r>
                            <m:rPr>
                              <m:sty m:val="p"/>
                            </m:rPr>
                            <m:t>max</m:t>
                          </m:r>
                          <m:d>
                            <m:dPr>
                              <m:begChr m:val="("/>
                              <m:endChr m:val=")"/>
                              <m:sepChr m:val=""/>
                              <m:grow/>
                            </m:dPr>
                            <m:e>
                              <m:sSub>
                                <m:e>
                                  <m:r>
                                    <m:t>u</m:t>
                                  </m:r>
                                </m:e>
                                <m:sub>
                                  <m:r>
                                    <m:t>i</m:t>
                                  </m:r>
                                  <m:r>
                                    <m:t>j</m:t>
                                  </m:r>
                                </m:sub>
                              </m:sSub>
                              <m:r>
                                <m:rPr>
                                  <m:sty m:val="p"/>
                                </m:rPr>
                                <m:t>,</m:t>
                              </m:r>
                              <m:r>
                                <m:t>0</m:t>
                              </m:r>
                            </m:e>
                          </m:d>
                          <m:r>
                            <m:t> </m:t>
                          </m:r>
                          <m:sSub>
                            <m:e>
                              <m:r>
                                <m:t>C</m:t>
                              </m:r>
                            </m:e>
                            <m:sub>
                              <m:r>
                                <m:t>t</m:t>
                              </m:r>
                            </m:sub>
                          </m:sSub>
                          <m:d>
                            <m:dPr>
                              <m:begChr m:val="("/>
                              <m:endChr m:val=")"/>
                              <m:sepChr m:val=""/>
                              <m:grow/>
                            </m:dPr>
                            <m:e>
                              <m:r>
                                <m:t>i</m:t>
                              </m:r>
                            </m:e>
                          </m:d>
                        </m:e>
                      </m:d>
                    </m:e>
                    <m:lim>
                      <m:r>
                        <m:rPr>
                          <m:sty m:val="p"/>
                        </m:rPr>
                        <m:t>⏟</m:t>
                      </m:r>
                    </m:lim>
                  </m:limLow>
                </m:e>
                <m:lim>
                  <m:r>
                    <m:rPr>
                      <m:nor/>
                      <m:sty m:val="p"/>
                    </m:rPr>
                    <m:t>conservative upwind advection flux</m:t>
                  </m:r>
                </m:lim>
              </m:limLow>
            </m:e>
          </m:d>
        </m:oMath>
      </m:oMathPara>
    </w:p>
    <w:p>
      <w:pPr>
        <w:pStyle w:val="FirstParagraph"/>
      </w:pPr>
      <w:r>
        <w:t xml:space="preserve">The upwind discretization is essential for numerical stability. A naive central-difference scheme (</w:t>
      </w:r>
      <m:oMath>
        <m:sSub>
          <m:e>
            <m:r>
              <m:t>u</m:t>
            </m:r>
          </m:e>
          <m:sub>
            <m:r>
              <m:t>i</m:t>
            </m:r>
            <m:r>
              <m:t>j</m:t>
            </m:r>
          </m:sub>
        </m:sSub>
        <m:sSub>
          <m:e>
            <m:r>
              <m:t>W</m:t>
            </m:r>
          </m:e>
          <m:sub>
            <m:r>
              <m:t>i</m:t>
            </m:r>
            <m:r>
              <m:t>j</m:t>
            </m:r>
          </m:sub>
        </m:sSub>
        <m:d>
          <m:dPr>
            <m:begChr m:val="("/>
            <m:endChr m:val=")"/>
            <m:sepChr m:val=""/>
            <m:grow/>
          </m:dPr>
          <m:e>
            <m:sSub>
              <m:e>
                <m:r>
                  <m:t>C</m:t>
                </m:r>
              </m:e>
              <m:sub>
                <m:r>
                  <m:t>j</m:t>
                </m:r>
              </m:sub>
            </m:sSub>
            <m:r>
              <m:rPr>
                <m:sty m:val="p"/>
              </m:rPr>
              <m:t>−</m:t>
            </m:r>
            <m:sSub>
              <m:e>
                <m:r>
                  <m:t>C</m:t>
                </m:r>
              </m:e>
              <m:sub>
                <m:r>
                  <m:t>i</m:t>
                </m:r>
              </m:sub>
            </m:sSub>
          </m:e>
        </m:d>
      </m:oMath>
      <w:r>
        <w:t xml:space="preserve">) produces non-physical oscillations when the local Péclet number exceeds 2. The upwind scheme resolves this by always sampling concentration from the upstream node, preserving the causal direction of information transport.</w:t>
      </w:r>
    </w:p>
    <w:p>
      <w:pPr>
        <w:pStyle w:val="BodyText"/>
      </w:pPr>
      <w:r>
        <w:rPr>
          <w:bCs/>
          <w:b/>
        </w:rPr>
        <w:t xml:space="preserve">Global conservation.</w:t>
      </w:r>
      <w:r>
        <w:t xml:space="preserve"> </w:t>
      </w:r>
      <w:r>
        <w:t xml:space="preserve">We prove that the total concentration is conserved at each time step:</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Sup>
                <m:e>
                  <m:r>
                    <m:t>F</m:t>
                  </m:r>
                </m:e>
                <m:sub>
                  <m:r>
                    <m:t>i</m:t>
                  </m:r>
                </m:sub>
                <m:sup>
                  <m:r>
                    <m:rPr>
                      <m:nor/>
                      <m:sty m:val="p"/>
                    </m:rPr>
                    <m:t>adv</m:t>
                  </m:r>
                </m:sup>
              </m:sSubSup>
            </m:e>
          </m:nary>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n"/>
                </m:naryPr>
                <m:sub>
                  <m:r>
                    <m:t>j</m:t>
                  </m:r>
                  <m:r>
                    <m:rPr>
                      <m:sty m:val="p"/>
                    </m:rPr>
                    <m:t>∈</m:t>
                  </m:r>
                  <m:r>
                    <m:rPr>
                      <m:sty m:val="p"/>
                      <m:scr m:val="script"/>
                    </m:rPr>
                    <m:t>N</m:t>
                  </m:r>
                  <m:d>
                    <m:dPr>
                      <m:begChr m:val="("/>
                      <m:endChr m:val=")"/>
                      <m:sepChr m:val=""/>
                      <m:grow/>
                    </m:dPr>
                    <m:e>
                      <m:r>
                        <m:t>i</m:t>
                      </m:r>
                    </m:e>
                  </m:d>
                </m:sub>
                <m:sup>
                  <m:r>
                    <m:t>​</m:t>
                  </m:r>
                </m:sup>
                <m:e>
                  <m:sSub>
                    <m:e>
                      <m:r>
                        <m:t>W</m:t>
                      </m:r>
                    </m:e>
                    <m:sub>
                      <m:r>
                        <m:t>i</m:t>
                      </m:r>
                      <m:r>
                        <m:t>j</m:t>
                      </m:r>
                    </m:sub>
                  </m:sSub>
                </m:e>
              </m:nary>
            </m:e>
          </m:nary>
          <m:d>
            <m:dPr>
              <m:begChr m:val="["/>
              <m:endChr m:val="]"/>
              <m:sepChr m:val=""/>
              <m:grow/>
            </m:dPr>
            <m:e>
              <m:r>
                <m:rPr>
                  <m:sty m:val="p"/>
                </m:rPr>
                <m:t>max</m:t>
              </m:r>
              <m:d>
                <m:dPr>
                  <m:begChr m:val="("/>
                  <m:endChr m:val=")"/>
                  <m:sepChr m:val=""/>
                  <m:grow/>
                </m:dPr>
                <m:e>
                  <m:sSub>
                    <m:e>
                      <m:r>
                        <m:t>u</m:t>
                      </m:r>
                    </m:e>
                    <m:sub>
                      <m:r>
                        <m:t>j</m:t>
                      </m:r>
                      <m:r>
                        <m:t>i</m:t>
                      </m:r>
                    </m:sub>
                  </m:sSub>
                  <m:r>
                    <m:rPr>
                      <m:sty m:val="p"/>
                    </m:rPr>
                    <m:t>,</m:t>
                  </m:r>
                  <m:r>
                    <m:t>0</m:t>
                  </m:r>
                </m:e>
              </m:d>
              <m:r>
                <m:t> </m:t>
              </m:r>
              <m:sSub>
                <m:e>
                  <m:r>
                    <m:t>C</m:t>
                  </m:r>
                </m:e>
                <m:sub>
                  <m:r>
                    <m:t>j</m:t>
                  </m:r>
                </m:sub>
              </m:sSub>
              <m:r>
                <m:rPr>
                  <m:sty m:val="p"/>
                </m:rPr>
                <m:t>−</m:t>
              </m:r>
              <m:r>
                <m:rPr>
                  <m:sty m:val="p"/>
                </m:rPr>
                <m:t>max</m:t>
              </m:r>
              <m:d>
                <m:dPr>
                  <m:begChr m:val="("/>
                  <m:endChr m:val=")"/>
                  <m:sepChr m:val=""/>
                  <m:grow/>
                </m:dPr>
                <m:e>
                  <m:sSub>
                    <m:e>
                      <m:r>
                        <m:t>u</m:t>
                      </m:r>
                    </m:e>
                    <m:sub>
                      <m:r>
                        <m:t>i</m:t>
                      </m:r>
                      <m:r>
                        <m:t>j</m:t>
                      </m:r>
                    </m:sub>
                  </m:sSub>
                  <m:r>
                    <m:rPr>
                      <m:sty m:val="p"/>
                    </m:rPr>
                    <m:t>,</m:t>
                  </m:r>
                  <m:r>
                    <m:t>0</m:t>
                  </m:r>
                </m:e>
              </m:d>
              <m:r>
                <m:t> </m:t>
              </m:r>
              <m:sSub>
                <m:e>
                  <m:r>
                    <m:t>C</m:t>
                  </m:r>
                </m:e>
                <m:sub>
                  <m:r>
                    <m:t>i</m:t>
                  </m:r>
                </m:sub>
              </m:sSub>
            </m:e>
          </m:d>
          <m:r>
            <m:rPr>
              <m:sty m:val="p"/>
            </m:rPr>
            <m:t>=</m:t>
          </m:r>
          <m:r>
            <m:t>0</m:t>
          </m:r>
        </m:oMath>
      </m:oMathPara>
    </w:p>
    <w:p>
      <w:pPr>
        <w:pStyle w:val="FirstParagraph"/>
      </w:pPr>
      <w:r>
        <w:rPr>
          <w:iCs/>
          <w:i/>
        </w:rPr>
        <w:t xml:space="preserve">Proof.</w:t>
      </w:r>
      <w:r>
        <w:t xml:space="preserve"> </w:t>
      </w:r>
      <w:r>
        <w:t xml:space="preserve">Since the graph is undirected (</w:t>
      </w:r>
      <m:oMath>
        <m:sSub>
          <m:e>
            <m:r>
              <m:t>W</m:t>
            </m:r>
          </m:e>
          <m:sub>
            <m:r>
              <m:t>i</m:t>
            </m:r>
            <m:r>
              <m:t>j</m:t>
            </m:r>
          </m:sub>
        </m:sSub>
        <m:r>
          <m:rPr>
            <m:sty m:val="p"/>
          </m:rPr>
          <m:t>=</m:t>
        </m:r>
        <m:sSub>
          <m:e>
            <m:r>
              <m:t>W</m:t>
            </m:r>
          </m:e>
          <m:sub>
            <m:r>
              <m:t>j</m:t>
            </m:r>
            <m:r>
              <m:t>i</m:t>
            </m:r>
          </m:sub>
        </m:sSub>
      </m:oMath>
      <w:r>
        <w:t xml:space="preserve">) and</w:t>
      </w:r>
      <w:r>
        <w:t xml:space="preserve"> </w:t>
      </w:r>
      <m:oMath>
        <m:sSub>
          <m:e>
            <m:r>
              <m:t>u</m:t>
            </m:r>
          </m:e>
          <m:sub>
            <m:r>
              <m:t>j</m:t>
            </m:r>
            <m:r>
              <m:t>i</m:t>
            </m:r>
          </m:sub>
        </m:sSub>
        <m:r>
          <m:rPr>
            <m:sty m:val="p"/>
          </m:rPr>
          <m:t>=</m:t>
        </m:r>
        <m:r>
          <m:rPr>
            <m:sty m:val="p"/>
          </m:rPr>
          <m:t>−</m:t>
        </m:r>
        <m:sSub>
          <m:e>
            <m:r>
              <m:t>u</m:t>
            </m:r>
          </m:e>
          <m:sub>
            <m:r>
              <m:t>i</m:t>
            </m:r>
            <m:r>
              <m:t>j</m:t>
            </m:r>
          </m:sub>
        </m:sSub>
      </m:oMath>
      <w:r>
        <w:t xml:space="preserve">, each ordered pair</w:t>
      </w:r>
      <w:r>
        <w:t xml:space="preserve"> </w:t>
      </w:r>
      <m:oMath>
        <m:d>
          <m:dPr>
            <m:begChr m:val="("/>
            <m:endChr m:val=")"/>
            <m:sepChr m:val=""/>
            <m:grow/>
          </m:dPr>
          <m:e>
            <m:r>
              <m:t>i</m:t>
            </m:r>
            <m:r>
              <m:rPr>
                <m:sty m:val="p"/>
              </m:rPr>
              <m:t>,</m:t>
            </m:r>
            <m:r>
              <m:t>j</m:t>
            </m:r>
          </m:e>
        </m:d>
      </m:oMath>
      <w:r>
        <w:t xml:space="preserve"> </w:t>
      </w:r>
      <w:r>
        <w:t xml:space="preserve">contributes a flux of</w:t>
      </w:r>
      <w:r>
        <w:t xml:space="preserve"> </w:t>
      </w:r>
      <m:oMath>
        <m:sSub>
          <m:e>
            <m:r>
              <m:t>W</m:t>
            </m:r>
          </m:e>
          <m:sub>
            <m:r>
              <m:t>i</m:t>
            </m:r>
            <m:r>
              <m:t>j</m:t>
            </m:r>
          </m:sub>
        </m:sSub>
        <m:r>
          <m:rPr>
            <m:sty m:val="p"/>
          </m:rPr>
          <m:t>max</m:t>
        </m:r>
        <m:d>
          <m:dPr>
            <m:begChr m:val="("/>
            <m:endChr m:val=")"/>
            <m:sepChr m:val=""/>
            <m:grow/>
          </m:dPr>
          <m:e>
            <m:sSub>
              <m:e>
                <m:r>
                  <m:t>u</m:t>
                </m:r>
              </m:e>
              <m:sub>
                <m:r>
                  <m:t>j</m:t>
                </m:r>
                <m:r>
                  <m:t>i</m:t>
                </m:r>
              </m:sub>
            </m:sSub>
            <m:r>
              <m:rPr>
                <m:sty m:val="p"/>
              </m:rPr>
              <m:t>,</m:t>
            </m:r>
            <m:r>
              <m:t>0</m:t>
            </m:r>
          </m:e>
        </m:d>
        <m:sSub>
          <m:e>
            <m:r>
              <m:t>C</m:t>
            </m:r>
          </m:e>
          <m:sub>
            <m:r>
              <m:t>j</m:t>
            </m:r>
          </m:sub>
        </m:sSub>
      </m:oMath>
      <w:r>
        <w:t xml:space="preserve"> </w:t>
      </w:r>
      <w:r>
        <w:t xml:space="preserve">to node</w:t>
      </w:r>
      <w:r>
        <w:t xml:space="preserve"> </w:t>
      </w:r>
      <m:oMath>
        <m:r>
          <m:t>i</m:t>
        </m:r>
      </m:oMath>
      <w:r>
        <w:t xml:space="preserve"> </w:t>
      </w:r>
      <w:r>
        <w:t xml:space="preserve">and</w:t>
      </w:r>
      <w:r>
        <w:t xml:space="preserve"> </w:t>
      </w:r>
      <m:oMath>
        <m:sSub>
          <m:e>
            <m:r>
              <m:t>W</m:t>
            </m:r>
          </m:e>
          <m:sub>
            <m:r>
              <m:t>j</m:t>
            </m:r>
            <m:r>
              <m:t>i</m:t>
            </m:r>
          </m:sub>
        </m:sSub>
        <m:r>
          <m:rPr>
            <m:sty m:val="p"/>
          </m:rPr>
          <m:t>max</m:t>
        </m:r>
        <m:d>
          <m:dPr>
            <m:begChr m:val="("/>
            <m:endChr m:val=")"/>
            <m:sepChr m:val=""/>
            <m:grow/>
          </m:dPr>
          <m:e>
            <m:sSub>
              <m:e>
                <m:r>
                  <m:t>u</m:t>
                </m:r>
              </m:e>
              <m:sub>
                <m:r>
                  <m:t>i</m:t>
                </m:r>
                <m:r>
                  <m:t>j</m:t>
                </m:r>
              </m:sub>
            </m:sSub>
            <m:r>
              <m:rPr>
                <m:sty m:val="p"/>
              </m:rPr>
              <m:t>,</m:t>
            </m:r>
            <m:r>
              <m:t>0</m:t>
            </m:r>
          </m:e>
        </m:d>
        <m:sSub>
          <m:e>
            <m:r>
              <m:t>C</m:t>
            </m:r>
          </m:e>
          <m:sub>
            <m:r>
              <m:t>i</m:t>
            </m:r>
          </m:sub>
        </m:sSub>
      </m:oMath>
      <w:r>
        <w:t xml:space="preserve"> </w:t>
      </w:r>
      <w:r>
        <w:t xml:space="preserve">outward from node</w:t>
      </w:r>
      <w:r>
        <w:t xml:space="preserve"> </w:t>
      </w:r>
      <m:oMath>
        <m:r>
          <m:t>j</m:t>
        </m:r>
      </m:oMath>
      <w:r>
        <w:t xml:space="preserve"> </w:t>
      </w:r>
      <w:r>
        <w:t xml:space="preserve">(equivalently,</w:t>
      </w:r>
      <w:r>
        <w:t xml:space="preserve"> </w:t>
      </w:r>
      <m:oMath>
        <m:r>
          <m:rPr>
            <m:sty m:val="p"/>
          </m:rPr>
          <m:t>−</m:t>
        </m:r>
        <m:sSub>
          <m:e>
            <m:r>
              <m:t>W</m:t>
            </m:r>
          </m:e>
          <m:sub>
            <m:r>
              <m:t>i</m:t>
            </m:r>
            <m:r>
              <m:t>j</m:t>
            </m:r>
          </m:sub>
        </m:sSub>
        <m:r>
          <m:rPr>
            <m:sty m:val="p"/>
          </m:rPr>
          <m:t>max</m:t>
        </m:r>
        <m:d>
          <m:dPr>
            <m:begChr m:val="("/>
            <m:endChr m:val=")"/>
            <m:sepChr m:val=""/>
            <m:grow/>
          </m:dPr>
          <m:e>
            <m:sSub>
              <m:e>
                <m:r>
                  <m:t>u</m:t>
                </m:r>
              </m:e>
              <m:sub>
                <m:r>
                  <m:t>i</m:t>
                </m:r>
                <m:r>
                  <m:t>j</m:t>
                </m:r>
              </m:sub>
            </m:sSub>
            <m:r>
              <m:rPr>
                <m:sty m:val="p"/>
              </m:rPr>
              <m:t>,</m:t>
            </m:r>
            <m:r>
              <m:t>0</m:t>
            </m:r>
          </m:e>
        </m:d>
        <m:sSub>
          <m:e>
            <m:r>
              <m:t>C</m:t>
            </m:r>
          </m:e>
          <m:sub>
            <m:r>
              <m:t>i</m:t>
            </m:r>
          </m:sub>
        </m:sSub>
      </m:oMath>
      <w:r>
        <w:t xml:space="preserve"> </w:t>
      </w:r>
      <w:r>
        <w:t xml:space="preserve">at node</w:t>
      </w:r>
      <w:r>
        <w:t xml:space="preserve"> </w:t>
      </w:r>
      <m:oMath>
        <m:r>
          <m:t>i</m:t>
        </m:r>
      </m:oMath>
      <w:r>
        <w:t xml:space="preserve">). Summing over all edges, each pair’s contributions cancel exactly.</w:t>
      </w:r>
      <w:r>
        <w:t xml:space="preserve"> </w:t>
      </w:r>
      <m:oMath>
        <m:r>
          <m:rPr>
            <m:sty m:val="p"/>
          </m:rPr>
          <m:t>◼</m:t>
        </m:r>
      </m:oMath>
    </w:p>
    <w:p>
      <w:pPr>
        <w:pStyle w:val="BodyText"/>
      </w:pPr>
      <w:r>
        <w:t xml:space="preserve">This conservation property guarantees that the reranking process redistributes relevance scores without creating or destroying total</w:t>
      </w:r>
      <w:r>
        <w:t xml:space="preserve"> </w:t>
      </w:r>
      <w:r>
        <w:t xml:space="preserve">“</w:t>
      </w:r>
      <w:r>
        <w:t xml:space="preserve">score mass</w:t>
      </w:r>
      <w:r>
        <w:t xml:space="preserve">”</w:t>
      </w:r>
      <w:r>
        <w:t xml:space="preserve">—a desirable property that prevents score inflation or deflation.</w:t>
      </w:r>
    </w:p>
    <w:p>
      <w:pPr>
        <w:pStyle w:val="BodyText"/>
      </w:pPr>
      <w:r>
        <w:rPr>
          <w:bCs/>
          <w:b/>
        </w:rPr>
        <w:t xml:space="preserve">CFL stability condition.</w:t>
      </w:r>
      <w:r>
        <w:t xml:space="preserve"> </w:t>
      </w:r>
      <w:r>
        <w:t xml:space="preserve">To ensure absolute stability of the explicit time integration (non-negative concentrations and absence of numerical oscillations), we require that the coefficient of</w:t>
      </w:r>
      <w:r>
        <w:t xml:space="preserve"> </w:t>
      </w:r>
      <m:oMath>
        <m:sSub>
          <m:e>
            <m:r>
              <m:t>C</m:t>
            </m:r>
          </m:e>
          <m:sub>
            <m:r>
              <m:t>t</m:t>
            </m:r>
          </m:sub>
        </m:sSub>
        <m:d>
          <m:dPr>
            <m:begChr m:val="("/>
            <m:endChr m:val=")"/>
            <m:sepChr m:val=""/>
            <m:grow/>
          </m:dPr>
          <m:e>
            <m:r>
              <m:t>i</m:t>
            </m:r>
          </m:e>
        </m:d>
      </m:oMath>
      <w:r>
        <w:t xml:space="preserve"> </w:t>
      </w:r>
      <w:r>
        <w:t xml:space="preserve">in the update equation remains non-negative:</w:t>
      </w:r>
    </w:p>
    <w:p>
      <w:pPr>
        <w:pStyle w:val="BodyText"/>
      </w:pPr>
      <m:oMathPara>
        <m:oMathParaPr>
          <m:jc m:val="center"/>
        </m:oMathParaPr>
        <m:oMath>
          <m:r>
            <m:t>1</m:t>
          </m:r>
          <m:r>
            <m:rPr>
              <m:sty m:val="p"/>
            </m:rPr>
            <m:t>−</m:t>
          </m:r>
          <m:r>
            <m:t>Δ</m:t>
          </m:r>
          <m:r>
            <m:t>t</m:t>
          </m:r>
          <m:nary>
            <m:naryPr>
              <m:chr m:val="∑"/>
              <m:limLoc m:val="undOvr"/>
              <m:subHide m:val="off"/>
              <m:supHide m:val="on"/>
            </m:naryPr>
            <m:sub>
              <m:r>
                <m:t>j</m:t>
              </m:r>
              <m:r>
                <m:rPr>
                  <m:sty m:val="p"/>
                </m:rPr>
                <m:t>∈</m:t>
              </m:r>
              <m:r>
                <m:rPr>
                  <m:sty m:val="p"/>
                  <m:scr m:val="script"/>
                </m:rPr>
                <m:t>N</m:t>
              </m:r>
              <m:d>
                <m:dPr>
                  <m:begChr m:val="("/>
                  <m:endChr m:val=")"/>
                  <m:sepChr m:val=""/>
                  <m:grow/>
                </m:dPr>
                <m:e>
                  <m:r>
                    <m:t>i</m:t>
                  </m:r>
                </m:e>
              </m:d>
            </m:sub>
            <m:sup>
              <m:r>
                <m:t>​</m:t>
              </m:r>
            </m:sup>
            <m:e>
              <m:sSub>
                <m:e>
                  <m:r>
                    <m:t>W</m:t>
                  </m:r>
                </m:e>
                <m:sub>
                  <m:r>
                    <m:t>i</m:t>
                  </m:r>
                  <m:r>
                    <m:t>j</m:t>
                  </m:r>
                </m:sub>
              </m:sSub>
            </m:e>
          </m:nary>
          <m:d>
            <m:dPr>
              <m:begChr m:val="["/>
              <m:endChr m:val="]"/>
              <m:sepChr m:val=""/>
              <m:grow/>
            </m:dPr>
            <m:e>
              <m:r>
                <m:t>D</m:t>
              </m:r>
              <m:r>
                <m:rPr>
                  <m:sty m:val="p"/>
                </m:rPr>
                <m:t>+</m:t>
              </m:r>
              <m:r>
                <m:rPr>
                  <m:sty m:val="p"/>
                </m:rPr>
                <m:t>max</m:t>
              </m:r>
              <m:d>
                <m:dPr>
                  <m:begChr m:val="("/>
                  <m:endChr m:val=")"/>
                  <m:sepChr m:val=""/>
                  <m:grow/>
                </m:dPr>
                <m:e>
                  <m:sSub>
                    <m:e>
                      <m:r>
                        <m:t>u</m:t>
                      </m:r>
                    </m:e>
                    <m:sub>
                      <m:r>
                        <m:t>i</m:t>
                      </m:r>
                      <m:r>
                        <m:t>j</m:t>
                      </m:r>
                    </m:sub>
                  </m:sSub>
                  <m:r>
                    <m:rPr>
                      <m:sty m:val="p"/>
                    </m:rPr>
                    <m:t>,</m:t>
                  </m:r>
                  <m:r>
                    <m:t>0</m:t>
                  </m:r>
                </m:e>
              </m:d>
            </m:e>
          </m:d>
          <m:r>
            <m:rPr>
              <m:sty m:val="p"/>
            </m:rPr>
            <m:t>≥</m:t>
          </m:r>
          <m:r>
            <m:t>0</m:t>
          </m:r>
        </m:oMath>
      </m:oMathPara>
    </w:p>
    <w:p>
      <w:pPr>
        <w:pStyle w:val="FirstParagraph"/>
      </w:pPr>
      <w:r>
        <w:t xml:space="preserve">This yields the strict CFL time-step bound:</w:t>
      </w:r>
    </w:p>
    <w:p>
      <w:pPr>
        <w:pStyle w:val="BodyText"/>
      </w:pPr>
      <m:oMathPara>
        <m:oMathParaPr>
          <m:jc m:val="center"/>
        </m:oMathParaPr>
        <m:oMath>
          <m:r>
            <m:t>Δ</m:t>
          </m:r>
          <m:sSub>
            <m:e>
              <m:r>
                <m:t>t</m:t>
              </m:r>
            </m:e>
            <m:sub>
              <m:r>
                <m:rPr>
                  <m:nor/>
                  <m:sty m:val="p"/>
                </m:rPr>
                <m:t>CFL</m:t>
              </m:r>
            </m:sub>
          </m:sSub>
          <m:r>
            <m:rPr>
              <m:sty m:val="p"/>
            </m:rPr>
            <m:t>=</m:t>
          </m:r>
          <m:f>
            <m:fPr>
              <m:type m:val="bar"/>
            </m:fPr>
            <m:num>
              <m:r>
                <m:t>1</m:t>
              </m:r>
            </m:num>
            <m:den>
              <m:limLow>
                <m:e>
                  <m:r>
                    <m:rPr>
                      <m:sty m:val="p"/>
                    </m:rPr>
                    <m:t>max</m:t>
                  </m:r>
                </m:e>
                <m:lim>
                  <m:r>
                    <m:t>i</m:t>
                  </m:r>
                </m:lim>
              </m:limLow>
              <m:nary>
                <m:naryPr>
                  <m:chr m:val="∑"/>
                  <m:limLoc m:val="undOvr"/>
                  <m:subHide m:val="off"/>
                  <m:supHide m:val="on"/>
                </m:naryPr>
                <m:sub>
                  <m:r>
                    <m:t>j</m:t>
                  </m:r>
                  <m:r>
                    <m:rPr>
                      <m:sty m:val="p"/>
                    </m:rPr>
                    <m:t>∈</m:t>
                  </m:r>
                  <m:r>
                    <m:rPr>
                      <m:sty m:val="p"/>
                      <m:scr m:val="script"/>
                    </m:rPr>
                    <m:t>N</m:t>
                  </m:r>
                  <m:d>
                    <m:dPr>
                      <m:begChr m:val="("/>
                      <m:endChr m:val=")"/>
                      <m:sepChr m:val=""/>
                      <m:grow/>
                    </m:dPr>
                    <m:e>
                      <m:r>
                        <m:t>i</m:t>
                      </m:r>
                    </m:e>
                  </m:d>
                </m:sub>
                <m:sup>
                  <m:r>
                    <m:t>​</m:t>
                  </m:r>
                </m:sup>
                <m:e>
                  <m:sSub>
                    <m:e>
                      <m:r>
                        <m:t>W</m:t>
                      </m:r>
                    </m:e>
                    <m:sub>
                      <m:r>
                        <m:t>i</m:t>
                      </m:r>
                      <m:r>
                        <m:t>j</m:t>
                      </m:r>
                    </m:sub>
                  </m:sSub>
                </m:e>
              </m:nary>
              <m:d>
                <m:dPr>
                  <m:begChr m:val="("/>
                  <m:endChr m:val=")"/>
                  <m:sepChr m:val=""/>
                  <m:grow/>
                </m:dPr>
                <m:e>
                  <m:r>
                    <m:t>D</m:t>
                  </m:r>
                  <m:r>
                    <m:rPr>
                      <m:sty m:val="p"/>
                    </m:rPr>
                    <m:t>+</m:t>
                  </m:r>
                  <m:r>
                    <m:rPr>
                      <m:sty m:val="p"/>
                    </m:rPr>
                    <m:t>max</m:t>
                  </m:r>
                  <m:d>
                    <m:dPr>
                      <m:begChr m:val="("/>
                      <m:endChr m:val=")"/>
                      <m:sepChr m:val=""/>
                      <m:grow/>
                    </m:dPr>
                    <m:e>
                      <m:sSub>
                        <m:e>
                          <m:r>
                            <m:t>u</m:t>
                          </m:r>
                        </m:e>
                        <m:sub>
                          <m:r>
                            <m:t>i</m:t>
                          </m:r>
                          <m:r>
                            <m:t>j</m:t>
                          </m:r>
                        </m:sub>
                      </m:sSub>
                      <m:r>
                        <m:rPr>
                          <m:sty m:val="p"/>
                        </m:rPr>
                        <m:t>,</m:t>
                      </m:r>
                      <m:r>
                        <m:t>0</m:t>
                      </m:r>
                    </m:e>
                  </m:d>
                </m:e>
              </m:d>
            </m:den>
          </m:f>
        </m:oMath>
      </m:oMathPara>
    </w:p>
    <w:p>
      <w:pPr>
        <w:pStyle w:val="FirstParagraph"/>
      </w:pPr>
      <w:r>
        <w:t xml:space="preserve">In practice, we use</w:t>
      </w:r>
      <w:r>
        <w:t xml:space="preserve"> </w:t>
      </w:r>
      <m:oMath>
        <m:r>
          <m:t>Δ</m:t>
        </m:r>
        <m:r>
          <m:t>t</m:t>
        </m:r>
        <m:r>
          <m:rPr>
            <m:sty m:val="p"/>
          </m:rPr>
          <m:t>=</m:t>
        </m:r>
        <m:sSub>
          <m:e>
            <m:r>
              <m:t>C</m:t>
            </m:r>
          </m:e>
          <m:sub>
            <m:r>
              <m:rPr>
                <m:nor/>
                <m:sty m:val="p"/>
              </m:rPr>
              <m:t>safe</m:t>
            </m:r>
          </m:sub>
        </m:sSub>
        <m:r>
          <m:rPr>
            <m:sty m:val="p"/>
          </m:rPr>
          <m:t>⋅</m:t>
        </m:r>
        <m:r>
          <m:t>Δ</m:t>
        </m:r>
        <m:sSub>
          <m:e>
            <m:r>
              <m:t>t</m:t>
            </m:r>
          </m:e>
          <m:sub>
            <m:r>
              <m:rPr>
                <m:nor/>
                <m:sty m:val="p"/>
              </m:rPr>
              <m:t>CFL</m:t>
            </m:r>
          </m:sub>
        </m:sSub>
      </m:oMath>
      <w:r>
        <w:t xml:space="preserve"> </w:t>
      </w:r>
      <w:r>
        <w:t xml:space="preserve">with safety factor</w:t>
      </w:r>
      <w:r>
        <w:t xml:space="preserve"> </w:t>
      </w:r>
      <m:oMath>
        <m:sSub>
          <m:e>
            <m:r>
              <m:t>C</m:t>
            </m:r>
          </m:e>
          <m:sub>
            <m:r>
              <m:rPr>
                <m:nor/>
                <m:sty m:val="p"/>
              </m:rPr>
              <m:t>safe</m:t>
            </m:r>
          </m:sub>
        </m:sSub>
        <m:r>
          <m:rPr>
            <m:sty m:val="p"/>
          </m:rPr>
          <m:t>=</m:t>
        </m:r>
        <m:r>
          <m:t>0.9</m:t>
        </m:r>
      </m:oMath>
      <w:r>
        <w:t xml:space="preserve">. The iteration terminates when</w:t>
      </w:r>
      <w:r>
        <w:t xml:space="preserve"> </w:t>
      </w:r>
      <m:oMath>
        <m:sSub>
          <m:e>
            <m:r>
              <m:rPr>
                <m:sty m:val="p"/>
              </m:rPr>
              <m:t>max</m:t>
            </m:r>
          </m:e>
          <m:sub>
            <m:r>
              <m:t>i</m:t>
            </m:r>
          </m:sub>
        </m:sSub>
        <m:d>
          <m:dPr>
            <m:begChr m:val="|"/>
            <m:endChr m:val="|"/>
            <m:sepChr m:val=""/>
            <m:grow/>
          </m:dPr>
          <m:e>
            <m:sSub>
              <m:e>
                <m:r>
                  <m:t>C</m:t>
                </m:r>
              </m:e>
              <m:sub>
                <m:r>
                  <m:t>t</m:t>
                </m:r>
                <m:r>
                  <m:rPr>
                    <m:sty m:val="p"/>
                  </m:rPr>
                  <m:t>+</m:t>
                </m:r>
                <m:r>
                  <m:t>1</m:t>
                </m:r>
              </m:sub>
            </m:sSub>
            <m:d>
              <m:dPr>
                <m:begChr m:val="("/>
                <m:endChr m:val=")"/>
                <m:sepChr m:val=""/>
                <m:grow/>
              </m:dPr>
              <m:e>
                <m:r>
                  <m:t>i</m:t>
                </m:r>
              </m:e>
            </m:d>
            <m:r>
              <m:rPr>
                <m:sty m:val="p"/>
              </m:rPr>
              <m:t>−</m:t>
            </m:r>
            <m:sSub>
              <m:e>
                <m:r>
                  <m:t>C</m:t>
                </m:r>
              </m:e>
              <m:sub>
                <m:r>
                  <m:t>t</m:t>
                </m:r>
              </m:sub>
            </m:sSub>
            <m:d>
              <m:dPr>
                <m:begChr m:val="("/>
                <m:endChr m:val=")"/>
                <m:sepChr m:val=""/>
                <m:grow/>
              </m:dPr>
              <m:e>
                <m:r>
                  <m:t>i</m:t>
                </m:r>
              </m:e>
            </m:d>
          </m:e>
        </m:d>
        <m:r>
          <m:rPr>
            <m:sty m:val="p"/>
          </m:rPr>
          <m:t>&lt;</m:t>
        </m:r>
        <m:r>
          <m:t>ϵ</m:t>
        </m:r>
      </m:oMath>
      <w:r>
        <w:t xml:space="preserve"> </w:t>
      </w:r>
      <w:r>
        <w:t xml:space="preserve">with</w:t>
      </w:r>
      <w:r>
        <w:t xml:space="preserve"> </w:t>
      </w:r>
      <m:oMath>
        <m:r>
          <m:t>ϵ</m:t>
        </m:r>
        <m:r>
          <m:rPr>
            <m:sty m:val="p"/>
          </m:rPr>
          <m:t>=</m:t>
        </m:r>
        <m:sSup>
          <m:e>
            <m:r>
              <m:t>10</m:t>
            </m:r>
          </m:e>
          <m:sup>
            <m:r>
              <m:rPr>
                <m:sty m:val="p"/>
              </m:rPr>
              <m:t>−</m:t>
            </m:r>
            <m:r>
              <m:t>3</m:t>
            </m:r>
          </m:sup>
        </m:sSup>
      </m:oMath>
      <w:r>
        <w:t xml:space="preserve">, which typically requires 30–50 steps.</w:t>
      </w:r>
    </w:p>
    <w:bookmarkEnd w:id="29"/>
    <w:bookmarkStart w:id="30" w:name="convergence-analysis"/>
    <w:p>
      <w:pPr>
        <w:pStyle w:val="Heading3"/>
      </w:pPr>
      <w:r>
        <w:t xml:space="preserve">3.4 Convergence Analysis</w:t>
      </w:r>
    </w:p>
    <w:p>
      <w:pPr>
        <w:pStyle w:val="FirstParagraph"/>
      </w:pPr>
      <w:r>
        <w:rPr>
          <w:bCs/>
          <w:b/>
        </w:rPr>
        <w:t xml:space="preserve">Theorem 1 (Global Convergence).</w:t>
      </w:r>
      <w:r>
        <w:t xml:space="preserve"> </w:t>
      </w:r>
      <w:r>
        <w:rPr>
          <w:iCs/>
          <w:i/>
        </w:rPr>
        <w:t xml:space="preserve">Given a connected graph</w:t>
      </w:r>
      <w:r>
        <w:rPr>
          <w:iCs/>
          <w:i/>
        </w:rPr>
        <w:t xml:space="preserve"> </w:t>
      </w:r>
      <m:oMath>
        <m:r>
          <m:rPr>
            <m:sty m:val="p"/>
            <m:scr m:val="script"/>
          </m:rPr>
          <m:t>G</m:t>
        </m:r>
      </m:oMath>
      <w:r>
        <w:rPr>
          <w:iCs/>
          <w:i/>
        </w:rPr>
        <w:t xml:space="preserve"> </w:t>
      </w:r>
      <w:r>
        <w:rPr>
          <w:iCs/>
          <w:i/>
        </w:rPr>
        <w:t xml:space="preserve">and a time step</w:t>
      </w:r>
      <w:r>
        <w:rPr>
          <w:iCs/>
          <w:i/>
        </w:rPr>
        <w:t xml:space="preserve"> </w:t>
      </w:r>
      <m:oMath>
        <m:r>
          <m:t>Δ</m:t>
        </m:r>
        <m:r>
          <m:t>t</m:t>
        </m:r>
      </m:oMath>
      <w:r>
        <w:rPr>
          <w:iCs/>
          <w:i/>
        </w:rPr>
        <w:t xml:space="preserve"> </w:t>
      </w:r>
      <w:r>
        <w:rPr>
          <w:iCs/>
          <w:i/>
        </w:rPr>
        <w:t xml:space="preserve">satisfying the CFL condition of Section 3.3, the iterative sequence</w:t>
      </w:r>
      <w:r>
        <w:rPr>
          <w:iCs/>
          <w:i/>
        </w:rPr>
        <w:t xml:space="preserve"> </w:t>
      </w:r>
      <m:oMath>
        <m:r>
          <m:rPr>
            <m:sty m:val="p"/>
          </m:rPr>
          <m:t>{</m:t>
        </m:r>
        <m:sSub>
          <m:e>
            <m:r>
              <m:t>C</m:t>
            </m:r>
          </m:e>
          <m:sub>
            <m:r>
              <m:t>t</m:t>
            </m:r>
          </m:sub>
        </m:sSub>
        <m:r>
          <m:rPr>
            <m:sty m:val="p"/>
          </m:rPr>
          <m:t>}</m:t>
        </m:r>
      </m:oMath>
      <w:r>
        <w:rPr>
          <w:iCs/>
          <w:i/>
        </w:rPr>
        <w:t xml:space="preserve"> </w:t>
      </w:r>
      <w:r>
        <w:rPr>
          <w:iCs/>
          <w:i/>
        </w:rPr>
        <w:t xml:space="preserve">generated by the conservative upwind scheme converges to a unique stationary distribution</w:t>
      </w:r>
      <w:r>
        <w:rPr>
          <w:iCs/>
          <w:i/>
        </w:rPr>
        <w:t xml:space="preserve"> </w:t>
      </w:r>
      <m:oMath>
        <m:sSup>
          <m:e>
            <m:r>
              <m:t>C</m:t>
            </m:r>
          </m:e>
          <m:sup>
            <m:r>
              <m:rPr>
                <m:sty m:val="p"/>
              </m:rPr>
              <m:t>*</m:t>
            </m:r>
          </m:sup>
        </m:sSup>
      </m:oMath>
      <w:r>
        <w:rPr>
          <w:iCs/>
          <w:i/>
        </w:rPr>
        <w:t xml:space="preserve">, and the total concentration</w:t>
      </w:r>
      <w:r>
        <w:rPr>
          <w:iCs/>
          <w:i/>
        </w:rPr>
        <w:t xml:space="preserve"> </w:t>
      </w:r>
      <m:oMath>
        <m:nary>
          <m:naryPr>
            <m:chr m:val="∑"/>
            <m:limLoc m:val="undOvr"/>
            <m:subHide m:val="off"/>
            <m:supHide m:val="on"/>
          </m:naryPr>
          <m:sub>
            <m:r>
              <m:t>i</m:t>
            </m:r>
          </m:sub>
          <m:sup>
            <m:r>
              <m:t>​</m:t>
            </m:r>
          </m:sup>
          <m:e>
            <m:sSub>
              <m:e>
                <m:r>
                  <m:t>C</m:t>
                </m:r>
              </m:e>
              <m:sub>
                <m:r>
                  <m:t>t</m:t>
                </m:r>
              </m:sub>
            </m:sSub>
          </m:e>
        </m:nary>
        <m:d>
          <m:dPr>
            <m:begChr m:val="("/>
            <m:endChr m:val=")"/>
            <m:sepChr m:val=""/>
            <m:grow/>
          </m:dPr>
          <m:e>
            <m:r>
              <m:t>i</m:t>
            </m:r>
          </m:e>
        </m:d>
      </m:oMath>
      <w:r>
        <w:rPr>
          <w:iCs/>
          <w:i/>
        </w:rPr>
        <w:t xml:space="preserve"> </w:t>
      </w:r>
      <w:r>
        <w:rPr>
          <w:iCs/>
          <w:i/>
        </w:rPr>
        <w:t xml:space="preserve">is conserved for all</w:t>
      </w:r>
      <w:r>
        <w:rPr>
          <w:iCs/>
          <w:i/>
        </w:rPr>
        <w:t xml:space="preserve"> </w:t>
      </w:r>
      <m:oMath>
        <m:r>
          <m:t>t</m:t>
        </m:r>
      </m:oMath>
      <w:r>
        <w:rPr>
          <w:iCs/>
          <w:i/>
        </w:rPr>
        <w:t xml:space="preserve">.</w:t>
      </w:r>
    </w:p>
    <w:p>
      <w:pPr>
        <w:pStyle w:val="BodyText"/>
      </w:pPr>
      <w:r>
        <w:rPr>
          <w:iCs/>
          <w:i/>
        </w:rPr>
        <w:t xml:space="preserve">Proof.</w:t>
      </w:r>
      <w:r>
        <w:t xml:space="preserve"> </w:t>
      </w:r>
      <w:r>
        <w:t xml:space="preserve">We write the update in matrix form</w:t>
      </w:r>
      <w:r>
        <w:t xml:space="preserve"> </w:t>
      </w:r>
      <m:oMath>
        <m:sSub>
          <m:e>
            <m:r>
              <m:t>C</m:t>
            </m:r>
          </m:e>
          <m:sub>
            <m:r>
              <m:t>t</m:t>
            </m:r>
            <m:r>
              <m:rPr>
                <m:sty m:val="p"/>
              </m:rPr>
              <m:t>+</m:t>
            </m:r>
            <m:r>
              <m:t>1</m:t>
            </m:r>
          </m:sub>
        </m:sSub>
        <m:r>
          <m:rPr>
            <m:sty m:val="p"/>
          </m:rPr>
          <m:t>=</m:t>
        </m:r>
        <m:r>
          <m:rPr>
            <m:sty m:val="b"/>
          </m:rPr>
          <m:t>M</m:t>
        </m:r>
        <m:r>
          <m:t> </m:t>
        </m:r>
        <m:sSub>
          <m:e>
            <m:r>
              <m:t>C</m:t>
            </m:r>
          </m:e>
          <m:sub>
            <m:r>
              <m:t>t</m:t>
            </m:r>
          </m:sub>
        </m:sSub>
      </m:oMath>
      <w:r>
        <w:t xml:space="preserve">, where the transition matrix</w:t>
      </w:r>
      <w:r>
        <w:t xml:space="preserve"> </w:t>
      </w:r>
      <m:oMath>
        <m:r>
          <m:rPr>
            <m:sty m:val="b"/>
          </m:rPr>
          <m:t>M</m:t>
        </m:r>
      </m:oMath>
      <w:r>
        <w:t xml:space="preserve"> </w:t>
      </w:r>
      <w:r>
        <w:t xml:space="preserve">has entries:</w:t>
      </w:r>
      <w:r>
        <w:t xml:space="preserve"> </w:t>
      </w:r>
      <w:r>
        <w:t xml:space="preserve">- Diagonal:</w:t>
      </w:r>
      <w:r>
        <w:t xml:space="preserve"> </w:t>
      </w:r>
      <m:oMath>
        <m:sSub>
          <m:e>
            <m:r>
              <m:rPr>
                <m:sty m:val="b"/>
              </m:rPr>
              <m:t>M</m:t>
            </m:r>
          </m:e>
          <m:sub>
            <m:r>
              <m:t>i</m:t>
            </m:r>
            <m:r>
              <m:t>i</m:t>
            </m:r>
          </m:sub>
        </m:sSub>
        <m:r>
          <m:rPr>
            <m:sty m:val="p"/>
          </m:rPr>
          <m:t>=</m:t>
        </m:r>
        <m:r>
          <m:t>1</m:t>
        </m:r>
        <m:r>
          <m:rPr>
            <m:sty m:val="p"/>
          </m:rPr>
          <m:t>−</m:t>
        </m:r>
        <m:r>
          <m:t>Δ</m:t>
        </m:r>
        <m:r>
          <m:t>t</m:t>
        </m:r>
        <m:nary>
          <m:naryPr>
            <m:chr m:val="∑"/>
            <m:limLoc m:val="undOvr"/>
            <m:subHide m:val="off"/>
            <m:supHide m:val="on"/>
          </m:naryPr>
          <m:sub>
            <m:r>
              <m:t>k</m:t>
            </m:r>
            <m:r>
              <m:rPr>
                <m:sty m:val="p"/>
              </m:rPr>
              <m:t>∈</m:t>
            </m:r>
            <m:r>
              <m:rPr>
                <m:sty m:val="p"/>
                <m:scr m:val="script"/>
              </m:rPr>
              <m:t>N</m:t>
            </m:r>
            <m:d>
              <m:dPr>
                <m:begChr m:val="("/>
                <m:endChr m:val=")"/>
                <m:sepChr m:val=""/>
                <m:grow/>
              </m:dPr>
              <m:e>
                <m:r>
                  <m:t>i</m:t>
                </m:r>
              </m:e>
            </m:d>
          </m:sub>
          <m:sup>
            <m:r>
              <m:t>​</m:t>
            </m:r>
          </m:sup>
          <m:e>
            <m:sSub>
              <m:e>
                <m:r>
                  <m:t>W</m:t>
                </m:r>
              </m:e>
              <m:sub>
                <m:r>
                  <m:t>i</m:t>
                </m:r>
                <m:r>
                  <m:t>k</m:t>
                </m:r>
              </m:sub>
            </m:sSub>
          </m:e>
        </m:nary>
        <m:d>
          <m:dPr>
            <m:begChr m:val="["/>
            <m:endChr m:val="]"/>
            <m:sepChr m:val=""/>
            <m:grow/>
          </m:dPr>
          <m:e>
            <m:r>
              <m:t>D</m:t>
            </m:r>
            <m:r>
              <m:rPr>
                <m:sty m:val="p"/>
              </m:rPr>
              <m:t>+</m:t>
            </m:r>
            <m:r>
              <m:rPr>
                <m:sty m:val="p"/>
              </m:rPr>
              <m:t>max</m:t>
            </m:r>
            <m:d>
              <m:dPr>
                <m:begChr m:val="("/>
                <m:endChr m:val=")"/>
                <m:sepChr m:val=""/>
                <m:grow/>
              </m:dPr>
              <m:e>
                <m:sSub>
                  <m:e>
                    <m:r>
                      <m:t>u</m:t>
                    </m:r>
                  </m:e>
                  <m:sub>
                    <m:r>
                      <m:t>i</m:t>
                    </m:r>
                    <m:r>
                      <m:t>k</m:t>
                    </m:r>
                  </m:sub>
                </m:sSub>
                <m:r>
                  <m:rPr>
                    <m:sty m:val="p"/>
                  </m:rPr>
                  <m:t>,</m:t>
                </m:r>
                <m:r>
                  <m:t>0</m:t>
                </m:r>
              </m:e>
            </m:d>
          </m:e>
        </m:d>
      </m:oMath>
      <w:r>
        <w:t xml:space="preserve"> </w:t>
      </w:r>
      <w:r>
        <w:t xml:space="preserve">- Off-diagonal (</w:t>
      </w:r>
      <m:oMath>
        <m:r>
          <m:t>j</m:t>
        </m:r>
        <m:r>
          <m:rPr>
            <m:sty m:val="p"/>
          </m:rPr>
          <m:t>∈</m:t>
        </m:r>
        <m:r>
          <m:rPr>
            <m:sty m:val="p"/>
            <m:scr m:val="script"/>
          </m:rPr>
          <m:t>N</m:t>
        </m:r>
        <m:d>
          <m:dPr>
            <m:begChr m:val="("/>
            <m:endChr m:val=")"/>
            <m:sepChr m:val=""/>
            <m:grow/>
          </m:dPr>
          <m:e>
            <m:r>
              <m:t>i</m:t>
            </m:r>
          </m:e>
        </m:d>
      </m:oMath>
      <w:r>
        <w:t xml:space="preserve">):</w:t>
      </w:r>
      <w:r>
        <w:t xml:space="preserve"> </w:t>
      </w:r>
      <m:oMath>
        <m:sSub>
          <m:e>
            <m:r>
              <m:rPr>
                <m:sty m:val="b"/>
              </m:rPr>
              <m:t>M</m:t>
            </m:r>
          </m:e>
          <m:sub>
            <m:r>
              <m:t>i</m:t>
            </m:r>
            <m:r>
              <m:t>j</m:t>
            </m:r>
          </m:sub>
        </m:sSub>
        <m:r>
          <m:rPr>
            <m:sty m:val="p"/>
          </m:rPr>
          <m:t>=</m:t>
        </m:r>
        <m:r>
          <m:t>Δ</m:t>
        </m:r>
        <m:r>
          <m:t>t</m:t>
        </m:r>
        <m:r>
          <m:rPr>
            <m:sty m:val="p"/>
          </m:rPr>
          <m:t>⋅</m:t>
        </m:r>
        <m:sSub>
          <m:e>
            <m:r>
              <m:t>W</m:t>
            </m:r>
          </m:e>
          <m:sub>
            <m:r>
              <m:t>i</m:t>
            </m:r>
            <m:r>
              <m:t>j</m:t>
            </m:r>
          </m:sub>
        </m:sSub>
        <m:d>
          <m:dPr>
            <m:begChr m:val="["/>
            <m:endChr m:val="]"/>
            <m:sepChr m:val=""/>
            <m:grow/>
          </m:dPr>
          <m:e>
            <m:r>
              <m:t>D</m:t>
            </m:r>
            <m:r>
              <m:rPr>
                <m:sty m:val="p"/>
              </m:rPr>
              <m:t>+</m:t>
            </m:r>
            <m:r>
              <m:rPr>
                <m:sty m:val="p"/>
              </m:rPr>
              <m:t>max</m:t>
            </m:r>
            <m:d>
              <m:dPr>
                <m:begChr m:val="("/>
                <m:endChr m:val=")"/>
                <m:sepChr m:val=""/>
                <m:grow/>
              </m:dPr>
              <m:e>
                <m:sSub>
                  <m:e>
                    <m:r>
                      <m:t>u</m:t>
                    </m:r>
                  </m:e>
                  <m:sub>
                    <m:r>
                      <m:t>j</m:t>
                    </m:r>
                    <m:r>
                      <m:t>i</m:t>
                    </m:r>
                  </m:sub>
                </m:sSub>
                <m:r>
                  <m:rPr>
                    <m:sty m:val="p"/>
                  </m:rPr>
                  <m:t>,</m:t>
                </m:r>
                <m:r>
                  <m:t>0</m:t>
                </m:r>
              </m:e>
            </m:d>
          </m:e>
        </m:d>
      </m:oMath>
    </w:p>
    <w:p>
      <w:pPr>
        <w:pStyle w:val="BodyText"/>
      </w:pPr>
      <w:r>
        <w:t xml:space="preserve">We establish the four conditions for the Perron-Frobenius theorem:</w:t>
      </w:r>
    </w:p>
    <w:p>
      <w:pPr>
        <w:pStyle w:val="BodyText"/>
      </w:pPr>
      <w:r>
        <w:rPr>
          <w:iCs/>
          <w:i/>
        </w:rPr>
        <w:t xml:space="preserve">(i) Non-negativity.</w:t>
      </w:r>
      <w:r>
        <w:t xml:space="preserve"> </w:t>
      </w:r>
      <w:r>
        <w:t xml:space="preserve">The CFL condition ensures</w:t>
      </w:r>
      <w:r>
        <w:t xml:space="preserve"> </w:t>
      </w:r>
      <m:oMath>
        <m:sSub>
          <m:e>
            <m:r>
              <m:rPr>
                <m:sty m:val="b"/>
              </m:rPr>
              <m:t>M</m:t>
            </m:r>
          </m:e>
          <m:sub>
            <m:r>
              <m:t>i</m:t>
            </m:r>
            <m:r>
              <m:t>i</m:t>
            </m:r>
          </m:sub>
        </m:sSub>
        <m:r>
          <m:rPr>
            <m:sty m:val="p"/>
          </m:rPr>
          <m:t>≥</m:t>
        </m:r>
        <m:r>
          <m:t>0</m:t>
        </m:r>
      </m:oMath>
      <w:r>
        <w:t xml:space="preserve">; all off-diagonal entries are non-negative since</w:t>
      </w:r>
      <w:r>
        <w:t xml:space="preserve"> </w:t>
      </w:r>
      <m:oMath>
        <m:r>
          <m:t>D</m:t>
        </m:r>
        <m:r>
          <m:rPr>
            <m:sty m:val="p"/>
          </m:rPr>
          <m:t>,</m:t>
        </m:r>
        <m:sSub>
          <m:e>
            <m:r>
              <m:t>W</m:t>
            </m:r>
          </m:e>
          <m:sub>
            <m:r>
              <m:t>i</m:t>
            </m:r>
            <m:r>
              <m:t>j</m:t>
            </m:r>
          </m:sub>
        </m:sSub>
        <m:r>
          <m:rPr>
            <m:sty m:val="p"/>
          </m:rPr>
          <m:t>≥</m:t>
        </m:r>
        <m:r>
          <m:t>0</m:t>
        </m:r>
      </m:oMath>
      <w:r>
        <w:t xml:space="preserve">.</w:t>
      </w:r>
    </w:p>
    <w:p>
      <w:pPr>
        <w:pStyle w:val="BodyText"/>
      </w:pPr>
      <w:r>
        <w:rPr>
          <w:iCs/>
          <w:i/>
        </w:rPr>
        <w:t xml:space="preserve">(ii) Column-stochasticity.</w:t>
      </w:r>
      <w:r>
        <w:t xml:space="preserve"> </w:t>
      </w:r>
      <w:r>
        <w:t xml:space="preserve">By the symmetry of edge weights (</w:t>
      </w:r>
      <m:oMath>
        <m:sSub>
          <m:e>
            <m:r>
              <m:t>W</m:t>
            </m:r>
          </m:e>
          <m:sub>
            <m:r>
              <m:t>i</m:t>
            </m:r>
            <m:r>
              <m:t>j</m:t>
            </m:r>
          </m:sub>
        </m:sSub>
        <m:r>
          <m:rPr>
            <m:sty m:val="p"/>
          </m:rPr>
          <m:t>=</m:t>
        </m:r>
        <m:sSub>
          <m:e>
            <m:r>
              <m:t>W</m:t>
            </m:r>
          </m:e>
          <m:sub>
            <m:r>
              <m:t>j</m:t>
            </m:r>
            <m:r>
              <m:t>i</m:t>
            </m:r>
          </m:sub>
        </m:sSub>
      </m:oMath>
      <w:r>
        <w:t xml:space="preserve">) and the structure of the upwind scheme, the column sums satisfy</w:t>
      </w:r>
      <w:r>
        <w:t xml:space="preserve"> </w:t>
      </w:r>
      <m:oMath>
        <m:nary>
          <m:naryPr>
            <m:chr m:val="∑"/>
            <m:limLoc m:val="undOvr"/>
            <m:subHide m:val="off"/>
            <m:supHide m:val="on"/>
          </m:naryPr>
          <m:sub>
            <m:r>
              <m:t>i</m:t>
            </m:r>
          </m:sub>
          <m:sup>
            <m:r>
              <m:t>​</m:t>
            </m:r>
          </m:sup>
          <m:e>
            <m:sSub>
              <m:e>
                <m:r>
                  <m:rPr>
                    <m:sty m:val="b"/>
                  </m:rPr>
                  <m:t>M</m:t>
                </m:r>
              </m:e>
              <m:sub>
                <m:r>
                  <m:t>i</m:t>
                </m:r>
                <m:r>
                  <m:t>j</m:t>
                </m:r>
              </m:sub>
            </m:sSub>
          </m:e>
        </m:nary>
        <m:r>
          <m:rPr>
            <m:sty m:val="p"/>
          </m:rPr>
          <m:t>=</m:t>
        </m:r>
        <m:r>
          <m:t>1</m:t>
        </m:r>
      </m:oMath>
      <w:r>
        <w:t xml:space="preserve"> </w:t>
      </w:r>
      <w:r>
        <w:t xml:space="preserve">for all</w:t>
      </w:r>
      <w:r>
        <w:t xml:space="preserve"> </w:t>
      </w:r>
      <m:oMath>
        <m:r>
          <m:t>j</m:t>
        </m:r>
      </m:oMath>
      <w:r>
        <w:t xml:space="preserve">. Thus</w:t>
      </w:r>
      <w:r>
        <w:t xml:space="preserve"> </w:t>
      </w:r>
      <m:oMath>
        <m:r>
          <m:rPr>
            <m:sty m:val="b"/>
          </m:rPr>
          <m:t>M</m:t>
        </m:r>
      </m:oMath>
      <w:r>
        <w:t xml:space="preserve"> </w:t>
      </w:r>
      <w:r>
        <w:t xml:space="preserve">is column-stochastic, and the total concentration is conserved.</w:t>
      </w:r>
    </w:p>
    <w:p>
      <w:pPr>
        <w:pStyle w:val="BodyText"/>
      </w:pPr>
      <w:r>
        <w:rPr>
          <w:iCs/>
          <w:i/>
        </w:rPr>
        <w:t xml:space="preserve">(iii) Irreducibility.</w:t>
      </w:r>
      <w:r>
        <w:t xml:space="preserve"> </w:t>
      </w:r>
      <w:r>
        <w:t xml:space="preserve">When the graph</w:t>
      </w:r>
      <w:r>
        <w:t xml:space="preserve"> </w:t>
      </w:r>
      <m:oMath>
        <m:r>
          <m:rPr>
            <m:sty m:val="p"/>
            <m:scr m:val="script"/>
          </m:rPr>
          <m:t>G</m:t>
        </m:r>
      </m:oMath>
      <w:r>
        <w:t xml:space="preserve"> </w:t>
      </w:r>
      <w:r>
        <w:t xml:space="preserve">is connected,</w:t>
      </w:r>
      <w:r>
        <w:t xml:space="preserve"> </w:t>
      </w:r>
      <m:oMath>
        <m:r>
          <m:rPr>
            <m:sty m:val="b"/>
          </m:rPr>
          <m:t>M</m:t>
        </m:r>
      </m:oMath>
      <w:r>
        <w:t xml:space="preserve"> </w:t>
      </w:r>
      <w:r>
        <w:t xml:space="preserve">is irreducible.</w:t>
      </w:r>
    </w:p>
    <w:p>
      <w:pPr>
        <w:pStyle w:val="BodyText"/>
      </w:pPr>
      <w:r>
        <w:rPr>
          <w:iCs/>
          <w:i/>
        </w:rPr>
        <w:t xml:space="preserve">(iv) Aperiodicity.</w:t>
      </w:r>
      <w:r>
        <w:t xml:space="preserve"> </w:t>
      </w:r>
      <w:r>
        <w:t xml:space="preserve">Since</w:t>
      </w:r>
      <w:r>
        <w:t xml:space="preserve"> </w:t>
      </w:r>
      <m:oMath>
        <m:sSub>
          <m:e>
            <m:r>
              <m:rPr>
                <m:sty m:val="b"/>
              </m:rPr>
              <m:t>M</m:t>
            </m:r>
          </m:e>
          <m:sub>
            <m:r>
              <m:t>i</m:t>
            </m:r>
            <m:r>
              <m:t>i</m:t>
            </m:r>
          </m:sub>
        </m:sSub>
        <m:r>
          <m:rPr>
            <m:sty m:val="p"/>
          </m:rPr>
          <m:t>&gt;</m:t>
        </m:r>
        <m:r>
          <m:t>0</m:t>
        </m:r>
      </m:oMath>
      <w:r>
        <w:t xml:space="preserve"> </w:t>
      </w:r>
      <w:r>
        <w:t xml:space="preserve">for all</w:t>
      </w:r>
      <w:r>
        <w:t xml:space="preserve"> </w:t>
      </w:r>
      <m:oMath>
        <m:r>
          <m:t>i</m:t>
        </m:r>
      </m:oMath>
      <w:r>
        <w:t xml:space="preserve"> </w:t>
      </w:r>
      <w:r>
        <w:t xml:space="preserve">(the CFL bound is strict), every node has a self-loop, guaranteeing aperiodicity.</w:t>
      </w:r>
    </w:p>
    <w:p>
      <w:pPr>
        <w:pStyle w:val="BodyText"/>
      </w:pPr>
      <w:r>
        <w:t xml:space="preserve">By the Perron-Frobenius theorem, the dominant eigenvalue</w:t>
      </w:r>
      <w:r>
        <w:t xml:space="preserve"> </w:t>
      </w:r>
      <m:oMath>
        <m:sSub>
          <m:e>
            <m:r>
              <m:t>λ</m:t>
            </m:r>
          </m:e>
          <m:sub>
            <m:r>
              <m:t>1</m:t>
            </m:r>
          </m:sub>
        </m:sSub>
        <m:r>
          <m:rPr>
            <m:sty m:val="p"/>
          </m:rPr>
          <m:t>=</m:t>
        </m:r>
        <m:r>
          <m:t>1</m:t>
        </m:r>
      </m:oMath>
      <w:r>
        <w:t xml:space="preserve"> </w:t>
      </w:r>
      <w:r>
        <w:t xml:space="preserve">is simple, and all other eigenvalues satisfy</w:t>
      </w:r>
      <w:r>
        <w:t xml:space="preserve"> </w:t>
      </w:r>
      <m:oMath>
        <m:d>
          <m:dPr>
            <m:begChr m:val="|"/>
            <m:endChr m:val="|"/>
            <m:sepChr m:val=""/>
            <m:grow/>
          </m:dPr>
          <m:e>
            <m:sSub>
              <m:e>
                <m:r>
                  <m:t>λ</m:t>
                </m:r>
              </m:e>
              <m:sub>
                <m:r>
                  <m:t>k</m:t>
                </m:r>
              </m:sub>
            </m:sSub>
          </m:e>
        </m:d>
        <m:r>
          <m:rPr>
            <m:sty m:val="p"/>
          </m:rPr>
          <m:t>&lt;</m:t>
        </m:r>
        <m:r>
          <m:t>1</m:t>
        </m:r>
      </m:oMath>
      <w:r>
        <w:t xml:space="preserve">. Therefore,</w:t>
      </w:r>
      <w:r>
        <w:t xml:space="preserve"> </w:t>
      </w:r>
      <m:oMath>
        <m:sSub>
          <m:e>
            <m:r>
              <m:t>C</m:t>
            </m:r>
          </m:e>
          <m:sub>
            <m:r>
              <m:t>t</m:t>
            </m:r>
          </m:sub>
        </m:sSub>
        <m:r>
          <m:rPr>
            <m:sty m:val="p"/>
          </m:rPr>
          <m:t>=</m:t>
        </m:r>
        <m:sSup>
          <m:e>
            <m:r>
              <m:rPr>
                <m:sty m:val="b"/>
              </m:rPr>
              <m:t>M</m:t>
            </m:r>
          </m:e>
          <m:sup>
            <m:r>
              <m:t>t</m:t>
            </m:r>
          </m:sup>
        </m:sSup>
        <m:sSub>
          <m:e>
            <m:r>
              <m:t>C</m:t>
            </m:r>
          </m:e>
          <m:sub>
            <m:r>
              <m:t>0</m:t>
            </m:r>
          </m:sub>
        </m:sSub>
      </m:oMath>
      <w:r>
        <w:t xml:space="preserve"> </w:t>
      </w:r>
      <w:r>
        <w:t xml:space="preserve">converges exponentially to the unique stationary distribution</w:t>
      </w:r>
      <w:r>
        <w:t xml:space="preserve"> </w:t>
      </w:r>
      <m:oMath>
        <m:sSup>
          <m:e>
            <m:r>
              <m:t>C</m:t>
            </m:r>
          </m:e>
          <m:sup>
            <m:r>
              <m:rPr>
                <m:sty m:val="p"/>
              </m:rPr>
              <m:t>*</m:t>
            </m:r>
          </m:sup>
        </m:sSup>
      </m:oMath>
      <w:r>
        <w:t xml:space="preserve">.</w:t>
      </w:r>
      <w:r>
        <w:t xml:space="preserve"> </w:t>
      </w:r>
      <m:oMath>
        <m:r>
          <m:rPr>
            <m:sty m:val="p"/>
          </m:rPr>
          <m:t>◼</m:t>
        </m:r>
      </m:oMath>
    </w:p>
    <w:p>
      <w:pPr>
        <w:pStyle w:val="BodyText"/>
      </w:pPr>
      <w:r>
        <w:rPr>
          <w:bCs/>
          <w:b/>
        </w:rPr>
        <w:t xml:space="preserve">Remark on graph connectivity.</w:t>
      </w:r>
      <w:r>
        <w:t xml:space="preserve"> </w:t>
      </w:r>
      <w:r>
        <w:t xml:space="preserve">In practice, a KNN graph with</w:t>
      </w:r>
      <w:r>
        <w:t xml:space="preserve"> </w:t>
      </w:r>
      <m:oMath>
        <m:r>
          <m:t>N</m:t>
        </m:r>
        <m:r>
          <m:rPr>
            <m:sty m:val="p"/>
          </m:rPr>
          <m:t>=</m:t>
        </m:r>
        <m:r>
          <m:t>30</m:t>
        </m:r>
      </m:oMath>
      <w:r>
        <w:t xml:space="preserve"> </w:t>
      </w:r>
      <w:r>
        <w:t xml:space="preserve">and</w:t>
      </w:r>
      <w:r>
        <w:t xml:space="preserve"> </w:t>
      </w:r>
      <m:oMath>
        <m:r>
          <m:t>k</m:t>
        </m:r>
        <m:r>
          <m:rPr>
            <m:sty m:val="p"/>
          </m:rPr>
          <m:t>=</m:t>
        </m:r>
        <m:r>
          <m:t>3</m:t>
        </m:r>
      </m:oMath>
      <w:r>
        <w:t xml:space="preserve"> </w:t>
      </w:r>
      <w:r>
        <w:t xml:space="preserve">may decompose into multiple connected components, particularly for cross-domain queries that fragment the candidate set into semantic islands. When the graph has</w:t>
      </w:r>
      <w:r>
        <w:t xml:space="preserve"> </w:t>
      </w:r>
      <m:oMath>
        <m:r>
          <m:t>K</m:t>
        </m:r>
        <m:r>
          <m:rPr>
            <m:sty m:val="p"/>
          </m:rPr>
          <m:t>&gt;</m:t>
        </m:r>
        <m:r>
          <m:t>1</m:t>
        </m:r>
      </m:oMath>
      <w:r>
        <w:t xml:space="preserve"> </w:t>
      </w:r>
      <w:r>
        <w:t xml:space="preserve">connected components, the eigenvalue</w:t>
      </w:r>
      <w:r>
        <w:t xml:space="preserve"> </w:t>
      </w:r>
      <m:oMath>
        <m:sSub>
          <m:e>
            <m:r>
              <m:t>λ</m:t>
            </m:r>
          </m:e>
          <m:sub>
            <m:r>
              <m:t>1</m:t>
            </m:r>
          </m:sub>
        </m:sSub>
        <m:r>
          <m:rPr>
            <m:sty m:val="p"/>
          </m:rPr>
          <m:t>=</m:t>
        </m:r>
        <m:r>
          <m:t>1</m:t>
        </m:r>
      </m:oMath>
      <w:r>
        <w:t xml:space="preserve"> </w:t>
      </w:r>
      <w:r>
        <w:t xml:space="preserve">has algebraic multiplicity</w:t>
      </w:r>
      <w:r>
        <w:t xml:space="preserve"> </w:t>
      </w:r>
      <m:oMath>
        <m:r>
          <m:t>K</m:t>
        </m:r>
      </m:oMath>
      <w:r>
        <w:t xml:space="preserve">, and the stationary distribution is no longer unique—it depends on the initial allocation of concentration mass across components. We note that this is, in fact, a desirable property: it naturally prevents</w:t>
      </w:r>
      <w:r>
        <w:t xml:space="preserve"> </w:t>
      </w:r>
      <w:r>
        <w:rPr>
          <w:iCs/>
          <w:i/>
        </w:rPr>
        <w:t xml:space="preserve">score leakage</w:t>
      </w:r>
      <w:r>
        <w:t xml:space="preserve"> </w:t>
      </w:r>
      <w:r>
        <w:t xml:space="preserve">between unrelated semantic clusters. In our implementation, we do not enforce artificial connectivity (e.g., via teleportation as in PageRank), allowing each semantic sub-manifold to evolve independently.</w:t>
      </w:r>
    </w:p>
    <w:p>
      <w:pPr>
        <w:pStyle w:val="BodyText"/>
      </w:pPr>
      <w:r>
        <w:rPr>
          <w:bCs/>
          <w:b/>
        </w:rPr>
        <w:t xml:space="preserve">Early stopping and transient dynamics.</w:t>
      </w:r>
      <w:r>
        <w:t xml:space="preserve"> </w:t>
      </w:r>
      <w:r>
        <w:t xml:space="preserve">The fully converged stationary</w:t>
      </w:r>
      <w:r>
        <w:t xml:space="preserve"> </w:t>
      </w:r>
      <m:oMath>
        <m:sSup>
          <m:e>
            <m:r>
              <m:t>C</m:t>
            </m:r>
          </m:e>
          <m:sup>
            <m:r>
              <m:rPr>
                <m:sty m:val="p"/>
              </m:rPr>
              <m:t>*</m:t>
            </m:r>
          </m:sup>
        </m:sSup>
      </m:oMath>
      <w:r>
        <w:t xml:space="preserve"> </w:t>
      </w:r>
      <w:r>
        <w:t xml:space="preserve">depends only on the graph topology and advection field, and is independent of the initial condition</w:t>
      </w:r>
      <w:r>
        <w:t xml:space="preserve"> </w:t>
      </w:r>
      <m:oMath>
        <m:sSub>
          <m:e>
            <m:r>
              <m:t>C</m:t>
            </m:r>
          </m:e>
          <m:sub>
            <m:r>
              <m:t>0</m:t>
            </m:r>
          </m:sub>
        </m:sSub>
      </m:oMath>
      <w:r>
        <w:t xml:space="preserve">. In practice, we terminate at</w:t>
      </w:r>
      <w:r>
        <w:t xml:space="preserve"> </w:t>
      </w:r>
      <m:oMath>
        <m:r>
          <m:t>ϵ</m:t>
        </m:r>
        <m:r>
          <m:rPr>
            <m:sty m:val="p"/>
          </m:rPr>
          <m:t>=</m:t>
        </m:r>
        <m:sSup>
          <m:e>
            <m:r>
              <m:t>10</m:t>
            </m:r>
          </m:e>
          <m:sup>
            <m:r>
              <m:rPr>
                <m:sty m:val="p"/>
              </m:rPr>
              <m:t>−</m:t>
            </m:r>
            <m:r>
              <m:t>3</m:t>
            </m:r>
          </m:sup>
        </m:sSup>
      </m:oMath>
      <w:r>
        <w:t xml:space="preserve"> </w:t>
      </w:r>
      <w:r>
        <w:t xml:space="preserve">(typically 30–50 iterations), capturing the</w:t>
      </w:r>
      <w:r>
        <w:t xml:space="preserve"> </w:t>
      </w:r>
      <w:r>
        <w:rPr>
          <w:iCs/>
          <w:i/>
        </w:rPr>
        <w:t xml:space="preserve">transient state</w:t>
      </w:r>
      <w:r>
        <w:t xml:space="preserve"> </w:t>
      </w:r>
      <w:r>
        <w:t xml:space="preserve">where the initial retrieval signal (</w:t>
      </w:r>
      <m:oMath>
        <m:sSub>
          <m:e>
            <m:r>
              <m:t>C</m:t>
            </m:r>
          </m:e>
          <m:sub>
            <m:r>
              <m:t>0</m:t>
            </m:r>
          </m:sub>
        </m:sSub>
      </m:oMath>
      <w:r>
        <w:t xml:space="preserve">) has been partially—but not completely—smoothed by the diffusion dynamics. This transient truncation is not merely an engineering convenience but a deliberate design choice: it preserves the first-stage cosine relevance signal while enriching rankings with inter-document contextual information.</w:t>
      </w:r>
    </w:p>
    <w:bookmarkEnd w:id="30"/>
    <w:bookmarkStart w:id="31" w:name="adaptive-parameters"/>
    <w:p>
      <w:pPr>
        <w:pStyle w:val="Heading3"/>
      </w:pPr>
      <w:r>
        <w:t xml:space="preserve">3.5 Adaptive Parameters</w:t>
      </w:r>
    </w:p>
    <w:p>
      <w:pPr>
        <w:pStyle w:val="FirstParagraph"/>
      </w:pPr>
      <w:r>
        <w:rPr>
          <w:bCs/>
          <w:b/>
        </w:rPr>
        <w:t xml:space="preserve">Fiedler-value adaptive diffusion.</w:t>
      </w:r>
      <w:r>
        <w:t xml:space="preserve"> </w:t>
      </w:r>
      <w:r>
        <w:t xml:space="preserve">The algebraic connectivity of the graph (the second-smallest eigenvalue</w:t>
      </w:r>
      <w:r>
        <w:t xml:space="preserve"> </w:t>
      </w:r>
      <m:oMath>
        <m:sSub>
          <m:e>
            <m:r>
              <m:t>λ</m:t>
            </m:r>
          </m:e>
          <m:sub>
            <m:r>
              <m:t>2</m:t>
            </m:r>
          </m:sub>
        </m:sSub>
      </m:oMath>
      <w:r>
        <w:t xml:space="preserve"> </w:t>
      </w:r>
      <w:r>
        <w:t xml:space="preserve">of the graph Laplacian $L = D_{</w:t>
      </w:r>
      <w:r>
        <w:t xml:space="preserve">} - W, known as the Fiedler value) provides a natural measure of graph density. We adapt the diffusion coefficient accordingly:</w:t>
      </w:r>
    </w:p>
    <w:p>
      <w:pPr>
        <w:pStyle w:val="BodyText"/>
      </w:pPr>
      <m:oMathPara>
        <m:oMathParaPr>
          <m:jc m:val="center"/>
        </m:oMathParaPr>
        <m:oMath>
          <m:sSub>
            <m:e>
              <m:r>
                <m:t>D</m:t>
              </m:r>
            </m:e>
            <m:sub>
              <m:r>
                <m:rPr>
                  <m:nor/>
                  <m:sty m:val="p"/>
                </m:rPr>
                <m:t>adaptive</m:t>
              </m:r>
            </m:sub>
          </m:sSub>
          <m:r>
            <m:rPr>
              <m:sty m:val="p"/>
            </m:rPr>
            <m:t>=</m:t>
          </m:r>
          <m:f>
            <m:fPr>
              <m:type m:val="bar"/>
            </m:fPr>
            <m:num>
              <m:sSub>
                <m:e>
                  <m:r>
                    <m:t>D</m:t>
                  </m:r>
                </m:e>
                <m:sub>
                  <m:r>
                    <m:rPr>
                      <m:nor/>
                      <m:sty m:val="p"/>
                    </m:rPr>
                    <m:t>base</m:t>
                  </m:r>
                </m:sub>
              </m:sSub>
            </m:num>
            <m:den>
              <m:r>
                <m:t>1</m:t>
              </m:r>
              <m:r>
                <m:rPr>
                  <m:sty m:val="p"/>
                </m:rPr>
                <m:t>+</m:t>
              </m:r>
              <m:sSub>
                <m:e>
                  <m:r>
                    <m:t>λ</m:t>
                  </m:r>
                </m:e>
                <m:sub>
                  <m:r>
                    <m:t>2</m:t>
                  </m:r>
                </m:sub>
              </m:sSub>
            </m:den>
          </m:f>
        </m:oMath>
      </m:oMathPara>
    </w:p>
    <w:p>
      <w:pPr>
        <w:pStyle w:val="FirstParagraph"/>
      </w:pPr>
      <w:r>
        <w:t xml:space="preserve">When</w:t>
      </w:r>
      <w:r>
        <w:t xml:space="preserve"> </w:t>
      </w:r>
      <m:oMath>
        <m:sSub>
          <m:e>
            <m:r>
              <m:t>λ</m:t>
            </m:r>
          </m:e>
          <m:sub>
            <m:r>
              <m:t>2</m:t>
            </m:r>
          </m:sub>
        </m:sSub>
      </m:oMath>
      <w:r>
        <w:t xml:space="preserve"> </w:t>
      </w:r>
      <w:r>
        <w:t xml:space="preserve">is large (tightly clustered candidates),</w:t>
      </w:r>
      <w:r>
        <w:t xml:space="preserve"> </w:t>
      </w:r>
      <m:oMath>
        <m:r>
          <m:t>D</m:t>
        </m:r>
      </m:oMath>
      <w:r>
        <w:t xml:space="preserve"> </w:t>
      </w:r>
      <w:r>
        <w:t xml:space="preserve">is reduced to prevent over-smoothing; when</w:t>
      </w:r>
      <w:r>
        <w:t xml:space="preserve"> </w:t>
      </w:r>
      <m:oMath>
        <m:sSub>
          <m:e>
            <m:r>
              <m:t>λ</m:t>
            </m:r>
          </m:e>
          <m:sub>
            <m:r>
              <m:t>2</m:t>
            </m:r>
          </m:sub>
        </m:sSub>
      </m:oMath>
      <w:r>
        <w:t xml:space="preserve"> </w:t>
      </w:r>
      <w:r>
        <w:t xml:space="preserve">is small (sparse, dispersed candidates),</w:t>
      </w:r>
      <w:r>
        <w:t xml:space="preserve"> </w:t>
      </w:r>
      <m:oMath>
        <m:r>
          <m:t>D</m:t>
        </m:r>
      </m:oMath>
      <w:r>
        <w:t xml:space="preserve"> </w:t>
      </w:r>
      <w:r>
        <w:t xml:space="preserve">is increased to promote signal propagation.</w:t>
      </w:r>
    </w:p>
    <w:p>
      <w:pPr>
        <w:pStyle w:val="BodyText"/>
      </w:pPr>
      <w:r>
        <w:rPr>
          <w:bCs/>
          <w:b/>
        </w:rPr>
        <w:t xml:space="preserve">Cross-domain adaptive advection.</w:t>
      </w:r>
      <w:r>
        <w:t xml:space="preserve"> </w:t>
      </w:r>
      <w:r>
        <w:t xml:space="preserve">The variance of inter-document cosine similarities</w:t>
      </w:r>
      <w:r>
        <w:t xml:space="preserve"> </w:t>
      </w:r>
      <m:oMath>
        <m:sSubSup>
          <m:e>
            <m:r>
              <m:t>σ</m:t>
            </m:r>
          </m:e>
          <m:sub>
            <m:r>
              <m:rPr>
                <m:nor/>
                <m:sty m:val="p"/>
              </m:rPr>
              <m:t>sim</m:t>
            </m:r>
          </m:sub>
          <m:sup>
            <m:r>
              <m:t>2</m:t>
            </m:r>
          </m:sup>
        </m:sSubSup>
      </m:oMath>
      <w:r>
        <w:t xml:space="preserve"> </w:t>
      </w:r>
      <w:r>
        <w:t xml:space="preserve">serves as a proxy for semantic heterogeneity. We adjust the advection strength via linear interpolation:</w:t>
      </w:r>
    </w:p>
    <w:p>
      <w:pPr>
        <w:pStyle w:val="BodyText"/>
      </w:pPr>
      <m:oMathPara>
        <m:oMathParaPr>
          <m:jc m:val="center"/>
        </m:oMathParaPr>
        <m:oMath>
          <m:sSub>
            <m:e>
              <m:r>
                <m:t>u</m:t>
              </m:r>
            </m:e>
            <m:sub>
              <m:r>
                <m:rPr>
                  <m:nor/>
                  <m:sty m:val="p"/>
                </m:rPr>
                <m:t>adaptive</m:t>
              </m:r>
            </m:sub>
          </m:sSub>
          <m:r>
            <m:rPr>
              <m:sty m:val="p"/>
            </m:rPr>
            <m:t>=</m:t>
          </m:r>
          <m:sSub>
            <m:e>
              <m:r>
                <m:t>u</m:t>
              </m:r>
            </m:e>
            <m:sub>
              <m:r>
                <m:rPr>
                  <m:sty m:val="p"/>
                </m:rPr>
                <m:t>min</m:t>
              </m:r>
            </m:sub>
          </m:sSub>
          <m:r>
            <m:rPr>
              <m:sty m:val="p"/>
            </m:rPr>
            <m:t>+</m:t>
          </m:r>
          <m:d>
            <m:dPr>
              <m:begChr m:val="("/>
              <m:endChr m:val=")"/>
              <m:sepChr m:val=""/>
              <m:grow/>
            </m:dPr>
            <m:e>
              <m:sSub>
                <m:e>
                  <m:r>
                    <m:t>u</m:t>
                  </m:r>
                </m:e>
                <m:sub>
                  <m:r>
                    <m:rPr>
                      <m:sty m:val="p"/>
                    </m:rPr>
                    <m:t>max</m:t>
                  </m:r>
                </m:sub>
              </m:sSub>
              <m:r>
                <m:rPr>
                  <m:sty m:val="p"/>
                </m:rPr>
                <m:t>−</m:t>
              </m:r>
              <m:sSub>
                <m:e>
                  <m:r>
                    <m:t>u</m:t>
                  </m:r>
                </m:e>
                <m:sub>
                  <m:r>
                    <m:rPr>
                      <m:sty m:val="p"/>
                    </m:rPr>
                    <m:t>min</m:t>
                  </m:r>
                </m:sub>
              </m:sSub>
            </m:e>
          </m:d>
          <m:r>
            <m:rPr>
              <m:sty m:val="p"/>
            </m:rPr>
            <m:t>⋅</m:t>
          </m:r>
          <m:r>
            <m:rPr>
              <m:sty m:val="p"/>
            </m:rPr>
            <m:t>min</m:t>
          </m:r>
          <m:d>
            <m:dPr>
              <m:begChr m:val="("/>
              <m:endChr m:val=")"/>
              <m:sepChr m:val=""/>
              <m:grow/>
            </m:dPr>
            <m:e>
              <m:f>
                <m:fPr>
                  <m:type m:val="bar"/>
                </m:fPr>
                <m:num>
                  <m:sSubSup>
                    <m:e>
                      <m:r>
                        <m:t>σ</m:t>
                      </m:r>
                    </m:e>
                    <m:sub>
                      <m:r>
                        <m:rPr>
                          <m:nor/>
                          <m:sty m:val="p"/>
                        </m:rPr>
                        <m:t>sim</m:t>
                      </m:r>
                    </m:sub>
                    <m:sup>
                      <m:r>
                        <m:t>2</m:t>
                      </m:r>
                    </m:sup>
                  </m:sSubSup>
                </m:num>
                <m:den>
                  <m:r>
                    <m:t>0.04</m:t>
                  </m:r>
                </m:den>
              </m:f>
              <m:r>
                <m:rPr>
                  <m:sty m:val="p"/>
                </m:rPr>
                <m:t>,</m:t>
              </m:r>
              <m:r>
                <m:t> </m:t>
              </m:r>
              <m:r>
                <m:t>1</m:t>
              </m:r>
            </m:e>
          </m:d>
        </m:oMath>
      </m:oMathPara>
    </w:p>
    <w:p>
      <w:pPr>
        <w:pStyle w:val="FirstParagraph"/>
      </w:pPr>
      <w:r>
        <w:t xml:space="preserve">Higher variance (indicating cross-domain queries) triggers stronger advection to exploit the more pronounced directional gradients.</w:t>
      </w:r>
    </w:p>
    <w:bookmarkEnd w:id="31"/>
    <w:bookmarkStart w:id="32" w:name="shape-cfd-extension"/>
    <w:p>
      <w:pPr>
        <w:pStyle w:val="Heading3"/>
      </w:pPr>
      <w:r>
        <w:t xml:space="preserve">3.6 Shape-CFD Extension</w:t>
      </w:r>
    </w:p>
    <w:p>
      <w:pPr>
        <w:pStyle w:val="FirstParagraph"/>
      </w:pPr>
      <w:r>
        <w:t xml:space="preserve">The core innovation of Shape-CFD is the elevation of document representations from single points to multi-point</w:t>
      </w:r>
      <w:r>
        <w:t xml:space="preserve"> </w:t>
      </w:r>
      <w:r>
        <w:rPr>
          <w:iCs/>
          <w:i/>
        </w:rPr>
        <w:t xml:space="preserve">shapes</w:t>
      </w:r>
      <w:r>
        <w:t xml:space="preserve"> </w:t>
      </w:r>
      <w:r>
        <w:t xml:space="preserve">(point clouds).</w:t>
      </w:r>
    </w:p>
    <w:p>
      <w:pPr>
        <w:pStyle w:val="BodyText"/>
      </w:pPr>
      <w:r>
        <w:rPr>
          <w:bCs/>
          <w:b/>
        </w:rPr>
        <w:t xml:space="preserve">Point cloud representation.</w:t>
      </w:r>
      <w:r>
        <w:t xml:space="preserve"> </w:t>
      </w:r>
      <w:r>
        <w:t xml:space="preserve">Each document</w:t>
      </w:r>
      <w:r>
        <w:t xml:space="preserve"> </w:t>
      </w:r>
      <m:oMath>
        <m:sSub>
          <m:e>
            <m:r>
              <m:t>d</m:t>
            </m:r>
          </m:e>
          <m:sub>
            <m:r>
              <m:t>i</m:t>
            </m:r>
          </m:sub>
        </m:sSub>
      </m:oMath>
      <w:r>
        <w:t xml:space="preserve"> </w:t>
      </w:r>
      <w:r>
        <w:t xml:space="preserve">is decomposed into its constituent sentences, and each sentence is independently embedded to form a point cloud:</w:t>
      </w:r>
    </w:p>
    <w:p>
      <w:pPr>
        <w:pStyle w:val="BodyText"/>
      </w:pPr>
      <m:oMathPara>
        <m:oMathParaPr>
          <m:jc m:val="center"/>
        </m:oMathParaPr>
        <m:oMath>
          <m:sSub>
            <m:e>
              <m:r>
                <m:t>d</m:t>
              </m:r>
            </m:e>
            <m:sub>
              <m:r>
                <m:t>i</m:t>
              </m:r>
            </m:sub>
          </m:sSub>
          <m:r>
            <m:rPr>
              <m:sty m:val="p"/>
            </m:rPr>
            <m:t>→</m:t>
          </m:r>
          <m:sSub>
            <m:e>
              <m:r>
                <m:rPr>
                  <m:sty m:val="p"/>
                  <m:scr m:val="script"/>
                </m:rPr>
                <m:t>P</m:t>
              </m:r>
            </m:e>
            <m:sub>
              <m:r>
                <m:t>i</m:t>
              </m:r>
            </m:sub>
          </m:sSub>
          <m:r>
            <m:rPr>
              <m:sty m:val="p"/>
            </m:rPr>
            <m:t>=</m:t>
          </m:r>
          <m:r>
            <m:rPr>
              <m:sty m:val="p"/>
            </m:rPr>
            <m:t>{</m:t>
          </m:r>
          <m:sSub>
            <m:e>
              <m:r>
                <m:t>s</m:t>
              </m:r>
            </m:e>
            <m:sub>
              <m:r>
                <m:t>i</m:t>
              </m:r>
              <m:r>
                <m:rPr>
                  <m:sty m:val="p"/>
                </m:rPr>
                <m:t>,</m:t>
              </m:r>
              <m:r>
                <m:t>1</m:t>
              </m:r>
            </m:sub>
          </m:sSub>
          <m:r>
            <m:rPr>
              <m:sty m:val="p"/>
            </m:rPr>
            <m:t>,</m:t>
          </m:r>
          <m:sSub>
            <m:e>
              <m:r>
                <m:t>s</m:t>
              </m:r>
            </m:e>
            <m:sub>
              <m:r>
                <m:t>i</m:t>
              </m:r>
              <m:r>
                <m:rPr>
                  <m:sty m:val="p"/>
                </m:rPr>
                <m:t>,</m:t>
              </m:r>
              <m:r>
                <m:t>2</m:t>
              </m:r>
            </m:sub>
          </m:sSub>
          <m:r>
            <m:rPr>
              <m:sty m:val="p"/>
            </m:rPr>
            <m:t>,</m:t>
          </m:r>
          <m:r>
            <m:rPr>
              <m:sty m:val="p"/>
            </m:rPr>
            <m:t>…</m:t>
          </m:r>
          <m:r>
            <m:rPr>
              <m:sty m:val="p"/>
            </m:rPr>
            <m:t>,</m:t>
          </m:r>
          <m:sSub>
            <m:e>
              <m:r>
                <m:t>s</m:t>
              </m:r>
            </m:e>
            <m:sub>
              <m:r>
                <m:t>i</m:t>
              </m:r>
              <m:r>
                <m:rPr>
                  <m:sty m:val="p"/>
                </m:rPr>
                <m:t>,</m:t>
              </m:r>
              <m:sSub>
                <m:e>
                  <m:r>
                    <m:t>K</m:t>
                  </m:r>
                </m:e>
                <m:sub>
                  <m:r>
                    <m:t>i</m:t>
                  </m:r>
                </m:sub>
              </m:sSub>
            </m:sub>
          </m:sSub>
          <m:r>
            <m:rPr>
              <m:sty m:val="p"/>
            </m:rPr>
            <m:t>}</m:t>
          </m:r>
          <m:r>
            <m:rPr>
              <m:sty m:val="p"/>
            </m:rPr>
            <m:t>⊂</m:t>
          </m:r>
          <m:sSup>
            <m:e>
              <m:r>
                <m:rPr>
                  <m:sty m:val="p"/>
                  <m:scr m:val="double-struck"/>
                </m:rPr>
                <m:t>R</m:t>
              </m:r>
            </m:e>
            <m:sup>
              <m:r>
                <m:t>d</m:t>
              </m:r>
            </m:sup>
          </m:sSup>
        </m:oMath>
      </m:oMathPara>
    </w:p>
    <w:p>
      <w:pPr>
        <w:pStyle w:val="FirstParagraph"/>
      </w:pPr>
      <w:r>
        <w:t xml:space="preserve">where</w:t>
      </w:r>
      <w:r>
        <w:t xml:space="preserve"> </w:t>
      </w:r>
      <m:oMath>
        <m:sSub>
          <m:e>
            <m:r>
              <m:t>K</m:t>
            </m:r>
          </m:e>
          <m:sub>
            <m:r>
              <m:t>i</m:t>
            </m:r>
          </m:sub>
        </m:sSub>
      </m:oMath>
      <w:r>
        <w:t xml:space="preserve"> </w:t>
      </w:r>
      <w:r>
        <w:t xml:space="preserve">is the number of sentences in document</w:t>
      </w:r>
      <w:r>
        <w:t xml:space="preserve"> </w:t>
      </w:r>
      <m:oMath>
        <m:sSub>
          <m:e>
            <m:r>
              <m:t>d</m:t>
            </m:r>
          </m:e>
          <m:sub>
            <m:r>
              <m:t>i</m:t>
            </m:r>
          </m:sub>
        </m:sSub>
      </m:oMath>
      <w:r>
        <w:t xml:space="preserve">. Single-sentence documents naturally reduce to singleton point clouds, ensuring backward compatibility with the point-based AD-Rank.</w:t>
      </w:r>
    </w:p>
    <w:p>
      <w:pPr>
        <w:pStyle w:val="BodyText"/>
      </w:pPr>
      <w:r>
        <w:rPr>
          <w:bCs/>
          <w:b/>
        </w:rPr>
        <w:t xml:space="preserve">Chamfer distance.</w:t>
      </w:r>
      <w:r>
        <w:t xml:space="preserve"> </w:t>
      </w:r>
      <w:r>
        <w:t xml:space="preserve">We measure inter-document affinity using the symmetric Chamfer distance:</w:t>
      </w:r>
    </w:p>
    <w:p>
      <w:pPr>
        <w:pStyle w:val="BodyText"/>
      </w:pPr>
      <m:oMathPara>
        <m:oMathParaPr>
          <m:jc m:val="center"/>
        </m:oMathParaPr>
        <m:oMath>
          <m:sSub>
            <m:e>
              <m:r>
                <m:t>d</m:t>
              </m:r>
            </m:e>
            <m:sub>
              <m:r>
                <m:rPr>
                  <m:nor/>
                  <m:sty m:val="p"/>
                </m:rPr>
                <m:t>Chamfer</m:t>
              </m:r>
            </m:sub>
          </m:sSub>
          <m:d>
            <m:dPr>
              <m:begChr m:val="("/>
              <m:endChr m:val=")"/>
              <m:sepChr m:val=""/>
              <m:grow/>
            </m:dPr>
            <m:e>
              <m:sSub>
                <m:e>
                  <m:r>
                    <m:rPr>
                      <m:sty m:val="p"/>
                      <m:scr m:val="script"/>
                    </m:rPr>
                    <m:t>P</m:t>
                  </m:r>
                </m:e>
                <m:sub>
                  <m:r>
                    <m:t>A</m:t>
                  </m:r>
                </m:sub>
              </m:sSub>
              <m:r>
                <m:rPr>
                  <m:sty m:val="p"/>
                </m:rPr>
                <m:t>,</m:t>
              </m:r>
              <m:sSub>
                <m:e>
                  <m:r>
                    <m:rPr>
                      <m:sty m:val="p"/>
                      <m:scr m:val="script"/>
                    </m:rPr>
                    <m:t>P</m:t>
                  </m:r>
                </m:e>
                <m:sub>
                  <m:r>
                    <m:t>B</m:t>
                  </m:r>
                </m:sub>
              </m:sSub>
            </m:e>
          </m:d>
          <m:r>
            <m:rPr>
              <m:sty m:val="p"/>
            </m:rPr>
            <m:t>=</m:t>
          </m:r>
          <m:f>
            <m:fPr>
              <m:type m:val="bar"/>
            </m:fPr>
            <m:num>
              <m:r>
                <m:t>1</m:t>
              </m:r>
            </m:num>
            <m:den>
              <m:d>
                <m:dPr>
                  <m:begChr m:val="|"/>
                  <m:endChr m:val="|"/>
                  <m:sepChr m:val=""/>
                  <m:grow/>
                </m:dPr>
                <m:e>
                  <m:sSub>
                    <m:e>
                      <m:r>
                        <m:rPr>
                          <m:sty m:val="p"/>
                          <m:scr m:val="script"/>
                        </m:rPr>
                        <m:t>P</m:t>
                      </m:r>
                    </m:e>
                    <m:sub>
                      <m:r>
                        <m:t>A</m:t>
                      </m:r>
                    </m:sub>
                  </m:sSub>
                </m:e>
              </m:d>
            </m:den>
          </m:f>
          <m:nary>
            <m:naryPr>
              <m:chr m:val="∑"/>
              <m:limLoc m:val="undOvr"/>
              <m:subHide m:val="off"/>
              <m:supHide m:val="on"/>
            </m:naryPr>
            <m:sub>
              <m:r>
                <m:t>a</m:t>
              </m:r>
              <m:r>
                <m:rPr>
                  <m:sty m:val="p"/>
                </m:rPr>
                <m:t>∈</m:t>
              </m:r>
              <m:sSub>
                <m:e>
                  <m:r>
                    <m:rPr>
                      <m:sty m:val="p"/>
                      <m:scr m:val="script"/>
                    </m:rPr>
                    <m:t>P</m:t>
                  </m:r>
                </m:e>
                <m:sub>
                  <m:r>
                    <m:t>A</m:t>
                  </m:r>
                </m:sub>
              </m:sSub>
            </m:sub>
            <m:sup>
              <m:r>
                <m:t>​</m:t>
              </m:r>
            </m:sup>
            <m:e>
              <m:limLow>
                <m:e>
                  <m:r>
                    <m:rPr>
                      <m:sty m:val="p"/>
                    </m:rPr>
                    <m:t>min</m:t>
                  </m:r>
                </m:e>
                <m:lim>
                  <m:r>
                    <m:t>b</m:t>
                  </m:r>
                  <m:r>
                    <m:rPr>
                      <m:sty m:val="p"/>
                    </m:rPr>
                    <m:t>∈</m:t>
                  </m:r>
                  <m:sSub>
                    <m:e>
                      <m:r>
                        <m:rPr>
                          <m:sty m:val="p"/>
                          <m:scr m:val="script"/>
                        </m:rPr>
                        <m:t>P</m:t>
                      </m:r>
                    </m:e>
                    <m:sub>
                      <m:r>
                        <m:t>B</m:t>
                      </m:r>
                    </m:sub>
                  </m:sSub>
                </m:lim>
              </m:limLow>
            </m:e>
          </m:nary>
          <m:sSub>
            <m:e>
              <m:r>
                <m:t>d</m:t>
              </m:r>
            </m:e>
            <m:sub>
              <m:r>
                <m:rPr>
                  <m:sty m:val="p"/>
                </m:rPr>
                <m:t>cos</m:t>
              </m:r>
            </m:sub>
          </m:sSub>
          <m:d>
            <m:dPr>
              <m:begChr m:val="("/>
              <m:endChr m:val=")"/>
              <m:sepChr m:val=""/>
              <m:grow/>
            </m:dPr>
            <m:e>
              <m:r>
                <m:t>a</m:t>
              </m:r>
              <m:r>
                <m:rPr>
                  <m:sty m:val="p"/>
                </m:rPr>
                <m:t>,</m:t>
              </m:r>
              <m:r>
                <m:t>b</m:t>
              </m:r>
            </m:e>
          </m:d>
          <m:r>
            <m:rPr>
              <m:sty m:val="p"/>
            </m:rPr>
            <m:t>+</m:t>
          </m:r>
          <m:f>
            <m:fPr>
              <m:type m:val="bar"/>
            </m:fPr>
            <m:num>
              <m:r>
                <m:t>1</m:t>
              </m:r>
            </m:num>
            <m:den>
              <m:d>
                <m:dPr>
                  <m:begChr m:val="|"/>
                  <m:endChr m:val="|"/>
                  <m:sepChr m:val=""/>
                  <m:grow/>
                </m:dPr>
                <m:e>
                  <m:sSub>
                    <m:e>
                      <m:r>
                        <m:rPr>
                          <m:sty m:val="p"/>
                          <m:scr m:val="script"/>
                        </m:rPr>
                        <m:t>P</m:t>
                      </m:r>
                    </m:e>
                    <m:sub>
                      <m:r>
                        <m:t>B</m:t>
                      </m:r>
                    </m:sub>
                  </m:sSub>
                </m:e>
              </m:d>
            </m:den>
          </m:f>
          <m:nary>
            <m:naryPr>
              <m:chr m:val="∑"/>
              <m:limLoc m:val="undOvr"/>
              <m:subHide m:val="off"/>
              <m:supHide m:val="on"/>
            </m:naryPr>
            <m:sub>
              <m:r>
                <m:t>b</m:t>
              </m:r>
              <m:r>
                <m:rPr>
                  <m:sty m:val="p"/>
                </m:rPr>
                <m:t>∈</m:t>
              </m:r>
              <m:sSub>
                <m:e>
                  <m:r>
                    <m:rPr>
                      <m:sty m:val="p"/>
                      <m:scr m:val="script"/>
                    </m:rPr>
                    <m:t>P</m:t>
                  </m:r>
                </m:e>
                <m:sub>
                  <m:r>
                    <m:t>B</m:t>
                  </m:r>
                </m:sub>
              </m:sSub>
            </m:sub>
            <m:sup>
              <m:r>
                <m:t>​</m:t>
              </m:r>
            </m:sup>
            <m:e>
              <m:limLow>
                <m:e>
                  <m:r>
                    <m:rPr>
                      <m:sty m:val="p"/>
                    </m:rPr>
                    <m:t>min</m:t>
                  </m:r>
                </m:e>
                <m:lim>
                  <m:r>
                    <m:t>a</m:t>
                  </m:r>
                  <m:r>
                    <m:rPr>
                      <m:sty m:val="p"/>
                    </m:rPr>
                    <m:t>∈</m:t>
                  </m:r>
                  <m:sSub>
                    <m:e>
                      <m:r>
                        <m:rPr>
                          <m:sty m:val="p"/>
                          <m:scr m:val="script"/>
                        </m:rPr>
                        <m:t>P</m:t>
                      </m:r>
                    </m:e>
                    <m:sub>
                      <m:r>
                        <m:t>A</m:t>
                      </m:r>
                    </m:sub>
                  </m:sSub>
                </m:lim>
              </m:limLow>
            </m:e>
          </m:nary>
          <m:sSub>
            <m:e>
              <m:r>
                <m:t>d</m:t>
              </m:r>
            </m:e>
            <m:sub>
              <m:r>
                <m:rPr>
                  <m:sty m:val="p"/>
                </m:rPr>
                <m:t>cos</m:t>
              </m:r>
            </m:sub>
          </m:sSub>
          <m:d>
            <m:dPr>
              <m:begChr m:val="("/>
              <m:endChr m:val=")"/>
              <m:sepChr m:val=""/>
              <m:grow/>
            </m:dPr>
            <m:e>
              <m:r>
                <m:t>a</m:t>
              </m:r>
              <m:r>
                <m:rPr>
                  <m:sty m:val="p"/>
                </m:rPr>
                <m:t>,</m:t>
              </m:r>
              <m:r>
                <m:t>b</m:t>
              </m:r>
            </m:e>
          </m:d>
        </m:oMath>
      </m:oMathPara>
    </w:p>
    <w:p>
      <w:pPr>
        <w:pStyle w:val="FirstParagraph"/>
      </w:pPr>
      <w:r>
        <w:t xml:space="preserve">where</w:t>
      </w:r>
      <w:r>
        <w:t xml:space="preserve"> </w:t>
      </w:r>
      <m:oMath>
        <m:sSub>
          <m:e>
            <m:r>
              <m:t>d</m:t>
            </m:r>
          </m:e>
          <m:sub>
            <m:r>
              <m:rPr>
                <m:sty m:val="p"/>
              </m:rPr>
              <m:t>cos</m:t>
            </m:r>
          </m:sub>
        </m:sSub>
        <m:d>
          <m:dPr>
            <m:begChr m:val="("/>
            <m:endChr m:val=")"/>
            <m:sepChr m:val=""/>
            <m:grow/>
          </m:dPr>
          <m:e>
            <m:r>
              <m:t>a</m:t>
            </m:r>
            <m:r>
              <m:rPr>
                <m:sty m:val="p"/>
              </m:rPr>
              <m:t>,</m:t>
            </m:r>
            <m:r>
              <m:t>b</m:t>
            </m:r>
          </m:e>
        </m:d>
        <m:r>
          <m:rPr>
            <m:sty m:val="p"/>
          </m:rPr>
          <m:t>=</m:t>
        </m:r>
        <m:r>
          <m:t>1</m:t>
        </m:r>
        <m:r>
          <m:rPr>
            <m:sty m:val="p"/>
          </m:rPr>
          <m:t>−</m:t>
        </m:r>
        <m:r>
          <m:rPr>
            <m:sty m:val="p"/>
          </m:rPr>
          <m:t>cos</m:t>
        </m:r>
        <m:d>
          <m:dPr>
            <m:begChr m:val="("/>
            <m:endChr m:val=")"/>
            <m:sepChr m:val=""/>
            <m:grow/>
          </m:dPr>
          <m:e>
            <m:r>
              <m:t>a</m:t>
            </m:r>
            <m:r>
              <m:rPr>
                <m:sty m:val="p"/>
              </m:rPr>
              <m:t>,</m:t>
            </m:r>
            <m:r>
              <m:t>b</m:t>
            </m:r>
          </m:e>
        </m:d>
      </m:oMath>
      <w:r>
        <w:t xml:space="preserve"> </w:t>
      </w:r>
      <w:r>
        <w:t xml:space="preserve">is the cosine distance. Unlike the cosine similarity between centroids, the Chamfer distance captures</w:t>
      </w:r>
      <w:r>
        <w:t xml:space="preserve"> </w:t>
      </w:r>
      <w:r>
        <w:rPr>
          <w:iCs/>
          <w:i/>
        </w:rPr>
        <w:t xml:space="preserve">local</w:t>
      </w:r>
      <w:r>
        <w:t xml:space="preserve"> </w:t>
      </w:r>
      <w:r>
        <w:t xml:space="preserve">semantic matches: even when two documents are globally dissimilar, high similarity between specific sentence pairs yields a small Chamfer distance.</w:t>
      </w:r>
    </w:p>
    <w:p>
      <w:pPr>
        <w:pStyle w:val="BodyText"/>
      </w:pPr>
      <w:r>
        <w:rPr>
          <w:bCs/>
          <w:b/>
        </w:rPr>
        <w:t xml:space="preserve">Shape-aware graph weights and initial conditions.</w:t>
      </w:r>
      <w:r>
        <w:t xml:space="preserve"> </w:t>
      </w:r>
      <w:r>
        <w:t xml:space="preserve">We replace the cosine-based graph construction with Chamfer-based equivalents:</w:t>
      </w:r>
    </w:p>
    <w:p>
      <w:pPr>
        <w:pStyle w:val="BodyText"/>
      </w:pPr>
      <m:oMathPara>
        <m:oMathParaPr>
          <m:jc m:val="center"/>
        </m:oMathParaPr>
        <m:oMath>
          <m:sSubSup>
            <m:e>
              <m:r>
                <m:t>W</m:t>
              </m:r>
            </m:e>
            <m:sub>
              <m:r>
                <m:t>i</m:t>
              </m:r>
              <m:r>
                <m:t>j</m:t>
              </m:r>
            </m:sub>
            <m:sup>
              <m:r>
                <m:rPr>
                  <m:nor/>
                  <m:sty m:val="p"/>
                </m:rPr>
                <m:t>shape</m:t>
              </m:r>
            </m:sup>
          </m:sSubSup>
          <m:r>
            <m:rPr>
              <m:sty m:val="p"/>
            </m:rPr>
            <m:t>=</m:t>
          </m:r>
          <m:r>
            <m:rPr>
              <m:sty m:val="p"/>
            </m:rPr>
            <m:t>exp</m:t>
          </m:r>
          <m:d>
            <m:dPr>
              <m:begChr m:val="("/>
              <m:endChr m:val=")"/>
              <m:sepChr m:val=""/>
              <m:grow/>
            </m:dPr>
            <m:e>
              <m:r>
                <m:rPr>
                  <m:sty m:val="p"/>
                </m:rPr>
                <m:t>−</m:t>
              </m:r>
              <m:r>
                <m:t>β</m:t>
              </m:r>
              <m:r>
                <m:rPr>
                  <m:sty m:val="p"/>
                </m:rPr>
                <m:t>⋅</m:t>
              </m:r>
              <m:sSub>
                <m:e>
                  <m:r>
                    <m:t>d</m:t>
                  </m:r>
                </m:e>
                <m:sub>
                  <m:r>
                    <m:rPr>
                      <m:nor/>
                      <m:sty m:val="p"/>
                    </m:rPr>
                    <m:t>Chamfer</m:t>
                  </m:r>
                </m:sub>
              </m:sSub>
              <m:d>
                <m:dPr>
                  <m:begChr m:val="("/>
                  <m:endChr m:val=")"/>
                  <m:sepChr m:val=""/>
                  <m:grow/>
                </m:dPr>
                <m:e>
                  <m:sSub>
                    <m:e>
                      <m:r>
                        <m:rPr>
                          <m:sty m:val="p"/>
                          <m:scr m:val="script"/>
                        </m:rPr>
                        <m:t>P</m:t>
                      </m:r>
                    </m:e>
                    <m:sub>
                      <m:r>
                        <m:t>i</m:t>
                      </m:r>
                    </m:sub>
                  </m:sSub>
                  <m:r>
                    <m:rPr>
                      <m:sty m:val="p"/>
                    </m:rPr>
                    <m:t>,</m:t>
                  </m:r>
                  <m:sSub>
                    <m:e>
                      <m:r>
                        <m:rPr>
                          <m:sty m:val="p"/>
                          <m:scr m:val="script"/>
                        </m:rPr>
                        <m:t>P</m:t>
                      </m:r>
                    </m:e>
                    <m:sub>
                      <m:r>
                        <m:t>j</m:t>
                      </m:r>
                    </m:sub>
                  </m:sSub>
                </m:e>
              </m:d>
            </m:e>
          </m:d>
        </m:oMath>
      </m:oMathPara>
    </w:p>
    <w:p>
      <w:pPr>
        <w:pStyle w:val="FirstParagraph"/>
      </w:pPr>
      <m:oMathPara>
        <m:oMathParaPr>
          <m:jc m:val="center"/>
        </m:oMathParaPr>
        <m:oMath>
          <m:sSub>
            <m:e>
              <m:r>
                <m:t>C</m:t>
              </m:r>
            </m:e>
            <m:sub>
              <m:r>
                <m:t>0</m:t>
              </m:r>
            </m:sub>
          </m:sSub>
          <m:d>
            <m:dPr>
              <m:begChr m:val="("/>
              <m:endChr m:val=")"/>
              <m:sepChr m:val=""/>
              <m:grow/>
            </m:dPr>
            <m:e>
              <m:r>
                <m:t>i</m:t>
              </m:r>
            </m:e>
          </m:d>
          <m:r>
            <m:rPr>
              <m:sty m:val="p"/>
            </m:rPr>
            <m:t>=</m:t>
          </m:r>
          <m:r>
            <m:rPr>
              <m:sty m:val="p"/>
            </m:rPr>
            <m:t>exp</m:t>
          </m:r>
          <m:d>
            <m:dPr>
              <m:begChr m:val="("/>
              <m:endChr m:val=")"/>
              <m:sepChr m:val=""/>
              <m:grow/>
            </m:dPr>
            <m:e>
              <m:r>
                <m:rPr>
                  <m:sty m:val="p"/>
                </m:rPr>
                <m:t>−</m:t>
              </m:r>
              <m:r>
                <m:t>2</m:t>
              </m:r>
              <m:r>
                <m:rPr>
                  <m:sty m:val="p"/>
                </m:rPr>
                <m:t>⋅</m:t>
              </m:r>
              <m:sSub>
                <m:e>
                  <m:r>
                    <m:t>d</m:t>
                  </m:r>
                </m:e>
                <m:sub>
                  <m:r>
                    <m:rPr>
                      <m:nor/>
                      <m:sty m:val="p"/>
                    </m:rPr>
                    <m:t>Chamfer</m:t>
                  </m:r>
                </m:sub>
              </m:sSub>
              <m:d>
                <m:dPr>
                  <m:begChr m:val="("/>
                  <m:endChr m:val=")"/>
                  <m:sepChr m:val=""/>
                  <m:grow/>
                </m:dPr>
                <m:e>
                  <m:sSub>
                    <m:e>
                      <m:r>
                        <m:rPr>
                          <m:sty m:val="p"/>
                          <m:scr m:val="script"/>
                        </m:rPr>
                        <m:t>P</m:t>
                      </m:r>
                    </m:e>
                    <m:sub>
                      <m:r>
                        <m:t>q</m:t>
                      </m:r>
                    </m:sub>
                  </m:sSub>
                  <m:r>
                    <m:rPr>
                      <m:sty m:val="p"/>
                    </m:rPr>
                    <m:t>,</m:t>
                  </m:r>
                  <m:sSub>
                    <m:e>
                      <m:r>
                        <m:rPr>
                          <m:sty m:val="p"/>
                          <m:scr m:val="script"/>
                        </m:rPr>
                        <m:t>P</m:t>
                      </m:r>
                    </m:e>
                    <m:sub>
                      <m:r>
                        <m:t>i</m:t>
                      </m:r>
                    </m:sub>
                  </m:sSub>
                </m:e>
              </m:d>
            </m:e>
          </m:d>
        </m:oMath>
      </m:oMathPara>
    </w:p>
    <w:p>
      <w:pPr>
        <w:pStyle w:val="FirstParagraph"/>
      </w:pPr>
      <w:r>
        <w:t xml:space="preserve">The exponential mapping ensures non-negative initial concentrations (</w:t>
      </w:r>
      <m:oMath>
        <m:sSub>
          <m:e>
            <m:r>
              <m:t>C</m:t>
            </m:r>
          </m:e>
          <m:sub>
            <m:r>
              <m:t>0</m:t>
            </m:r>
          </m:sub>
        </m:sSub>
        <m:r>
          <m:rPr>
            <m:sty m:val="p"/>
          </m:rPr>
          <m:t>≥</m:t>
        </m:r>
        <m:r>
          <m:t>0</m:t>
        </m:r>
      </m:oMath>
      <w:r>
        <w:t xml:space="preserve">), resolving the physical inconsistency of negative concentrations that arises when using raw cosine similarities (which can be negative) as initial conditions in the diffusion process.</w:t>
      </w:r>
    </w:p>
    <w:p>
      <w:pPr>
        <w:pStyle w:val="BodyText"/>
      </w:pPr>
      <w:r>
        <w:rPr>
          <w:bCs/>
          <w:b/>
        </w:rPr>
        <w:t xml:space="preserve">Centroid-based advection.</w:t>
      </w:r>
      <w:r>
        <w:t xml:space="preserve"> </w:t>
      </w:r>
      <w:r>
        <w:t xml:space="preserve">For the advection direction, we compute the normalized centroid of each point cloud:</w:t>
      </w:r>
    </w:p>
    <w:p>
      <w:pPr>
        <w:pStyle w:val="BodyText"/>
      </w:pPr>
      <m:oMathPara>
        <m:oMathParaPr>
          <m:jc m:val="center"/>
        </m:oMathParaPr>
        <m:oMath>
          <m:sSub>
            <m:e>
              <m:acc>
                <m:accPr>
                  <m:chr m:val="‾"/>
                </m:accPr>
                <m:e>
                  <m:r>
                    <m:t>v</m:t>
                  </m:r>
                </m:e>
              </m:acc>
            </m:e>
            <m:sub>
              <m:r>
                <m:t>i</m:t>
              </m:r>
            </m:sub>
          </m:sSub>
          <m:r>
            <m:rPr>
              <m:sty m:val="p"/>
            </m:rPr>
            <m:t>=</m:t>
          </m:r>
          <m:f>
            <m:fPr>
              <m:type m:val="bar"/>
            </m:fPr>
            <m:num>
              <m:nary>
                <m:naryPr>
                  <m:chr m:val="∑"/>
                  <m:limLoc m:val="undOvr"/>
                  <m:subHide m:val="off"/>
                  <m:supHide m:val="off"/>
                </m:naryPr>
                <m:sub>
                  <m:r>
                    <m:t>k</m:t>
                  </m:r>
                  <m:r>
                    <m:rPr>
                      <m:sty m:val="p"/>
                    </m:rPr>
                    <m:t>=</m:t>
                  </m:r>
                  <m:r>
                    <m:t>1</m:t>
                  </m:r>
                </m:sub>
                <m:sup>
                  <m:sSub>
                    <m:e>
                      <m:r>
                        <m:t>K</m:t>
                      </m:r>
                    </m:e>
                    <m:sub>
                      <m:r>
                        <m:t>i</m:t>
                      </m:r>
                    </m:sub>
                  </m:sSub>
                </m:sup>
                <m:e>
                  <m:sSub>
                    <m:e>
                      <m:r>
                        <m:t>s</m:t>
                      </m:r>
                    </m:e>
                    <m:sub>
                      <m:r>
                        <m:t>i</m:t>
                      </m:r>
                      <m:r>
                        <m:rPr>
                          <m:sty m:val="p"/>
                        </m:rPr>
                        <m:t>,</m:t>
                      </m:r>
                      <m:r>
                        <m:t>k</m:t>
                      </m:r>
                    </m:sub>
                  </m:sSub>
                </m:e>
              </m:nary>
            </m:num>
            <m:den>
              <m:sSub>
                <m:e>
                  <m:d>
                    <m:dPr>
                      <m:begChr m:val="∥"/>
                      <m:endChr m:val="∥"/>
                      <m:sepChr m:val=""/>
                      <m:grow/>
                    </m:dPr>
                    <m:e>
                      <m:nary>
                        <m:naryPr>
                          <m:chr m:val="∑"/>
                          <m:limLoc m:val="undOvr"/>
                          <m:subHide m:val="off"/>
                          <m:supHide m:val="off"/>
                        </m:naryPr>
                        <m:sub>
                          <m:r>
                            <m:t>k</m:t>
                          </m:r>
                          <m:r>
                            <m:rPr>
                              <m:sty m:val="p"/>
                            </m:rPr>
                            <m:t>=</m:t>
                          </m:r>
                          <m:r>
                            <m:t>1</m:t>
                          </m:r>
                        </m:sub>
                        <m:sup>
                          <m:sSub>
                            <m:e>
                              <m:r>
                                <m:t>K</m:t>
                              </m:r>
                            </m:e>
                            <m:sub>
                              <m:r>
                                <m:t>i</m:t>
                              </m:r>
                            </m:sub>
                          </m:sSub>
                        </m:sup>
                        <m:e>
                          <m:sSub>
                            <m:e>
                              <m:r>
                                <m:t>s</m:t>
                              </m:r>
                            </m:e>
                            <m:sub>
                              <m:r>
                                <m:t>i</m:t>
                              </m:r>
                              <m:r>
                                <m:rPr>
                                  <m:sty m:val="p"/>
                                </m:rPr>
                                <m:t>,</m:t>
                              </m:r>
                              <m:r>
                                <m:t>k</m:t>
                              </m:r>
                            </m:sub>
                          </m:sSub>
                        </m:e>
                      </m:nary>
                    </m:e>
                  </m:d>
                </m:e>
                <m:sub>
                  <m:r>
                    <m:t>2</m:t>
                  </m:r>
                </m:sub>
              </m:sSub>
            </m:den>
          </m:f>
        </m:oMath>
      </m:oMathPara>
    </w:p>
    <w:p>
      <w:pPr>
        <w:pStyle w:val="FirstParagraph"/>
      </w:pPr>
      <w:r>
        <w:t xml:space="preserve">and define the shape-aware advection coefficient as:</w:t>
      </w:r>
    </w:p>
    <w:p>
      <w:pPr>
        <w:pStyle w:val="BodyText"/>
      </w:pPr>
      <m:oMathPara>
        <m:oMathParaPr>
          <m:jc m:val="center"/>
        </m:oMathParaPr>
        <m:oMath>
          <m:sSubSup>
            <m:e>
              <m:r>
                <m:t>u</m:t>
              </m:r>
            </m:e>
            <m:sub>
              <m:r>
                <m:t>i</m:t>
              </m:r>
              <m:r>
                <m:t>j</m:t>
              </m:r>
            </m:sub>
            <m:sup>
              <m:r>
                <m:rPr>
                  <m:nor/>
                  <m:sty m:val="p"/>
                </m:rPr>
                <m:t>shape</m:t>
              </m:r>
            </m:sup>
          </m:sSubSup>
          <m:r>
            <m:rPr>
              <m:sty m:val="p"/>
            </m:rPr>
            <m:t>=</m:t>
          </m:r>
          <m:d>
            <m:dPr>
              <m:begChr m:val="⟨"/>
              <m:endChr m:val="⟩"/>
              <m:sepChr m:val=""/>
              <m:grow/>
            </m:dPr>
            <m:e>
              <m:f>
                <m:fPr>
                  <m:type m:val="bar"/>
                </m:fPr>
                <m:num>
                  <m:sSub>
                    <m:e>
                      <m:acc>
                        <m:accPr>
                          <m:chr m:val="‾"/>
                        </m:accPr>
                        <m:e>
                          <m:r>
                            <m:t>v</m:t>
                          </m:r>
                        </m:e>
                      </m:acc>
                    </m:e>
                    <m:sub>
                      <m:r>
                        <m:t>j</m:t>
                      </m:r>
                    </m:sub>
                  </m:sSub>
                  <m:r>
                    <m:rPr>
                      <m:sty m:val="p"/>
                    </m:rPr>
                    <m:t>−</m:t>
                  </m:r>
                  <m:sSub>
                    <m:e>
                      <m:acc>
                        <m:accPr>
                          <m:chr m:val="‾"/>
                        </m:accPr>
                        <m:e>
                          <m:r>
                            <m:t>v</m:t>
                          </m:r>
                        </m:e>
                      </m:acc>
                    </m:e>
                    <m:sub>
                      <m:r>
                        <m:t>i</m:t>
                      </m:r>
                    </m:sub>
                  </m:sSub>
                </m:num>
                <m:den>
                  <m:r>
                    <m:rPr>
                      <m:sty m:val="p"/>
                    </m:rPr>
                    <m:t>∥</m:t>
                  </m:r>
                  <m:sSub>
                    <m:e>
                      <m:acc>
                        <m:accPr>
                          <m:chr m:val="‾"/>
                        </m:accPr>
                        <m:e>
                          <m:r>
                            <m:t>v</m:t>
                          </m:r>
                        </m:e>
                      </m:acc>
                    </m:e>
                    <m:sub>
                      <m:r>
                        <m:t>j</m:t>
                      </m:r>
                    </m:sub>
                  </m:sSub>
                  <m:r>
                    <m:rPr>
                      <m:sty m:val="p"/>
                    </m:rPr>
                    <m:t>−</m:t>
                  </m:r>
                  <m:sSub>
                    <m:e>
                      <m:acc>
                        <m:accPr>
                          <m:chr m:val="‾"/>
                        </m:accPr>
                        <m:e>
                          <m:r>
                            <m:t>v</m:t>
                          </m:r>
                        </m:e>
                      </m:acc>
                    </m:e>
                    <m:sub>
                      <m:r>
                        <m:t>i</m:t>
                      </m:r>
                    </m:sub>
                  </m:sSub>
                  <m:r>
                    <m:rPr>
                      <m:sty m:val="p"/>
                    </m:rPr>
                    <m:t>∥</m:t>
                  </m:r>
                </m:den>
              </m:f>
              <m:r>
                <m:rPr>
                  <m:sty m:val="p"/>
                </m:rPr>
                <m:t>,</m:t>
              </m:r>
              <m:r>
                <m:t> </m:t>
              </m:r>
              <m:f>
                <m:fPr>
                  <m:type m:val="bar"/>
                </m:fPr>
                <m:num>
                  <m:sSub>
                    <m:e>
                      <m:acc>
                        <m:accPr>
                          <m:chr m:val="‾"/>
                        </m:accPr>
                        <m:e>
                          <m:r>
                            <m:t>v</m:t>
                          </m:r>
                        </m:e>
                      </m:acc>
                    </m:e>
                    <m:sub>
                      <m:r>
                        <m:t>q</m:t>
                      </m:r>
                    </m:sub>
                  </m:sSub>
                </m:num>
                <m:den>
                  <m:r>
                    <m:rPr>
                      <m:sty m:val="p"/>
                    </m:rPr>
                    <m:t>∥</m:t>
                  </m:r>
                  <m:sSub>
                    <m:e>
                      <m:acc>
                        <m:accPr>
                          <m:chr m:val="‾"/>
                        </m:accPr>
                        <m:e>
                          <m:r>
                            <m:t>v</m:t>
                          </m:r>
                        </m:e>
                      </m:acc>
                    </m:e>
                    <m:sub>
                      <m:r>
                        <m:t>q</m:t>
                      </m:r>
                    </m:sub>
                  </m:sSub>
                  <m:r>
                    <m:rPr>
                      <m:sty m:val="p"/>
                    </m:rPr>
                    <m:t>∥</m:t>
                  </m:r>
                </m:den>
              </m:f>
            </m:e>
          </m:d>
          <m:r>
            <m:rPr>
              <m:sty m:val="p"/>
            </m:rPr>
            <m:t>⋅</m:t>
          </m:r>
          <m:sSub>
            <m:e>
              <m:r>
                <m:t>u</m:t>
              </m:r>
            </m:e>
            <m:sub>
              <m:r>
                <m:rPr>
                  <m:nor/>
                  <m:sty m:val="p"/>
                </m:rPr>
                <m:t>strength</m:t>
              </m:r>
            </m:sub>
          </m:sSub>
        </m:oMath>
      </m:oMathPara>
    </w:p>
    <w:p>
      <w:pPr>
        <w:pStyle w:val="FirstParagraph"/>
      </w:pPr>
      <w:r>
        <w:t xml:space="preserve">The explicit</w:t>
      </w:r>
      <w:r>
        <w:t xml:space="preserve"> </w:t>
      </w:r>
      <m:oMath>
        <m:sSub>
          <m:e>
            <m:r>
              <m:t>L</m:t>
            </m:r>
          </m:e>
          <m:sub>
            <m:r>
              <m:t>2</m:t>
            </m:r>
          </m:sub>
        </m:sSub>
      </m:oMath>
      <w:r>
        <w:t xml:space="preserve">-normalization of the centroid sum is critical: without it, documents with many semantically diverse sentences would have centroids that collapse toward the origin (</w:t>
      </w:r>
      <m:oMath>
        <m:r>
          <m:rPr>
            <m:sty m:val="p"/>
          </m:rPr>
          <m:t>∥</m:t>
        </m:r>
        <m:sSub>
          <m:e>
            <m:acc>
              <m:accPr>
                <m:chr m:val="‾"/>
              </m:accPr>
              <m:e>
                <m:r>
                  <m:t>v</m:t>
                </m:r>
              </m:e>
            </m:acc>
          </m:e>
          <m:sub>
            <m:r>
              <m:t>i</m:t>
            </m:r>
          </m:sub>
        </m:sSub>
        <m:r>
          <m:rPr>
            <m:sty m:val="p"/>
          </m:rPr>
          <m:t>∥</m:t>
        </m:r>
        <m:r>
          <m:rPr>
            <m:sty m:val="p"/>
          </m:rPr>
          <m:t>→</m:t>
        </m:r>
        <m:r>
          <m:t>0</m:t>
        </m:r>
      </m:oMath>
      <w:r>
        <w:t xml:space="preserve">), introducing a severe document-length bias into the advection field.</w:t>
      </w:r>
    </w:p>
    <w:p>
      <w:pPr>
        <w:pStyle w:val="BodyText"/>
      </w:pPr>
      <w:r>
        <w:rPr>
          <w:bCs/>
          <w:b/>
        </w:rPr>
        <w:t xml:space="preserve">Metric space inconsistency (known limitation).</w:t>
      </w:r>
      <w:r>
        <w:t xml:space="preserve"> </w:t>
      </w:r>
      <w:r>
        <w:t xml:space="preserve">We acknowledge a fundamental tension in this formulation: the graph topology is constructed using Chamfer distance (a set-theoretic metric on point clouds), while the advection coefficients are computed from centroid differences (a Euclidean metric on single points). This places the diffusion and advection operators in two different metric spaces—a gap that is theoretically unsatisfying. We adopt this hybrid approach as a pragmatic engineering compromise in the current version: Chamfer distance captures fine-grained inter-document structure, while centroid-based advection remains computationally tractable. In Section 6, we propose</w:t>
      </w:r>
      <w:r>
        <w:t xml:space="preserve"> </w:t>
      </w:r>
      <w:r>
        <w:rPr>
          <w:iCs/>
          <w:i/>
        </w:rPr>
        <w:t xml:space="preserve">scalar potential convection</w:t>
      </w:r>
      <w:r>
        <w:t xml:space="preserve"> </w:t>
      </w:r>
      <w:r>
        <w:t xml:space="preserve">as a principled resolution that eliminates this inconsistency entirely.</w:t>
      </w:r>
    </w:p>
    <w:p>
      <w:pPr>
        <w:pStyle w:val="BodyText"/>
      </w:pPr>
      <w:r>
        <w:rPr>
          <w:bCs/>
          <w:b/>
        </w:rPr>
        <w:t xml:space="preserve">Noise dilution in symmetric Chamfer (known limitation).</w:t>
      </w:r>
      <w:r>
        <w:t xml:space="preserve"> </w:t>
      </w:r>
      <w:r>
        <w:t xml:space="preserve">The symmetric Chamfer distance averages over</w:t>
      </w:r>
      <w:r>
        <w:t xml:space="preserve"> </w:t>
      </w:r>
      <w:r>
        <w:rPr>
          <w:iCs/>
          <w:i/>
        </w:rPr>
        <w:t xml:space="preserve">both</w:t>
      </w:r>
      <w:r>
        <w:t xml:space="preserve"> </w:t>
      </w:r>
      <w:r>
        <w:t xml:space="preserve">forward and reverse nearest-neighbor distances. In retrieval scenarios where a long document (</w:t>
      </w:r>
      <m:oMath>
        <m:sSub>
          <m:e>
            <m:r>
              <m:t>K</m:t>
            </m:r>
          </m:e>
          <m:sub>
            <m:r>
              <m:t>i</m:t>
            </m:r>
          </m:sub>
        </m:sSub>
        <m:r>
          <m:rPr>
            <m:sty m:val="p"/>
          </m:rPr>
          <m:t>=</m:t>
        </m:r>
        <m:r>
          <m:t>50</m:t>
        </m:r>
      </m:oMath>
      <w:r>
        <w:t xml:space="preserve"> </w:t>
      </w:r>
      <w:r>
        <w:t xml:space="preserve">sentences) contains only a single highly relevant sentence, the remaining 49 unmatched sentences contribute large cosine distances to the reverse term, diluting the signal from the one critical match. This</w:t>
      </w:r>
      <w:r>
        <w:t xml:space="preserve"> </w:t>
      </w:r>
      <w:r>
        <w:rPr>
          <w:iCs/>
          <w:i/>
        </w:rPr>
        <w:t xml:space="preserve">noise dilution</w:t>
      </w:r>
      <w:r>
        <w:t xml:space="preserve"> </w:t>
      </w:r>
      <w:r>
        <w:t xml:space="preserve">effect systemically penalizes long, heterogeneous documents—precisely the documents where shape-aware representations should provide the greatest benefit. Asymmetric alternatives, such as the directed Hausdorff distance or ColBERT-style MaxSim, would address this issue at the cost of losing the metric symmetry required by our undirected graph framework. We defer the formal resolution to future work (Section 6).</w:t>
      </w:r>
    </w:p>
    <w:bookmarkEnd w:id="32"/>
    <w:bookmarkStart w:id="33" w:name="Xfd3d90068976fffe80d1eee119cf5fe3e4be7df"/>
    <w:p>
      <w:pPr>
        <w:pStyle w:val="Heading3"/>
      </w:pPr>
      <w:r>
        <w:t xml:space="preserve">3.7 Acceleration via Johnson-Lindenstrauss Projection</w:t>
      </w:r>
    </w:p>
    <w:p>
      <w:pPr>
        <w:pStyle w:val="FirstParagraph"/>
      </w:pPr>
      <w:r>
        <w:t xml:space="preserve">Computing Chamfer distances in the native</w:t>
      </w:r>
      <w:r>
        <w:t xml:space="preserve"> </w:t>
      </w:r>
      <m:oMath>
        <m:r>
          <m:t>d</m:t>
        </m:r>
        <m:r>
          <m:rPr>
            <m:sty m:val="p"/>
          </m:rPr>
          <m:t>=</m:t>
        </m:r>
        <m:r>
          <m:t>4096</m:t>
        </m:r>
      </m:oMath>
      <w:r>
        <w:t xml:space="preserve"> </w:t>
      </w:r>
      <w:r>
        <w:t xml:space="preserve">space has complexity</w:t>
      </w:r>
      <w:r>
        <w:t xml:space="preserve"> </w:t>
      </w:r>
      <m:oMath>
        <m:r>
          <m:t>O</m:t>
        </m:r>
        <m:d>
          <m:dPr>
            <m:begChr m:val="("/>
            <m:endChr m:val=")"/>
            <m:sepChr m:val=""/>
            <m:grow/>
          </m:dPr>
          <m:e>
            <m:sSub>
              <m:e>
                <m:r>
                  <m:t>K</m:t>
                </m:r>
              </m:e>
              <m:sub>
                <m:r>
                  <m:t>A</m:t>
                </m:r>
              </m:sub>
            </m:sSub>
            <m:r>
              <m:rPr>
                <m:sty m:val="p"/>
              </m:rPr>
              <m:t>⋅</m:t>
            </m:r>
            <m:sSub>
              <m:e>
                <m:r>
                  <m:t>K</m:t>
                </m:r>
              </m:e>
              <m:sub>
                <m:r>
                  <m:t>B</m:t>
                </m:r>
              </m:sub>
            </m:sSub>
            <m:r>
              <m:rPr>
                <m:sty m:val="p"/>
              </m:rPr>
              <m:t>⋅</m:t>
            </m:r>
            <m:r>
              <m:t>d</m:t>
            </m:r>
          </m:e>
        </m:d>
      </m:oMath>
      <w:r>
        <w:t xml:space="preserve"> </w:t>
      </w:r>
      <w:r>
        <w:t xml:space="preserve">per document pair. For</w:t>
      </w:r>
      <w:r>
        <w:t xml:space="preserve"> </w:t>
      </w:r>
      <m:oMath>
        <m:r>
          <m:t>N</m:t>
        </m:r>
        <m:r>
          <m:rPr>
            <m:sty m:val="p"/>
          </m:rPr>
          <m:t>=</m:t>
        </m:r>
        <m:r>
          <m:t>30</m:t>
        </m:r>
      </m:oMath>
      <w:r>
        <w:t xml:space="preserve"> </w:t>
      </w:r>
      <w:r>
        <w:t xml:space="preserve">candidates with an average of</w:t>
      </w:r>
      <w:r>
        <w:t xml:space="preserve"> </w:t>
      </w:r>
      <m:oMath>
        <m:r>
          <m:t>K</m:t>
        </m:r>
        <m:r>
          <m:rPr>
            <m:sty m:val="p"/>
          </m:rPr>
          <m:t>=</m:t>
        </m:r>
        <m:r>
          <m:t>5</m:t>
        </m:r>
      </m:oMath>
      <w:r>
        <w:t xml:space="preserve"> </w:t>
      </w:r>
      <w:r>
        <w:t xml:space="preserve">sentences each, this amounts to</w:t>
      </w:r>
      <w:r>
        <w:t xml:space="preserve"> </w:t>
      </w:r>
      <m:oMath>
        <m:d>
          <m:dPr>
            <m:begChr m:val="("/>
            <m:endChr m:val=")"/>
            <m:sepChr m:val=""/>
            <m:grow/>
          </m:dPr>
          <m:e>
            <m:f>
              <m:fPr>
                <m:type m:val="noBar"/>
              </m:fPr>
              <m:num>
                <m:r>
                  <m:t>30</m:t>
                </m:r>
              </m:num>
              <m:den>
                <m:r>
                  <m:t>2</m:t>
                </m:r>
              </m:den>
            </m:f>
          </m:e>
        </m:d>
        <m:r>
          <m:rPr>
            <m:sty m:val="p"/>
          </m:rPr>
          <m:t>×</m:t>
        </m:r>
        <m:r>
          <m:t>25</m:t>
        </m:r>
        <m:r>
          <m:rPr>
            <m:sty m:val="p"/>
          </m:rPr>
          <m:t>×</m:t>
        </m:r>
        <m:r>
          <m:t>4096</m:t>
        </m:r>
        <m:r>
          <m:rPr>
            <m:sty m:val="p"/>
          </m:rPr>
          <m:t>≈</m:t>
        </m:r>
        <m:r>
          <m:t>4.5</m:t>
        </m:r>
        <m:r>
          <m:rPr>
            <m:sty m:val="p"/>
          </m:rPr>
          <m:t>×</m:t>
        </m:r>
        <m:sSup>
          <m:e>
            <m:r>
              <m:t>10</m:t>
            </m:r>
          </m:e>
          <m:sup>
            <m:r>
              <m:t>7</m:t>
            </m:r>
          </m:sup>
        </m:sSup>
      </m:oMath>
      <w:r>
        <w:t xml:space="preserve"> </w:t>
      </w:r>
      <w:r>
        <w:t xml:space="preserve">multiply-adds—feasible but expensive for real-time applications.</w:t>
      </w:r>
    </w:p>
    <w:p>
      <w:pPr>
        <w:pStyle w:val="BodyText"/>
      </w:pPr>
      <w:r>
        <w:t xml:space="preserve">We apply a random projection</w:t>
      </w:r>
      <w:r>
        <w:t xml:space="preserve"> </w:t>
      </w:r>
      <m:oMath>
        <m:r>
          <m:t>P</m:t>
        </m:r>
        <m:r>
          <m:rPr>
            <m:sty m:val="p"/>
          </m:rPr>
          <m:t>∈</m:t>
        </m:r>
        <m:sSup>
          <m:e>
            <m:r>
              <m:rPr>
                <m:sty m:val="p"/>
                <m:scr m:val="double-struck"/>
              </m:rPr>
              <m:t>R</m:t>
            </m:r>
          </m:e>
          <m:sup>
            <m:r>
              <m:t>m</m:t>
            </m:r>
            <m:r>
              <m:rPr>
                <m:sty m:val="p"/>
              </m:rPr>
              <m:t>×</m:t>
            </m:r>
            <m:r>
              <m:t>d</m:t>
            </m:r>
          </m:sup>
        </m:sSup>
      </m:oMath>
      <w:r>
        <w:t xml:space="preserve"> </w:t>
      </w:r>
      <w:r>
        <w:t xml:space="preserve">with</w:t>
      </w:r>
      <w:r>
        <w:t xml:space="preserve"> </w:t>
      </w:r>
      <m:oMath>
        <m:sSub>
          <m:e>
            <m:r>
              <m:t>P</m:t>
            </m:r>
          </m:e>
          <m:sub>
            <m:r>
              <m:t>i</m:t>
            </m:r>
            <m:r>
              <m:t>j</m:t>
            </m:r>
          </m:sub>
        </m:sSub>
        <m:r>
          <m:rPr>
            <m:sty m:val="p"/>
          </m:rPr>
          <m:t>∼</m:t>
        </m:r>
        <m:r>
          <m:rPr>
            <m:sty m:val="p"/>
            <m:scr m:val="script"/>
          </m:rPr>
          <m:t>N</m:t>
        </m:r>
        <m:d>
          <m:dPr>
            <m:begChr m:val="("/>
            <m:endChr m:val=")"/>
            <m:sepChr m:val=""/>
            <m:grow/>
          </m:dPr>
          <m:e>
            <m:r>
              <m:t>0</m:t>
            </m:r>
            <m:r>
              <m:rPr>
                <m:sty m:val="p"/>
              </m:rPr>
              <m:t>,</m:t>
            </m:r>
            <m:r>
              <m:t>1</m:t>
            </m:r>
            <m:r>
              <m:rPr>
                <m:sty m:val="p"/>
              </m:rPr>
              <m:t>/</m:t>
            </m:r>
            <m:r>
              <m:t>m</m:t>
            </m:r>
          </m:e>
        </m:d>
      </m:oMath>
      <w:r>
        <w:t xml:space="preserve"> </w:t>
      </w:r>
      <w:r>
        <w:t xml:space="preserve">and</w:t>
      </w:r>
      <w:r>
        <w:t xml:space="preserve"> </w:t>
      </w:r>
      <m:oMath>
        <m:r>
          <m:t>m</m:t>
        </m:r>
        <m:r>
          <m:rPr>
            <m:sty m:val="p"/>
          </m:rPr>
          <m:t>=</m:t>
        </m:r>
        <m:r>
          <m:t>128</m:t>
        </m:r>
      </m:oMath>
      <w:r>
        <w:t xml:space="preserve">:</w:t>
      </w:r>
    </w:p>
    <w:p>
      <w:pPr>
        <w:pStyle w:val="BodyText"/>
      </w:pPr>
      <m:oMathPara>
        <m:oMathParaPr>
          <m:jc m:val="center"/>
        </m:oMathParaPr>
        <m:oMath>
          <m:acc>
            <m:accPr>
              <m:chr m:val="̃"/>
            </m:accPr>
            <m:e>
              <m:r>
                <m:t>s</m:t>
              </m:r>
            </m:e>
          </m:acc>
          <m:r>
            <m:rPr>
              <m:sty m:val="p"/>
            </m:rPr>
            <m:t>=</m:t>
          </m:r>
          <m:f>
            <m:fPr>
              <m:type m:val="bar"/>
            </m:fPr>
            <m:num>
              <m:r>
                <m:t>P</m:t>
              </m:r>
              <m:r>
                <m:rPr>
                  <m:sty m:val="p"/>
                </m:rPr>
                <m:t>⋅</m:t>
              </m:r>
              <m:r>
                <m:t>s</m:t>
              </m:r>
            </m:num>
            <m:den>
              <m:r>
                <m:rPr>
                  <m:sty m:val="p"/>
                </m:rPr>
                <m:t>∥</m:t>
              </m:r>
              <m:r>
                <m:t>P</m:t>
              </m:r>
              <m:r>
                <m:rPr>
                  <m:sty m:val="p"/>
                </m:rPr>
                <m:t>⋅</m:t>
              </m:r>
              <m:r>
                <m:t>s</m:t>
              </m:r>
              <m:sSub>
                <m:e>
                  <m:r>
                    <m:rPr>
                      <m:sty m:val="p"/>
                    </m:rPr>
                    <m:t>∥</m:t>
                  </m:r>
                </m:e>
                <m:sub>
                  <m:r>
                    <m:t>2</m:t>
                  </m:r>
                </m:sub>
              </m:sSub>
            </m:den>
          </m:f>
        </m:oMath>
      </m:oMathPara>
    </w:p>
    <w:p>
      <w:pPr>
        <w:pStyle w:val="FirstParagraph"/>
      </w:pPr>
      <w:r>
        <w:t xml:space="preserve">The post-projection</w:t>
      </w:r>
      <w:r>
        <w:t xml:space="preserve"> </w:t>
      </w:r>
      <m:oMath>
        <m:sSub>
          <m:e>
            <m:r>
              <m:t>L</m:t>
            </m:r>
          </m:e>
          <m:sub>
            <m:r>
              <m:t>2</m:t>
            </m:r>
          </m:sub>
        </m:sSub>
      </m:oMath>
      <w:r>
        <w:t xml:space="preserve">-normalization ensures that the equivalence</w:t>
      </w:r>
      <w:r>
        <w:t xml:space="preserve"> </w:t>
      </w:r>
      <m:oMath>
        <m:r>
          <m:rPr>
            <m:sty m:val="p"/>
          </m:rPr>
          <m:t>∥</m:t>
        </m:r>
        <m:r>
          <m:t>x</m:t>
        </m:r>
        <m:r>
          <m:rPr>
            <m:sty m:val="p"/>
          </m:rPr>
          <m:t>−</m:t>
        </m:r>
        <m:r>
          <m:t>y</m:t>
        </m:r>
        <m:sSubSup>
          <m:e>
            <m:r>
              <m:rPr>
                <m:sty m:val="p"/>
              </m:rPr>
              <m:t>∥</m:t>
            </m:r>
          </m:e>
          <m:sub>
            <m:r>
              <m:t>2</m:t>
            </m:r>
          </m:sub>
          <m:sup>
            <m:r>
              <m:t>2</m:t>
            </m:r>
          </m:sup>
        </m:sSubSup>
        <m:r>
          <m:rPr>
            <m:sty m:val="p"/>
          </m:rPr>
          <m:t>=</m:t>
        </m:r>
        <m:r>
          <m:t>2</m:t>
        </m:r>
        <m:d>
          <m:dPr>
            <m:begChr m:val="("/>
            <m:endChr m:val=")"/>
            <m:sepChr m:val=""/>
            <m:grow/>
          </m:dPr>
          <m:e>
            <m:r>
              <m:t>1</m:t>
            </m:r>
            <m:r>
              <m:rPr>
                <m:sty m:val="p"/>
              </m:rPr>
              <m:t>−</m:t>
            </m:r>
            <m:r>
              <m:rPr>
                <m:sty m:val="p"/>
              </m:rPr>
              <m:t>cos</m:t>
            </m:r>
            <m:d>
              <m:dPr>
                <m:begChr m:val="("/>
                <m:endChr m:val=")"/>
                <m:sepChr m:val=""/>
                <m:grow/>
              </m:dPr>
              <m:e>
                <m:r>
                  <m:t>x</m:t>
                </m:r>
                <m:r>
                  <m:rPr>
                    <m:sty m:val="p"/>
                  </m:rPr>
                  <m:t>,</m:t>
                </m:r>
                <m:r>
                  <m:t>y</m:t>
                </m:r>
              </m:e>
            </m:d>
          </m:e>
        </m:d>
      </m:oMath>
      <w:r>
        <w:t xml:space="preserve"> </w:t>
      </w:r>
      <w:r>
        <w:t xml:space="preserve">holds for unit vectors, allowing the JL distance-preservation guarantee to transfer to the cosine metric.</w:t>
      </w:r>
    </w:p>
    <w:p>
      <w:pPr>
        <w:pStyle w:val="BodyText"/>
      </w:pPr>
      <w:r>
        <w:rPr>
          <w:bCs/>
          <w:b/>
        </w:rPr>
        <w:t xml:space="preserve">Johnson-Lindenstrauss Lemma</w:t>
      </w:r>
      <w:r>
        <w:t xml:space="preserve"> </w:t>
      </w:r>
      <w:r>
        <w:t xml:space="preserve">[7]. For any</w:t>
      </w:r>
      <w:r>
        <w:t xml:space="preserve"> </w:t>
      </w:r>
      <m:oMath>
        <m:r>
          <m:t>ϵ</m:t>
        </m:r>
        <m:r>
          <m:rPr>
            <m:sty m:val="p"/>
          </m:rPr>
          <m:t>&gt;</m:t>
        </m:r>
        <m:r>
          <m:t>0</m:t>
        </m:r>
      </m:oMath>
      <w:r>
        <w:t xml:space="preserve"> </w:t>
      </w:r>
      <w:r>
        <w:t xml:space="preserve">and point set of size</w:t>
      </w:r>
      <w:r>
        <w:t xml:space="preserve"> </w:t>
      </w:r>
      <m:oMath>
        <m:r>
          <m:t>n</m:t>
        </m:r>
      </m:oMath>
      <w:r>
        <w:t xml:space="preserve">, when</w:t>
      </w:r>
      <w:r>
        <w:t xml:space="preserve"> </w:t>
      </w:r>
      <m:oMath>
        <m:r>
          <m:t>m</m:t>
        </m:r>
        <m:r>
          <m:rPr>
            <m:sty m:val="p"/>
          </m:rPr>
          <m:t>≥</m:t>
        </m:r>
        <m:r>
          <m:t>O</m:t>
        </m:r>
        <m:d>
          <m:dPr>
            <m:begChr m:val="("/>
            <m:endChr m:val=")"/>
            <m:sepChr m:val=""/>
            <m:grow/>
          </m:dPr>
          <m:e>
            <m:sSup>
              <m:e>
                <m:r>
                  <m:t>ϵ</m:t>
                </m:r>
              </m:e>
              <m:sup>
                <m:r>
                  <m:rPr>
                    <m:sty m:val="p"/>
                  </m:rPr>
                  <m:t>−</m:t>
                </m:r>
                <m:r>
                  <m:t>2</m:t>
                </m:r>
              </m:sup>
            </m:sSup>
            <m:r>
              <m:rPr>
                <m:sty m:val="p"/>
              </m:rPr>
              <m:t>log</m:t>
            </m:r>
            <m:r>
              <m:t>n</m:t>
            </m:r>
          </m:e>
        </m:d>
      </m:oMath>
      <w:r>
        <w:t xml:space="preserve">:</w:t>
      </w:r>
    </w:p>
    <w:p>
      <w:pPr>
        <w:pStyle w:val="BodyText"/>
      </w:pPr>
      <m:oMathPara>
        <m:oMathParaPr>
          <m:jc m:val="center"/>
        </m:oMathParaPr>
        <m:oMath>
          <m:d>
            <m:dPr>
              <m:begChr m:val="("/>
              <m:endChr m:val=")"/>
              <m:sepChr m:val=""/>
              <m:grow/>
            </m:dPr>
            <m:e>
              <m:r>
                <m:t>1</m:t>
              </m:r>
              <m:r>
                <m:rPr>
                  <m:sty m:val="p"/>
                </m:rPr>
                <m:t>−</m:t>
              </m:r>
              <m:r>
                <m:t>ϵ</m:t>
              </m:r>
            </m:e>
          </m:d>
          <m:r>
            <m:rPr>
              <m:sty m:val="p"/>
            </m:rPr>
            <m:t>∥</m:t>
          </m:r>
          <m:sSub>
            <m:e>
              <m:r>
                <m:t>s</m:t>
              </m:r>
            </m:e>
            <m:sub>
              <m:r>
                <m:t>a</m:t>
              </m:r>
            </m:sub>
          </m:sSub>
          <m:r>
            <m:rPr>
              <m:sty m:val="p"/>
            </m:rPr>
            <m:t>−</m:t>
          </m:r>
          <m:sSub>
            <m:e>
              <m:r>
                <m:t>s</m:t>
              </m:r>
            </m:e>
            <m:sub>
              <m:r>
                <m:t>b</m:t>
              </m:r>
            </m:sub>
          </m:sSub>
          <m:sSup>
            <m:e>
              <m:r>
                <m:rPr>
                  <m:sty m:val="p"/>
                </m:rPr>
                <m:t>∥</m:t>
              </m:r>
            </m:e>
            <m:sup>
              <m:r>
                <m:t>2</m:t>
              </m:r>
            </m:sup>
          </m:sSup>
          <m:r>
            <m:rPr>
              <m:sty m:val="p"/>
            </m:rPr>
            <m:t>≤</m:t>
          </m:r>
          <m:r>
            <m:rPr>
              <m:sty m:val="p"/>
            </m:rPr>
            <m:t>∥</m:t>
          </m:r>
          <m:sSub>
            <m:e>
              <m:acc>
                <m:accPr>
                  <m:chr m:val="̃"/>
                </m:accPr>
                <m:e>
                  <m:r>
                    <m:t>s</m:t>
                  </m:r>
                </m:e>
              </m:acc>
            </m:e>
            <m:sub>
              <m:r>
                <m:t>a</m:t>
              </m:r>
            </m:sub>
          </m:sSub>
          <m:r>
            <m:rPr>
              <m:sty m:val="p"/>
            </m:rPr>
            <m:t>−</m:t>
          </m:r>
          <m:sSub>
            <m:e>
              <m:acc>
                <m:accPr>
                  <m:chr m:val="̃"/>
                </m:accPr>
                <m:e>
                  <m:r>
                    <m:t>s</m:t>
                  </m:r>
                </m:e>
              </m:acc>
            </m:e>
            <m:sub>
              <m:r>
                <m:t>b</m:t>
              </m:r>
            </m:sub>
          </m:sSub>
          <m:sSup>
            <m:e>
              <m:r>
                <m:rPr>
                  <m:sty m:val="p"/>
                </m:rPr>
                <m:t>∥</m:t>
              </m:r>
            </m:e>
            <m:sup>
              <m:r>
                <m:t>2</m:t>
              </m:r>
            </m:sup>
          </m:sSup>
          <m:r>
            <m:rPr>
              <m:sty m:val="p"/>
            </m:rPr>
            <m:t>≤</m:t>
          </m:r>
          <m:d>
            <m:dPr>
              <m:begChr m:val="("/>
              <m:endChr m:val=")"/>
              <m:sepChr m:val=""/>
              <m:grow/>
            </m:dPr>
            <m:e>
              <m:r>
                <m:t>1</m:t>
              </m:r>
              <m:r>
                <m:rPr>
                  <m:sty m:val="p"/>
                </m:rPr>
                <m:t>+</m:t>
              </m:r>
              <m:r>
                <m:t>ϵ</m:t>
              </m:r>
            </m:e>
          </m:d>
          <m:r>
            <m:rPr>
              <m:sty m:val="p"/>
            </m:rPr>
            <m:t>∥</m:t>
          </m:r>
          <m:sSub>
            <m:e>
              <m:r>
                <m:t>s</m:t>
              </m:r>
            </m:e>
            <m:sub>
              <m:r>
                <m:t>a</m:t>
              </m:r>
            </m:sub>
          </m:sSub>
          <m:r>
            <m:rPr>
              <m:sty m:val="p"/>
            </m:rPr>
            <m:t>−</m:t>
          </m:r>
          <m:sSub>
            <m:e>
              <m:r>
                <m:t>s</m:t>
              </m:r>
            </m:e>
            <m:sub>
              <m:r>
                <m:t>b</m:t>
              </m:r>
            </m:sub>
          </m:sSub>
          <m:sSup>
            <m:e>
              <m:r>
                <m:rPr>
                  <m:sty m:val="p"/>
                </m:rPr>
                <m:t>∥</m:t>
              </m:r>
            </m:e>
            <m:sup>
              <m:r>
                <m:t>2</m:t>
              </m:r>
            </m:sup>
          </m:sSup>
        </m:oMath>
      </m:oMathPara>
    </w:p>
    <w:p>
      <w:pPr>
        <w:pStyle w:val="FirstParagraph"/>
      </w:pPr>
      <w:r>
        <w:rPr>
          <w:bCs/>
          <w:b/>
        </w:rPr>
        <w:t xml:space="preserve">Dimensional reduction effects and their limitations.</w:t>
      </w:r>
      <w:r>
        <w:t xml:space="preserve"> </w:t>
      </w:r>
      <w:r>
        <w:t xml:space="preserve">In the reduced</w:t>
      </w:r>
      <w:r>
        <w:t xml:space="preserve"> </w:t>
      </w:r>
      <m:oMath>
        <m:r>
          <m:t>m</m:t>
        </m:r>
        <m:r>
          <m:rPr>
            <m:sty m:val="p"/>
          </m:rPr>
          <m:t>=</m:t>
        </m:r>
        <m:r>
          <m:t>128</m:t>
        </m:r>
      </m:oMath>
      <w:r>
        <w:t xml:space="preserve"> </w:t>
      </w:r>
      <w:r>
        <w:t xml:space="preserve">space, the standard deviation of random inner products increases from</w:t>
      </w:r>
      <w:r>
        <w:t xml:space="preserve"> </w:t>
      </w:r>
      <m:oMath>
        <m:r>
          <m:t>σ</m:t>
        </m:r>
        <m:r>
          <m:rPr>
            <m:sty m:val="p"/>
          </m:rPr>
          <m:t>=</m:t>
        </m:r>
        <m:r>
          <m:t>1</m:t>
        </m:r>
        <m:r>
          <m:rPr>
            <m:sty m:val="p"/>
          </m:rPr>
          <m:t>/</m:t>
        </m:r>
        <m:rad>
          <m:radPr>
            <m:degHide m:val="on"/>
          </m:radPr>
          <m:deg/>
          <m:e>
            <m:r>
              <m:t>4096</m:t>
            </m:r>
          </m:e>
        </m:rad>
        <m:r>
          <m:rPr>
            <m:sty m:val="p"/>
          </m:rPr>
          <m:t>≈</m:t>
        </m:r>
        <m:r>
          <m:t>0.016</m:t>
        </m:r>
      </m:oMath>
      <w:r>
        <w:t xml:space="preserve"> </w:t>
      </w:r>
      <w:r>
        <w:t xml:space="preserve">to</w:t>
      </w:r>
      <w:r>
        <w:t xml:space="preserve"> </w:t>
      </w:r>
      <m:oMath>
        <m:r>
          <m:t>σ</m:t>
        </m:r>
        <m:r>
          <m:rPr>
            <m:sty m:val="p"/>
          </m:rPr>
          <m:t>=</m:t>
        </m:r>
        <m:r>
          <m:t>1</m:t>
        </m:r>
        <m:r>
          <m:rPr>
            <m:sty m:val="p"/>
          </m:rPr>
          <m:t>/</m:t>
        </m:r>
        <m:rad>
          <m:radPr>
            <m:degHide m:val="on"/>
          </m:radPr>
          <m:deg/>
          <m:e>
            <m:r>
              <m:t>128</m:t>
            </m:r>
          </m:e>
        </m:rad>
        <m:r>
          <m:rPr>
            <m:sty m:val="p"/>
          </m:rPr>
          <m:t>≈</m:t>
        </m:r>
        <m:r>
          <m:t>0.088</m:t>
        </m:r>
      </m:oMath>
      <w:r>
        <w:t xml:space="preserve">—a factor of</w:t>
      </w:r>
      <w:r>
        <w:t xml:space="preserve"> </w:t>
      </w:r>
      <m:oMath>
        <m:r>
          <m:rPr>
            <m:sty m:val="p"/>
          </m:rPr>
          <m:t>∼</m:t>
        </m:r>
        <m:r>
          <m:t>5.6</m:t>
        </m:r>
        <m:r>
          <m:rPr>
            <m:sty m:val="p"/>
          </m:rPr>
          <m:t>×</m:t>
        </m:r>
      </m:oMath>
      <w:r>
        <w:t xml:space="preserve">. The JL lemma guarantees that the</w:t>
      </w:r>
      <w:r>
        <w:t xml:space="preserve"> </w:t>
      </w:r>
      <w:r>
        <w:rPr>
          <w:iCs/>
          <w:i/>
        </w:rPr>
        <w:t xml:space="preserve">expected value</w:t>
      </w:r>
      <w:r>
        <w:t xml:space="preserve"> </w:t>
      </w:r>
      <w:r>
        <w:t xml:space="preserve">of pairwise distances is preserved (</w:t>
      </w:r>
      <m:oMath>
        <m:r>
          <m:rPr>
            <m:sty m:val="p"/>
            <m:scr m:val="double-struck"/>
          </m:rPr>
          <m:t>E</m:t>
        </m:r>
        <m:d>
          <m:dPr>
            <m:begChr m:val="["/>
            <m:endChr m:val="]"/>
            <m:sepChr m:val=""/>
            <m:grow/>
          </m:dPr>
          <m:e>
            <m:r>
              <m:rPr>
                <m:sty m:val="p"/>
              </m:rPr>
              <m:t>∥</m:t>
            </m:r>
            <m:sSub>
              <m:e>
                <m:acc>
                  <m:accPr>
                    <m:chr m:val="̃"/>
                  </m:accPr>
                  <m:e>
                    <m:r>
                      <m:t>s</m:t>
                    </m:r>
                  </m:e>
                </m:acc>
              </m:e>
              <m:sub>
                <m:r>
                  <m:t>a</m:t>
                </m:r>
              </m:sub>
            </m:sSub>
            <m:r>
              <m:rPr>
                <m:sty m:val="p"/>
              </m:rPr>
              <m:t>−</m:t>
            </m:r>
            <m:sSub>
              <m:e>
                <m:acc>
                  <m:accPr>
                    <m:chr m:val="̃"/>
                  </m:accPr>
                  <m:e>
                    <m:r>
                      <m:t>s</m:t>
                    </m:r>
                  </m:e>
                </m:acc>
              </m:e>
              <m:sub>
                <m:r>
                  <m:t>b</m:t>
                </m:r>
              </m:sub>
            </m:sSub>
            <m:sSup>
              <m:e>
                <m:r>
                  <m:rPr>
                    <m:sty m:val="p"/>
                  </m:rPr>
                  <m:t>∥</m:t>
                </m:r>
              </m:e>
              <m:sup>
                <m:r>
                  <m:t>2</m:t>
                </m:r>
              </m:sup>
            </m:sSup>
          </m:e>
        </m:d>
        <m:r>
          <m:rPr>
            <m:sty m:val="p"/>
          </m:rPr>
          <m:t>=</m:t>
        </m:r>
        <m:r>
          <m:rPr>
            <m:sty m:val="p"/>
          </m:rPr>
          <m:t>∥</m:t>
        </m:r>
        <m:sSub>
          <m:e>
            <m:r>
              <m:t>s</m:t>
            </m:r>
          </m:e>
          <m:sub>
            <m:r>
              <m:t>a</m:t>
            </m:r>
          </m:sub>
        </m:sSub>
        <m:r>
          <m:rPr>
            <m:sty m:val="p"/>
          </m:rPr>
          <m:t>−</m:t>
        </m:r>
        <m:sSub>
          <m:e>
            <m:r>
              <m:t>s</m:t>
            </m:r>
          </m:e>
          <m:sub>
            <m:r>
              <m:t>b</m:t>
            </m:r>
          </m:sub>
        </m:sSub>
        <m:sSup>
          <m:e>
            <m:r>
              <m:rPr>
                <m:sty m:val="p"/>
              </m:rPr>
              <m:t>∥</m:t>
            </m:r>
          </m:e>
          <m:sup>
            <m:r>
              <m:t>2</m:t>
            </m:r>
          </m:sup>
        </m:sSup>
      </m:oMath>
      <w:r>
        <w:t xml:space="preserve">), so the graph topology constructed from Chamfer distances remains faithful in expectation. However, the expanded variance of inner products in the reduced space is</w:t>
      </w:r>
      <w:r>
        <w:t xml:space="preserve"> </w:t>
      </w:r>
      <w:r>
        <w:rPr>
          <w:iCs/>
          <w:i/>
        </w:rPr>
        <w:t xml:space="preserve">projection noise</w:t>
      </w:r>
      <w:r>
        <w:t xml:space="preserve">, not signal amplification. This noise introduces</w:t>
      </w:r>
      <w:r>
        <w:t xml:space="preserve"> </w:t>
      </w:r>
      <m:oMath>
        <m:r>
          <m:t>O</m:t>
        </m:r>
        <m:d>
          <m:dPr>
            <m:begChr m:val="("/>
            <m:endChr m:val=")"/>
            <m:sepChr m:val=""/>
            <m:grow/>
          </m:dPr>
          <m:e>
            <m:r>
              <m:t>1</m:t>
            </m:r>
            <m:r>
              <m:rPr>
                <m:sty m:val="p"/>
              </m:rPr>
              <m:t>/</m:t>
            </m:r>
            <m:r>
              <m:t>m</m:t>
            </m:r>
          </m:e>
        </m:d>
      </m:oMath>
      <w:r>
        <w:t xml:space="preserve"> </w:t>
      </w:r>
      <w:r>
        <w:t xml:space="preserve">stochastic perturbations into the advection coefficients.</w:t>
      </w:r>
    </w:p>
    <w:p>
      <w:pPr>
        <w:pStyle w:val="BodyText"/>
      </w:pPr>
      <w:r>
        <w:t xml:space="preserve">We make no claim that this noise is physically beneficial. The advection coefficients in the native</w:t>
      </w:r>
      <w:r>
        <w:t xml:space="preserve"> </w:t>
      </w:r>
      <m:oMath>
        <m:r>
          <m:t>d</m:t>
        </m:r>
        <m:r>
          <m:rPr>
            <m:sty m:val="p"/>
          </m:rPr>
          <m:t>=</m:t>
        </m:r>
        <m:r>
          <m:t>4096</m:t>
        </m:r>
      </m:oMath>
      <w:r>
        <w:t xml:space="preserve"> </w:t>
      </w:r>
      <w:r>
        <w:t xml:space="preserve">space are inherently weak due to the concentration of measure on the unit sphere (</w:t>
      </w:r>
      <m:oMath>
        <m:r>
          <m:t>σ</m:t>
        </m:r>
        <m:r>
          <m:rPr>
            <m:sty m:val="p"/>
          </m:rPr>
          <m:t>≈</m:t>
        </m:r>
        <m:r>
          <m:t>0.016</m:t>
        </m:r>
      </m:oMath>
      <w:r>
        <w:t xml:space="preserve">), and the JL projection does not resolve this fundamental limitation—it merely trades the curse of dimensionality for projection variance. The empirical effectiveness of the algorithm in the projected space should be attributed to the</w:t>
      </w:r>
      <w:r>
        <w:t xml:space="preserve"> </w:t>
      </w:r>
      <w:r>
        <w:rPr>
          <w:iCs/>
          <w:i/>
        </w:rPr>
        <w:t xml:space="preserve">diffusion-dominated regime</w:t>
      </w:r>
      <w:r>
        <w:t xml:space="preserve"> </w:t>
      </w:r>
      <w:r>
        <w:t xml:space="preserve">(Pe</w:t>
      </w:r>
      <w:r>
        <w:t xml:space="preserve"> </w:t>
      </w:r>
      <m:oMath>
        <m:r>
          <m:rPr>
            <m:sty m:val="p"/>
          </m:rPr>
          <m:t>≈</m:t>
        </m:r>
        <m:r>
          <m:t>0.065</m:t>
        </m:r>
      </m:oMath>
      <w:r>
        <w:t xml:space="preserve">, where advection plays a secondary role) rather than to any purported</w:t>
      </w:r>
      <w:r>
        <w:t xml:space="preserve"> </w:t>
      </w:r>
      <w:r>
        <w:t xml:space="preserve">“</w:t>
      </w:r>
      <w:r>
        <w:t xml:space="preserve">signal amplification</w:t>
      </w:r>
      <w:r>
        <w:t xml:space="preserve">”</w:t>
      </w:r>
      <w:r>
        <w:t xml:space="preserve"> </w:t>
      </w:r>
      <w:r>
        <w:t xml:space="preserve">of the projection. As discussed in Section 6, scalar potential convection—which operates on scalar score differences rather than vector inner products—offers a principled alternative that is immune to the curse of dimensionality.</w:t>
      </w:r>
    </w:p>
    <w:p>
      <w:pPr>
        <w:pStyle w:val="BodyText"/>
      </w:pPr>
      <w:r>
        <w:rPr>
          <w:bCs/>
          <w:b/>
        </w:rPr>
        <w:t xml:space="preserve">Computational speedup.</w:t>
      </w:r>
      <w:r>
        <w:t xml:space="preserve"> </w:t>
      </w:r>
      <w:r>
        <w:t xml:space="preserve">The primary justification for JL projection is computational: the dimensionality reduction yields a</w:t>
      </w:r>
      <w:r>
        <w:t xml:space="preserve"> </w:t>
      </w:r>
      <m:oMath>
        <m:r>
          <m:t>d</m:t>
        </m:r>
        <m:r>
          <m:rPr>
            <m:sty m:val="p"/>
          </m:rPr>
          <m:t>/</m:t>
        </m:r>
        <m:r>
          <m:t>m</m:t>
        </m:r>
        <m:r>
          <m:rPr>
            <m:sty m:val="p"/>
          </m:rPr>
          <m:t>=</m:t>
        </m:r>
        <m:r>
          <m:t>32</m:t>
        </m:r>
        <m:r>
          <m:rPr>
            <m:sty m:val="p"/>
          </m:rPr>
          <m:t>×</m:t>
        </m:r>
      </m:oMath>
      <w:r>
        <w:t xml:space="preserve"> </w:t>
      </w:r>
      <w:r>
        <w:t xml:space="preserve">speedup in all distance computations. Combined with offline precomputation and SQLite caching of projected sentence vectors (a one-time cost), the end-to-end Shape-CFD latency is reduced from 1,837 ms (with live API embedding) to</w:t>
      </w:r>
      <w:r>
        <w:t xml:space="preserve"> </w:t>
      </w:r>
      <w:r>
        <w:rPr>
          <w:bCs/>
          <w:b/>
        </w:rPr>
        <w:t xml:space="preserve">22 ms</w:t>
      </w:r>
      <w:r>
        <w:t xml:space="preserve">.</w:t>
      </w:r>
    </w:p>
    <w:bookmarkEnd w:id="33"/>
    <w:bookmarkStart w:id="34" w:name="dual-physical-indicators"/>
    <w:p>
      <w:pPr>
        <w:pStyle w:val="Heading3"/>
      </w:pPr>
      <w:r>
        <w:t xml:space="preserve">3.8 Dual Physical Indicators</w:t>
      </w:r>
    </w:p>
    <w:p>
      <w:pPr>
        <w:pStyle w:val="FirstParagraph"/>
      </w:pPr>
      <w:r>
        <w:t xml:space="preserve">We introduce two complementary dimensionless numbers to characterize the algorithm’s operating regime:</w:t>
      </w:r>
    </w:p>
    <w:p>
      <w:pPr>
        <w:pStyle w:val="BodyText"/>
      </w:pPr>
      <w:r>
        <w:rPr>
          <w:bCs/>
          <w:b/>
        </w:rPr>
        <w:t xml:space="preserve">Dynamic Reynolds number</w:t>
      </w:r>
      <w:r>
        <w:t xml:space="preserve"> </w:t>
      </w:r>
      <w:r>
        <w:t xml:space="preserve">(runtime indicator):</w:t>
      </w:r>
    </w:p>
    <w:p>
      <w:pPr>
        <w:pStyle w:val="BodyText"/>
      </w:pPr>
      <m:oMathPara>
        <m:oMathParaPr>
          <m:jc m:val="center"/>
        </m:oMathParaPr>
        <m:oMath>
          <m:r>
            <m:rPr>
              <m:nor/>
              <m:sty m:val="p"/>
            </m:rPr>
            <m:t>Re</m:t>
          </m:r>
          <m:r>
            <m:rPr>
              <m:sty m:val="p"/>
            </m:rPr>
            <m:t>=</m:t>
          </m:r>
          <m:f>
            <m:fPr>
              <m:type m:val="bar"/>
            </m:fPr>
            <m:num>
              <m:nary>
                <m:naryPr>
                  <m:chr m:val="∑"/>
                  <m:limLoc m:val="undOvr"/>
                  <m:subHide m:val="off"/>
                  <m:supHide m:val="off"/>
                </m:naryPr>
                <m:sub>
                  <m:r>
                    <m:t>i</m:t>
                  </m:r>
                  <m:r>
                    <m:rPr>
                      <m:sty m:val="p"/>
                    </m:rPr>
                    <m:t>=</m:t>
                  </m:r>
                  <m:r>
                    <m:t>1</m:t>
                  </m:r>
                </m:sub>
                <m:sup>
                  <m:r>
                    <m:t>N</m:t>
                  </m:r>
                </m:sup>
                <m:e>
                  <m:d>
                    <m:dPr>
                      <m:begChr m:val="|"/>
                      <m:endChr m:val="|"/>
                      <m:sepChr m:val=""/>
                      <m:grow/>
                    </m:dPr>
                    <m:e>
                      <m:sSubSup>
                        <m:e>
                          <m:r>
                            <m:t>F</m:t>
                          </m:r>
                        </m:e>
                        <m:sub>
                          <m:r>
                            <m:t>i</m:t>
                          </m:r>
                        </m:sub>
                        <m:sup>
                          <m:r>
                            <m:rPr>
                              <m:nor/>
                              <m:sty m:val="p"/>
                            </m:rPr>
                            <m:t>adv</m:t>
                          </m:r>
                        </m:sup>
                      </m:sSubSup>
                    </m:e>
                  </m:d>
                </m:e>
              </m:nary>
            </m:num>
            <m:den>
              <m:nary>
                <m:naryPr>
                  <m:chr m:val="∑"/>
                  <m:limLoc m:val="undOvr"/>
                  <m:subHide m:val="off"/>
                  <m:supHide m:val="off"/>
                </m:naryPr>
                <m:sub>
                  <m:r>
                    <m:t>i</m:t>
                  </m:r>
                  <m:r>
                    <m:rPr>
                      <m:sty m:val="p"/>
                    </m:rPr>
                    <m:t>=</m:t>
                  </m:r>
                  <m:r>
                    <m:t>1</m:t>
                  </m:r>
                </m:sub>
                <m:sup>
                  <m:r>
                    <m:t>N</m:t>
                  </m:r>
                </m:sup>
                <m:e>
                  <m:d>
                    <m:dPr>
                      <m:begChr m:val="|"/>
                      <m:endChr m:val="|"/>
                      <m:sepChr m:val=""/>
                      <m:grow/>
                    </m:dPr>
                    <m:e>
                      <m:sSubSup>
                        <m:e>
                          <m:r>
                            <m:t>F</m:t>
                          </m:r>
                        </m:e>
                        <m:sub>
                          <m:r>
                            <m:t>i</m:t>
                          </m:r>
                        </m:sub>
                        <m:sup>
                          <m:r>
                            <m:rPr>
                              <m:nor/>
                              <m:sty m:val="p"/>
                            </m:rPr>
                            <m:t>diff</m:t>
                          </m:r>
                        </m:sup>
                      </m:sSubSup>
                    </m:e>
                  </m:d>
                </m:e>
              </m:nary>
            </m:den>
          </m:f>
        </m:oMath>
      </m:oMathPara>
    </w:p>
    <w:p>
      <w:pPr>
        <w:pStyle w:val="FirstParagraph"/>
      </w:pPr>
      <w:r>
        <w:t xml:space="preserve">This measures the ratio of advective to diffusive</w:t>
      </w:r>
      <w:r>
        <w:t xml:space="preserve"> </w:t>
      </w:r>
      <w:r>
        <w:rPr>
          <w:iCs/>
          <w:i/>
        </w:rPr>
        <w:t xml:space="preserve">activity</w:t>
      </w:r>
      <w:r>
        <w:t xml:space="preserve"> </w:t>
      </w:r>
      <w:r>
        <w:t xml:space="preserve">(taking absolute values at each node to avoid the trivial cancellation inherent in symmetric graphs).</w:t>
      </w:r>
    </w:p>
    <w:p>
      <w:pPr>
        <w:pStyle w:val="BodyText"/>
      </w:pPr>
      <w:r>
        <w:rPr>
          <w:bCs/>
          <w:b/>
        </w:rPr>
        <w:t xml:space="preserve">Structural Péclet number</w:t>
      </w:r>
      <w:r>
        <w:t xml:space="preserve"> </w:t>
      </w:r>
      <w:r>
        <w:t xml:space="preserve">(static indicator):</w:t>
      </w:r>
    </w:p>
    <w:p>
      <w:pPr>
        <w:pStyle w:val="BodyText"/>
      </w:pPr>
      <m:oMathPara>
        <m:oMathParaPr>
          <m:jc m:val="center"/>
        </m:oMathParaPr>
        <m:oMath>
          <m:r>
            <m:rPr>
              <m:nor/>
              <m:sty m:val="p"/>
            </m:rPr>
            <m:t>Pe</m:t>
          </m:r>
          <m:r>
            <m:rPr>
              <m:sty m:val="p"/>
            </m:rPr>
            <m:t>=</m:t>
          </m:r>
          <m:f>
            <m:fPr>
              <m:type m:val="bar"/>
            </m:fPr>
            <m:num>
              <m:bar>
                <m:barPr>
                  <m:pos m:val="top"/>
                </m:barPr>
                <m:e>
                  <m:d>
                    <m:dPr>
                      <m:begChr m:val="|"/>
                      <m:endChr m:val="|"/>
                      <m:sepChr m:val=""/>
                      <m:grow/>
                    </m:dPr>
                    <m:e>
                      <m:sSub>
                        <m:e>
                          <m:r>
                            <m:t>u</m:t>
                          </m:r>
                        </m:e>
                        <m:sub>
                          <m:r>
                            <m:t>i</m:t>
                          </m:r>
                          <m:r>
                            <m:t>j</m:t>
                          </m:r>
                        </m:sub>
                      </m:sSub>
                    </m:e>
                  </m:d>
                </m:e>
              </m:bar>
            </m:num>
            <m:den>
              <m:r>
                <m:t>D</m:t>
              </m:r>
            </m:den>
          </m:f>
          <m:r>
            <m:rPr>
              <m:sty m:val="p"/>
            </m:rPr>
            <m:t>=</m:t>
          </m:r>
          <m:f>
            <m:fPr>
              <m:type m:val="bar"/>
            </m:fPr>
            <m:num>
              <m:f>
                <m:fPr>
                  <m:type m:val="bar"/>
                </m:fPr>
                <m:num>
                  <m:r>
                    <m:t>1</m:t>
                  </m:r>
                </m:num>
                <m:den>
                  <m:d>
                    <m:dPr>
                      <m:begChr m:val="|"/>
                      <m:endChr m:val="|"/>
                      <m:sepChr m:val=""/>
                      <m:grow/>
                    </m:dPr>
                    <m:e>
                      <m:r>
                        <m:rPr>
                          <m:sty m:val="p"/>
                          <m:scr m:val="script"/>
                        </m:rPr>
                        <m:t>E</m:t>
                      </m:r>
                    </m:e>
                  </m:d>
                </m:den>
              </m:f>
              <m:nary>
                <m:naryPr>
                  <m:chr m:val="∑"/>
                  <m:limLoc m:val="undOvr"/>
                  <m:subHide m:val="off"/>
                  <m:supHide m:val="on"/>
                </m:naryPr>
                <m:sub>
                  <m:d>
                    <m:dPr>
                      <m:begChr m:val="("/>
                      <m:endChr m:val=")"/>
                      <m:sepChr m:val=""/>
                      <m:grow/>
                    </m:dPr>
                    <m:e>
                      <m:r>
                        <m:t>i</m:t>
                      </m:r>
                      <m:r>
                        <m:rPr>
                          <m:sty m:val="p"/>
                        </m:rPr>
                        <m:t>,</m:t>
                      </m:r>
                      <m:r>
                        <m:t>j</m:t>
                      </m:r>
                    </m:e>
                  </m:d>
                  <m:r>
                    <m:rPr>
                      <m:sty m:val="p"/>
                    </m:rPr>
                    <m:t>∈</m:t>
                  </m:r>
                  <m:r>
                    <m:rPr>
                      <m:sty m:val="p"/>
                      <m:scr m:val="script"/>
                    </m:rPr>
                    <m:t>E</m:t>
                  </m:r>
                </m:sub>
                <m:sup>
                  <m:r>
                    <m:t>​</m:t>
                  </m:r>
                </m:sup>
                <m:e>
                  <m:d>
                    <m:dPr>
                      <m:begChr m:val="|"/>
                      <m:endChr m:val="|"/>
                      <m:sepChr m:val=""/>
                      <m:grow/>
                    </m:dPr>
                    <m:e>
                      <m:sSub>
                        <m:e>
                          <m:r>
                            <m:t>u</m:t>
                          </m:r>
                        </m:e>
                        <m:sub>
                          <m:r>
                            <m:t>i</m:t>
                          </m:r>
                          <m:r>
                            <m:t>j</m:t>
                          </m:r>
                        </m:sub>
                      </m:sSub>
                    </m:e>
                  </m:d>
                </m:e>
              </m:nary>
            </m:num>
            <m:den>
              <m:r>
                <m:t>D</m:t>
              </m:r>
            </m:den>
          </m:f>
        </m:oMath>
      </m:oMathPara>
    </w:p>
    <w:p>
      <w:pPr>
        <w:pStyle w:val="FirstParagraph"/>
      </w:pPr>
      <w:r>
        <w:t xml:space="preserve">This is computed once at graph construction time, independent of the concentration field</w:t>
      </w:r>
      <w:r>
        <w:t xml:space="preserve"> </w:t>
      </w:r>
      <m:oMath>
        <m:r>
          <m:t>C</m:t>
        </m:r>
      </m:oMath>
      <w:r>
        <w:t xml:space="preserve">, and captures the intrinsic balance between advective and diffusive capacity of the graph structure.</w:t>
      </w:r>
    </w:p>
    <w:p>
      <w:r>
        <w:pict>
          <v:rect style="width:0;height:1.5pt" o:hralign="center" o:hrstd="t" o:hr="t"/>
        </w:pict>
      </w:r>
    </w:p>
    <w:bookmarkEnd w:id="34"/>
    <w:bookmarkEnd w:id="35"/>
    <w:bookmarkStart w:id="49" w:name="experiments"/>
    <w:p>
      <w:pPr>
        <w:pStyle w:val="Heading2"/>
      </w:pPr>
      <w:r>
        <w:t xml:space="preserve">4 Experiments</w:t>
      </w:r>
    </w:p>
    <w:bookmarkStart w:id="36" w:name="datasets"/>
    <w:p>
      <w:pPr>
        <w:pStyle w:val="Heading3"/>
      </w:pPr>
      <w:r>
        <w:t xml:space="preserve">4.1 Datasets</w:t>
      </w:r>
    </w:p>
    <w:p>
      <w:pPr>
        <w:pStyle w:val="FirstParagraph"/>
      </w:pPr>
      <w:r>
        <w:t xml:space="preserve">We evaluate Shape-CFD on four datasets spanning two languages and three domains:</w:t>
      </w:r>
    </w:p>
    <w:p>
      <w:pPr>
        <w:pStyle w:val="BodyText"/>
      </w:pPr>
      <w:r>
        <w:rPr>
          <w:bCs/>
          <w:b/>
        </w:rPr>
        <w:t xml:space="preserve">BEIR Benchmarks.</w:t>
      </w:r>
      <w:r>
        <w:t xml:space="preserve"> </w:t>
      </w:r>
      <w:r>
        <w:t xml:space="preserve">We use three subsets from the BEIR benchmark suite [25], widely adopted for evaluating zero-shot retrieval:</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Dataset</w:t>
            </w:r>
          </w:p>
        </w:tc>
        <w:tc>
          <w:tcPr/>
          <w:p>
            <w:pPr>
              <w:pStyle w:val="Compact"/>
              <w:jc w:val="left"/>
            </w:pPr>
            <w:r>
              <w:t xml:space="preserve">Domain</w:t>
            </w:r>
          </w:p>
        </w:tc>
        <w:tc>
          <w:tcPr/>
          <w:p>
            <w:pPr>
              <w:pStyle w:val="Compact"/>
              <w:jc w:val="right"/>
            </w:pPr>
            <w:r>
              <w:t xml:space="preserve">Queries</w:t>
            </w:r>
          </w:p>
        </w:tc>
        <w:tc>
          <w:tcPr/>
          <w:p>
            <w:pPr>
              <w:pStyle w:val="Compact"/>
              <w:jc w:val="right"/>
            </w:pPr>
            <w:r>
              <w:t xml:space="preserve">Corpus Size</w:t>
            </w:r>
          </w:p>
        </w:tc>
        <w:tc>
          <w:tcPr/>
          <w:p>
            <w:pPr>
              <w:pStyle w:val="Compact"/>
              <w:jc w:val="left"/>
            </w:pPr>
            <w:r>
              <w:t xml:space="preserve">Avg. Doc Length</w:t>
            </w:r>
          </w:p>
        </w:tc>
      </w:tr>
      <w:tr>
        <w:tc>
          <w:tcPr/>
          <w:p>
            <w:pPr>
              <w:pStyle w:val="Compact"/>
              <w:jc w:val="left"/>
            </w:pPr>
            <w:r>
              <w:t xml:space="preserve">SciFact</w:t>
            </w:r>
          </w:p>
        </w:tc>
        <w:tc>
          <w:tcPr/>
          <w:p>
            <w:pPr>
              <w:pStyle w:val="Compact"/>
              <w:jc w:val="left"/>
            </w:pPr>
            <w:r>
              <w:t xml:space="preserve">Scientific claims</w:t>
            </w:r>
          </w:p>
        </w:tc>
        <w:tc>
          <w:tcPr/>
          <w:p>
            <w:pPr>
              <w:pStyle w:val="Compact"/>
              <w:jc w:val="right"/>
            </w:pPr>
            <w:r>
              <w:t xml:space="preserve">300</w:t>
            </w:r>
          </w:p>
        </w:tc>
        <w:tc>
          <w:tcPr/>
          <w:p>
            <w:pPr>
              <w:pStyle w:val="Compact"/>
              <w:jc w:val="right"/>
            </w:pPr>
            <w:r>
              <w:t xml:space="preserve">5,183</w:t>
            </w:r>
          </w:p>
        </w:tc>
        <w:tc>
          <w:tcPr/>
          <w:p>
            <w:pPr>
              <w:pStyle w:val="Compact"/>
              <w:jc w:val="left"/>
            </w:pPr>
            <w:r>
              <w:t xml:space="preserve">Short abstracts</w:t>
            </w:r>
          </w:p>
        </w:tc>
      </w:tr>
      <w:tr>
        <w:tc>
          <w:tcPr/>
          <w:p>
            <w:pPr>
              <w:pStyle w:val="Compact"/>
              <w:jc w:val="left"/>
            </w:pPr>
            <w:r>
              <w:t xml:space="preserve">NFCorpus</w:t>
            </w:r>
          </w:p>
        </w:tc>
        <w:tc>
          <w:tcPr/>
          <w:p>
            <w:pPr>
              <w:pStyle w:val="Compact"/>
              <w:jc w:val="left"/>
            </w:pPr>
            <w:r>
              <w:t xml:space="preserve">Biomedical</w:t>
            </w:r>
          </w:p>
        </w:tc>
        <w:tc>
          <w:tcPr/>
          <w:p>
            <w:pPr>
              <w:pStyle w:val="Compact"/>
              <w:jc w:val="right"/>
            </w:pPr>
            <w:r>
              <w:t xml:space="preserve">323</w:t>
            </w:r>
          </w:p>
        </w:tc>
        <w:tc>
          <w:tcPr/>
          <w:p>
            <w:pPr>
              <w:pStyle w:val="Compact"/>
              <w:jc w:val="right"/>
            </w:pPr>
            <w:r>
              <w:t xml:space="preserve">3,633</w:t>
            </w:r>
          </w:p>
        </w:tc>
        <w:tc>
          <w:tcPr/>
          <w:p>
            <w:pPr>
              <w:pStyle w:val="Compact"/>
              <w:jc w:val="left"/>
            </w:pPr>
            <w:r>
              <w:t xml:space="preserve">Mixed lengths</w:t>
            </w:r>
          </w:p>
        </w:tc>
      </w:tr>
      <w:tr>
        <w:tc>
          <w:tcPr/>
          <w:p>
            <w:pPr>
              <w:pStyle w:val="Compact"/>
              <w:jc w:val="left"/>
            </w:pPr>
            <w:r>
              <w:t xml:space="preserve">FiQA</w:t>
            </w:r>
          </w:p>
        </w:tc>
        <w:tc>
          <w:tcPr/>
          <w:p>
            <w:pPr>
              <w:pStyle w:val="Compact"/>
              <w:jc w:val="left"/>
            </w:pPr>
            <w:r>
              <w:t xml:space="preserve">Financial QA</w:t>
            </w:r>
          </w:p>
        </w:tc>
        <w:tc>
          <w:tcPr/>
          <w:p>
            <w:pPr>
              <w:pStyle w:val="Compact"/>
              <w:jc w:val="right"/>
            </w:pPr>
            <w:r>
              <w:t xml:space="preserve">648</w:t>
            </w:r>
          </w:p>
        </w:tc>
        <w:tc>
          <w:tcPr/>
          <w:p>
            <w:pPr>
              <w:pStyle w:val="Compact"/>
              <w:jc w:val="right"/>
            </w:pPr>
            <w:r>
              <w:t xml:space="preserve">57,638</w:t>
            </w:r>
          </w:p>
        </w:tc>
        <w:tc>
          <w:tcPr/>
          <w:p>
            <w:pPr>
              <w:pStyle w:val="Compact"/>
              <w:jc w:val="left"/>
            </w:pPr>
            <w:r>
              <w:t xml:space="preserve">Variable</w:t>
            </w:r>
          </w:p>
        </w:tc>
      </w:tr>
    </w:tbl>
    <w:p>
      <w:pPr>
        <w:pStyle w:val="BodyText"/>
      </w:pPr>
      <w:r>
        <w:rPr>
          <w:bCs/>
          <w:b/>
        </w:rPr>
        <w:t xml:space="preserve">LawVein Legal Corpus.</w:t>
      </w:r>
      <w:r>
        <w:t xml:space="preserve"> </w:t>
      </w:r>
      <w:r>
        <w:t xml:space="preserve">A proprietary Chinese legal knowledge base consisting of 23,701 statute chunks extracted from 24 Chinese laws, encoded with Qwen3-Embedding-8B (</w:t>
      </w:r>
      <m:oMath>
        <m:r>
          <m:t>d</m:t>
        </m:r>
        <m:r>
          <m:rPr>
            <m:sty m:val="p"/>
          </m:rPr>
          <m:t>=</m:t>
        </m:r>
        <m:r>
          <m:t>4096</m:t>
        </m:r>
      </m:oMath>
      <w:r>
        <w:t xml:space="preserve">) and indexed using USearch HNSW (</w:t>
      </w:r>
      <m:oMath>
        <m:r>
          <m:t>M</m:t>
        </m:r>
        <m:r>
          <m:rPr>
            <m:sty m:val="p"/>
          </m:rPr>
          <m:t>=</m:t>
        </m:r>
        <m:r>
          <m:t>32</m:t>
        </m:r>
      </m:oMath>
      <w:r>
        <w:t xml:space="preserve">,</w:t>
      </w:r>
      <w:r>
        <w:t xml:space="preserve"> </w:t>
      </w:r>
      <m:oMath>
        <m:r>
          <m:rPr>
            <m:nor/>
            <m:sty m:val="p"/>
          </m:rPr>
          <m:t>ef</m:t>
        </m:r>
        <m:r>
          <m:rPr>
            <m:sty m:val="p"/>
          </m:rPr>
          <m:t>=</m:t>
        </m:r>
        <m:r>
          <m:t>128</m:t>
        </m:r>
      </m:oMath>
      <w:r>
        <w:t xml:space="preserve">). This dataset serves as our primary development testbed and provides a challenging scenario with highly homogeneous intra-domain embeddings.</w:t>
      </w:r>
    </w:p>
    <w:bookmarkEnd w:id="36"/>
    <w:bookmarkStart w:id="37" w:name="baselines-and-evaluation-protocol"/>
    <w:p>
      <w:pPr>
        <w:pStyle w:val="Heading3"/>
      </w:pPr>
      <w:r>
        <w:t xml:space="preserve">4.2 Baselines and Evaluation Protocol</w:t>
      </w:r>
    </w:p>
    <w:p>
      <w:pPr>
        <w:pStyle w:val="FirstParagraph"/>
      </w:pPr>
      <w:r>
        <w:rPr>
          <w:bCs/>
          <w:b/>
        </w:rPr>
        <w:t xml:space="preserve">Retrieval methods compared:</w:t>
      </w:r>
    </w:p>
    <w:p>
      <w:pPr>
        <w:numPr>
          <w:ilvl w:val="0"/>
          <w:numId w:val="1002"/>
        </w:numPr>
        <w:pStyle w:val="Compact"/>
      </w:pPr>
      <w:r>
        <w:rPr>
          <w:bCs/>
          <w:b/>
        </w:rPr>
        <w:t xml:space="preserve">Cosine</w:t>
      </w:r>
      <w:r>
        <w:t xml:space="preserve">: Direct HNSW retrieval with cosine similarity ranking (the standard baseline).</w:t>
      </w:r>
    </w:p>
    <w:p>
      <w:pPr>
        <w:numPr>
          <w:ilvl w:val="0"/>
          <w:numId w:val="1002"/>
        </w:numPr>
        <w:pStyle w:val="Compact"/>
      </w:pPr>
      <w:r>
        <w:rPr>
          <w:bCs/>
          <w:b/>
        </w:rPr>
        <w:t xml:space="preserve">BM25</w:t>
      </w:r>
      <w:r>
        <w:t xml:space="preserve">: Sparse lexical matching via Okapi BM25.</w:t>
      </w:r>
    </w:p>
    <w:p>
      <w:pPr>
        <w:numPr>
          <w:ilvl w:val="0"/>
          <w:numId w:val="1002"/>
        </w:numPr>
        <w:pStyle w:val="Compact"/>
      </w:pPr>
      <w:r>
        <w:rPr>
          <w:bCs/>
          <w:b/>
        </w:rPr>
        <w:t xml:space="preserve">AD-Rank v2</w:t>
      </w:r>
      <w:r>
        <w:t xml:space="preserve">: Our point-based convection-diffusion algorithm (without the shape extension), using optimal parameters</w:t>
      </w:r>
      <w:r>
        <w:t xml:space="preserve"> </w:t>
      </w:r>
      <m:oMath>
        <m:r>
          <m:t>D</m:t>
        </m:r>
        <m:r>
          <m:rPr>
            <m:sty m:val="p"/>
          </m:rPr>
          <m:t>=</m:t>
        </m:r>
        <m:r>
          <m:t>0.15</m:t>
        </m:r>
      </m:oMath>
      <w:r>
        <w:t xml:space="preserve">,</w:t>
      </w:r>
      <w:r>
        <w:t xml:space="preserve"> </w:t>
      </w:r>
      <m:oMath>
        <m:sSub>
          <m:e>
            <m:r>
              <m:t>u</m:t>
            </m:r>
          </m:e>
          <m:sub>
            <m:r>
              <m:rPr>
                <m:nor/>
                <m:sty m:val="p"/>
              </m:rPr>
              <m:t>strength</m:t>
            </m:r>
          </m:sub>
        </m:sSub>
        <m:r>
          <m:rPr>
            <m:sty m:val="p"/>
          </m:rPr>
          <m:t>=</m:t>
        </m:r>
        <m:r>
          <m:t>0.1</m:t>
        </m:r>
      </m:oMath>
      <w:r>
        <w:t xml:space="preserve">,</w:t>
      </w:r>
      <w:r>
        <w:t xml:space="preserve"> </w:t>
      </w:r>
      <m:oMath>
        <m:r>
          <m:t>k</m:t>
        </m:r>
        <m:r>
          <m:rPr>
            <m:sty m:val="p"/>
          </m:rPr>
          <m:t>=</m:t>
        </m:r>
        <m:r>
          <m:t>3</m:t>
        </m:r>
      </m:oMath>
      <w:r>
        <w:t xml:space="preserve">.</w:t>
      </w:r>
    </w:p>
    <w:p>
      <w:pPr>
        <w:numPr>
          <w:ilvl w:val="0"/>
          <w:numId w:val="1002"/>
        </w:numPr>
        <w:pStyle w:val="Compact"/>
      </w:pPr>
      <w:r>
        <w:rPr>
          <w:bCs/>
          <w:b/>
        </w:rPr>
        <w:t xml:space="preserve">Shape-CFD</w:t>
      </w:r>
      <w:r>
        <w:t xml:space="preserve">: The full shape-aware extension with Chamfer distance, JL projection (</w:t>
      </w:r>
      <m:oMath>
        <m:r>
          <m:t>m</m:t>
        </m:r>
        <m:r>
          <m:rPr>
            <m:sty m:val="p"/>
          </m:rPr>
          <m:t>=</m:t>
        </m:r>
        <m:r>
          <m:t>128</m:t>
        </m:r>
      </m:oMath>
      <w:r>
        <w:t xml:space="preserve">), and sentence-level point clouds.</w:t>
      </w:r>
    </w:p>
    <w:p>
      <w:pPr>
        <w:pStyle w:val="FirstParagraph"/>
      </w:pPr>
      <w:r>
        <w:rPr>
          <w:bCs/>
          <w:b/>
        </w:rPr>
        <w:t xml:space="preserve">Strategy variants</w:t>
      </w:r>
      <w:r>
        <w:t xml:space="preserve"> </w:t>
      </w:r>
      <w:r>
        <w:t xml:space="preserve">(for the LawVein ablation study):</w:t>
      </w:r>
    </w:p>
    <w:tbl>
      <w:tblPr>
        <w:tblStyle w:val="Table"/>
        <w:tblW w:type="pct" w:w="5000"/>
        <w:tblLook w:firstRow="1" w:lastRow="0" w:firstColumn="0" w:lastColumn="0" w:noHBand="0" w:noVBand="0" w:val="0020"/>
        <w:jc w:val="start"/>
      </w:tblPr>
      <w:tblGrid>
        <w:gridCol w:w="1926"/>
        <w:gridCol w:w="2782"/>
        <w:gridCol w:w="3210"/>
      </w:tblGrid>
      <w:tr>
        <w:trPr>
          <w:tblHeader w:val="true"/>
        </w:trPr>
        <w:tc>
          <w:tcPr/>
          <w:p>
            <w:pPr>
              <w:pStyle w:val="Compact"/>
              <w:jc w:val="left"/>
            </w:pPr>
            <w:r>
              <w:t xml:space="preserve">Variant</w:t>
            </w:r>
          </w:p>
        </w:tc>
        <w:tc>
          <w:tcPr/>
          <w:p>
            <w:pPr>
              <w:pStyle w:val="Compact"/>
              <w:jc w:val="left"/>
            </w:pPr>
            <w:r>
              <w:t xml:space="preserve">Description</w:t>
            </w:r>
          </w:p>
        </w:tc>
        <w:tc>
          <w:tcPr/>
          <w:p>
            <w:pPr>
              <w:pStyle w:val="Compact"/>
              <w:jc w:val="left"/>
            </w:pPr>
            <w:r>
              <w:t xml:space="preserve">Key Parameter</w:t>
            </w:r>
          </w:p>
        </w:tc>
      </w:tr>
      <w:tr>
        <w:tc>
          <w:tcPr/>
          <w:p>
            <w:pPr>
              <w:pStyle w:val="Compact"/>
              <w:jc w:val="left"/>
            </w:pPr>
            <w:r>
              <w:t xml:space="preserve">MDA</w:t>
            </w:r>
          </w:p>
        </w:tc>
        <w:tc>
          <w:tcPr/>
          <w:p>
            <w:pPr>
              <w:pStyle w:val="Compact"/>
              <w:jc w:val="left"/>
            </w:pPr>
            <w:r>
              <w:t xml:space="preserve">Multi-Directional Advection: 8 random projection subspaces, each with independent graph and advection</w:t>
            </w:r>
          </w:p>
        </w:tc>
        <w:tc>
          <w:tcPr/>
          <w:p>
            <w:pPr>
              <w:pStyle w:val="Compact"/>
              <w:jc w:val="left"/>
            </w:pPr>
            <m:oMath>
              <m:r>
                <m:t>M</m:t>
              </m:r>
              <m:r>
                <m:rPr>
                  <m:sty m:val="p"/>
                </m:rPr>
                <m:t>=</m:t>
              </m:r>
              <m:r>
                <m:t>8</m:t>
              </m:r>
            </m:oMath>
            <w:r>
              <w:t xml:space="preserve">,</w:t>
            </w:r>
            <w:r>
              <w:t xml:space="preserve"> </w:t>
            </w:r>
            <m:oMath>
              <m:r>
                <m:t>k</m:t>
              </m:r>
              <m:r>
                <m:rPr>
                  <m:sty m:val="p"/>
                </m:rPr>
                <m:t>=</m:t>
              </m:r>
              <m:r>
                <m:t>32</m:t>
              </m:r>
            </m:oMath>
          </w:p>
        </w:tc>
      </w:tr>
      <w:tr>
        <w:tc>
          <w:tcPr/>
          <w:p>
            <w:pPr>
              <w:pStyle w:val="Compact"/>
              <w:jc w:val="left"/>
            </w:pPr>
            <w:r>
              <w:t xml:space="preserve">BAA</w:t>
            </w:r>
          </w:p>
        </w:tc>
        <w:tc>
          <w:tcPr/>
          <w:p>
            <w:pPr>
              <w:pStyle w:val="Compact"/>
              <w:jc w:val="left"/>
            </w:pPr>
            <w:r>
              <w:t xml:space="preserve">Block-Adaptive Advection: 8 contiguous dimension blocks</w:t>
            </w:r>
          </w:p>
        </w:tc>
        <w:tc>
          <w:tcPr/>
          <w:p>
            <w:pPr>
              <w:pStyle w:val="Compact"/>
              <w:jc w:val="left"/>
            </w:pPr>
            <m:oMath>
              <m:r>
                <m:t>B</m:t>
              </m:r>
              <m:r>
                <m:rPr>
                  <m:sty m:val="p"/>
                </m:rPr>
                <m:t>=</m:t>
              </m:r>
              <m:r>
                <m:t>8</m:t>
              </m:r>
            </m:oMath>
          </w:p>
        </w:tc>
      </w:tr>
      <w:tr>
        <w:tc>
          <w:tcPr/>
          <w:p>
            <w:pPr>
              <w:pStyle w:val="Compact"/>
              <w:jc w:val="left"/>
            </w:pPr>
            <w:r>
              <w:t xml:space="preserve">v2+PCA</w:t>
            </w:r>
          </w:p>
        </w:tc>
        <w:tc>
          <w:tcPr/>
          <w:p>
            <w:pPr>
              <w:pStyle w:val="Compact"/>
              <w:jc w:val="left"/>
            </w:pPr>
            <w:r>
              <w:t xml:space="preserve">Local PCA dimensionality reduction for advection direction</w:t>
            </w:r>
          </w:p>
        </w:tc>
        <w:tc>
          <w:tcPr/>
          <w:p>
            <w:pPr>
              <w:pStyle w:val="Compact"/>
              <w:jc w:val="left"/>
            </w:pPr>
            <m:oMath>
              <m:r>
                <m:rPr>
                  <m:nor/>
                  <m:sty m:val="p"/>
                </m:rPr>
                <m:t>pcaDim</m:t>
              </m:r>
              <m:r>
                <m:rPr>
                  <m:sty m:val="p"/>
                </m:rPr>
                <m:t>=</m:t>
              </m:r>
              <m:r>
                <m:t>32</m:t>
              </m:r>
            </m:oMath>
          </w:p>
        </w:tc>
      </w:tr>
      <w:tr>
        <w:tc>
          <w:tcPr/>
          <w:p>
            <w:pPr>
              <w:pStyle w:val="Compact"/>
              <w:jc w:val="left"/>
            </w:pPr>
            <w:r>
              <w:t xml:space="preserve">v2+Temperature</w:t>
            </w:r>
          </w:p>
        </w:tc>
        <w:tc>
          <w:tcPr/>
          <w:p>
            <w:pPr>
              <w:pStyle w:val="Compact"/>
              <w:jc w:val="left"/>
            </w:pPr>
            <w:r>
              <w:t xml:space="preserve">Nonlinear temperature scaling of advection coefficients</w:t>
            </w:r>
          </w:p>
        </w:tc>
        <w:tc>
          <w:tcPr/>
          <w:p>
            <w:pPr>
              <w:pStyle w:val="Compact"/>
              <w:jc w:val="left"/>
            </w:pPr>
            <m:oMath>
              <m:r>
                <m:t>α</m:t>
              </m:r>
              <m:r>
                <m:rPr>
                  <m:sty m:val="p"/>
                </m:rPr>
                <m:t>=</m:t>
              </m:r>
              <m:r>
                <m:t>0.5</m:t>
              </m:r>
            </m:oMath>
          </w:p>
        </w:tc>
      </w:tr>
      <w:tr>
        <w:tc>
          <w:tcPr/>
          <w:p>
            <w:pPr>
              <w:pStyle w:val="Compact"/>
              <w:jc w:val="left"/>
            </w:pPr>
            <w:r>
              <w:t xml:space="preserve">v2+Adaptive</w:t>
            </w:r>
          </w:p>
        </w:tc>
        <w:tc>
          <w:tcPr/>
          <w:p>
            <w:pPr>
              <w:pStyle w:val="Compact"/>
              <w:jc w:val="left"/>
            </w:pPr>
            <w:r>
              <w:t xml:space="preserve">Fiedler-value adaptive</w:t>
            </w:r>
            <w:r>
              <w:t xml:space="preserve"> </w:t>
            </w:r>
            <m:oMath>
              <m:r>
                <m:t>D</m:t>
              </m:r>
            </m:oMath>
            <w:r>
              <w:t xml:space="preserve"> </w:t>
            </w:r>
            <w:r>
              <w:t xml:space="preserve">+ cross-domain adaptive</w:t>
            </w:r>
            <w:r>
              <w:t xml:space="preserve"> </w:t>
            </w:r>
            <m:oMath>
              <m:r>
                <m:t>u</m:t>
              </m:r>
            </m:oMath>
          </w:p>
        </w:tc>
        <w:tc>
          <w:tcPr/>
          <w:p>
            <w:pPr>
              <w:pStyle w:val="Compact"/>
              <w:jc w:val="left"/>
            </w:pPr>
            <w:r>
              <w:t xml:space="preserve">Auto</w:t>
            </w:r>
          </w:p>
        </w:tc>
      </w:tr>
    </w:tbl>
    <w:p>
      <w:pPr>
        <w:pStyle w:val="BodyText"/>
      </w:pPr>
      <w:r>
        <w:rPr>
          <w:bCs/>
          <w:b/>
        </w:rPr>
        <w:t xml:space="preserve">Evaluation metrics.</w:t>
      </w:r>
      <w:r>
        <w:t xml:space="preserve"> </w:t>
      </w:r>
      <w:r>
        <w:t xml:space="preserve">For BEIR benchmarks, we report NDCG@10, MRR@10, and Recall@10 using the official evaluation scripts. For the LawVein dataset (which lacks ground-truth relevance labels), we employ</w:t>
      </w:r>
      <w:r>
        <w:t xml:space="preserve"> </w:t>
      </w:r>
      <w:r>
        <w:rPr>
          <w:bCs/>
          <w:b/>
        </w:rPr>
        <w:t xml:space="preserve">DeepSeek V3.2 blind evaluation</w:t>
      </w:r>
      <w:r>
        <w:t xml:space="preserve">: an LLM judge independently scores anonymized A/B result pairs on a 1–5 scale for relevance, coverage, and ranking rationality, with random assignment to prevent position bias.</w:t>
      </w:r>
    </w:p>
    <w:bookmarkEnd w:id="37"/>
    <w:bookmarkStart w:id="43" w:name="main-results"/>
    <w:p>
      <w:pPr>
        <w:pStyle w:val="Heading3"/>
      </w:pPr>
      <w:r>
        <w:t xml:space="preserve">4.3 Main Results</w:t>
      </w:r>
    </w:p>
    <w:bookmarkStart w:id="38" w:name="beir-benchmark-results"/>
    <w:p>
      <w:pPr>
        <w:pStyle w:val="Heading4"/>
      </w:pPr>
      <w:r>
        <w:t xml:space="preserve">BEIR Benchmark Results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Dataset</w:t>
            </w:r>
          </w:p>
        </w:tc>
        <w:tc>
          <w:tcPr/>
          <w:p>
            <w:pPr>
              <w:pStyle w:val="Compact"/>
              <w:jc w:val="right"/>
            </w:pPr>
            <w:r>
              <w:t xml:space="preserve">Cosine</w:t>
            </w:r>
          </w:p>
        </w:tc>
        <w:tc>
          <w:tcPr/>
          <w:p>
            <w:pPr>
              <w:pStyle w:val="Compact"/>
              <w:jc w:val="right"/>
            </w:pPr>
            <w:r>
              <w:t xml:space="preserve">BM25</w:t>
            </w:r>
          </w:p>
        </w:tc>
        <w:tc>
          <w:tcPr/>
          <w:p>
            <w:pPr>
              <w:pStyle w:val="Compact"/>
              <w:jc w:val="right"/>
            </w:pPr>
            <w:r>
              <w:t xml:space="preserve">AD-Rank v2</w:t>
            </w:r>
          </w:p>
        </w:tc>
        <w:tc>
          <w:tcPr/>
          <w:p>
            <w:pPr>
              <w:pStyle w:val="Compact"/>
              <w:jc w:val="right"/>
            </w:pPr>
            <w:r>
              <w:t xml:space="preserve">Shape-CFD</w:t>
            </w:r>
          </w:p>
        </w:tc>
        <w:tc>
          <w:tcPr/>
          <w:p>
            <w:pPr>
              <w:pStyle w:val="Compact"/>
              <w:jc w:val="left"/>
            </w:pPr>
            <m:oMath>
              <m:r>
                <m:t>Δ</m:t>
              </m:r>
            </m:oMath>
            <w:r>
              <w:t xml:space="preserve"> </w:t>
            </w:r>
            <w:r>
              <w:t xml:space="preserve">NDCG@10</w:t>
            </w:r>
          </w:p>
        </w:tc>
      </w:tr>
      <w:tr>
        <w:tc>
          <w:tcPr/>
          <w:p>
            <w:pPr>
              <w:pStyle w:val="Compact"/>
              <w:jc w:val="left"/>
            </w:pPr>
            <w:r>
              <w:t xml:space="preserve">SciFact</w:t>
            </w:r>
          </w:p>
        </w:tc>
        <w:tc>
          <w:tcPr/>
          <w:p>
            <w:pPr>
              <w:pStyle w:val="Compact"/>
              <w:jc w:val="right"/>
            </w:pPr>
            <w:r>
              <w:t xml:space="preserve">0.4701</w:t>
            </w:r>
          </w:p>
        </w:tc>
        <w:tc>
          <w:tcPr/>
          <w:p>
            <w:pPr>
              <w:pStyle w:val="Compact"/>
              <w:jc w:val="right"/>
            </w:pPr>
            <w:r>
              <w:t xml:space="preserve">—</w:t>
            </w:r>
          </w:p>
        </w:tc>
        <w:tc>
          <w:tcPr/>
          <w:p>
            <w:pPr>
              <w:pStyle w:val="Compact"/>
              <w:jc w:val="right"/>
            </w:pPr>
            <w:r>
              <w:t xml:space="preserve">0.4753</w:t>
            </w:r>
          </w:p>
        </w:tc>
        <w:tc>
          <w:tcPr/>
          <w:p>
            <w:pPr>
              <w:pStyle w:val="Compact"/>
              <w:jc w:val="right"/>
            </w:pPr>
            <w:r>
              <w:rPr>
                <w:bCs/>
                <w:b/>
              </w:rPr>
              <w:t xml:space="preserve">0.4820</w:t>
            </w:r>
          </w:p>
        </w:tc>
        <w:tc>
          <w:tcPr/>
          <w:p>
            <w:pPr>
              <w:pStyle w:val="Compact"/>
              <w:jc w:val="left"/>
            </w:pPr>
            <w:r>
              <w:rPr>
                <w:bCs/>
                <w:b/>
              </w:rPr>
              <w:t xml:space="preserve">+2.5%</w:t>
            </w:r>
          </w:p>
        </w:tc>
      </w:tr>
      <w:tr>
        <w:tc>
          <w:tcPr/>
          <w:p>
            <w:pPr>
              <w:pStyle w:val="Compact"/>
              <w:jc w:val="left"/>
            </w:pPr>
            <w:r>
              <w:t xml:space="preserve">NFCorpus</w:t>
            </w:r>
          </w:p>
        </w:tc>
        <w:tc>
          <w:tcPr/>
          <w:p>
            <w:pPr>
              <w:pStyle w:val="Compact"/>
              <w:jc w:val="right"/>
            </w:pPr>
            <w:r>
              <w:t xml:space="preserve">0.2209</w:t>
            </w:r>
          </w:p>
        </w:tc>
        <w:tc>
          <w:tcPr/>
          <w:p>
            <w:pPr>
              <w:pStyle w:val="Compact"/>
              <w:jc w:val="right"/>
            </w:pPr>
            <w:r>
              <w:t xml:space="preserve">—</w:t>
            </w:r>
          </w:p>
        </w:tc>
        <w:tc>
          <w:tcPr/>
          <w:p>
            <w:pPr>
              <w:pStyle w:val="Compact"/>
              <w:jc w:val="right"/>
            </w:pPr>
            <w:r>
              <w:t xml:space="preserve">0.2398</w:t>
            </w:r>
          </w:p>
        </w:tc>
        <w:tc>
          <w:tcPr/>
          <w:p>
            <w:pPr>
              <w:pStyle w:val="Compact"/>
              <w:jc w:val="right"/>
            </w:pPr>
            <w:r>
              <w:rPr>
                <w:bCs/>
                <w:b/>
              </w:rPr>
              <w:t xml:space="preserve">0.2684</w:t>
            </w:r>
          </w:p>
        </w:tc>
        <w:tc>
          <w:tcPr/>
          <w:p>
            <w:pPr>
              <w:pStyle w:val="Compact"/>
              <w:jc w:val="left"/>
            </w:pPr>
            <w:r>
              <w:rPr>
                <w:bCs/>
                <w:b/>
              </w:rPr>
              <w:t xml:space="preserve">+21.5%</w:t>
            </w:r>
          </w:p>
        </w:tc>
      </w:tr>
      <w:tr>
        <w:tc>
          <w:tcPr/>
          <w:p>
            <w:pPr>
              <w:pStyle w:val="Compact"/>
              <w:jc w:val="left"/>
            </w:pPr>
            <w:r>
              <w:t xml:space="preserve">FiQA</w:t>
            </w:r>
          </w:p>
        </w:tc>
        <w:tc>
          <w:tcPr/>
          <w:p>
            <w:pPr>
              <w:pStyle w:val="Compact"/>
              <w:jc w:val="right"/>
            </w:pPr>
            <w:r>
              <w:t xml:space="preserve">0.1683</w:t>
            </w:r>
          </w:p>
        </w:tc>
        <w:tc>
          <w:tcPr/>
          <w:p>
            <w:pPr>
              <w:pStyle w:val="Compact"/>
              <w:jc w:val="right"/>
            </w:pPr>
            <w:r>
              <w:t xml:space="preserve">—</w:t>
            </w:r>
          </w:p>
        </w:tc>
        <w:tc>
          <w:tcPr/>
          <w:p>
            <w:pPr>
              <w:pStyle w:val="Compact"/>
              <w:jc w:val="right"/>
            </w:pPr>
            <w:r>
              <w:t xml:space="preserve">0.1683</w:t>
            </w:r>
          </w:p>
        </w:tc>
        <w:tc>
          <w:tcPr/>
          <w:p>
            <w:pPr>
              <w:pStyle w:val="Compact"/>
              <w:jc w:val="right"/>
            </w:pPr>
            <w:r>
              <w:t xml:space="preserve">0.1683</w:t>
            </w:r>
          </w:p>
        </w:tc>
        <w:tc>
          <w:tcPr/>
          <w:p>
            <w:pPr>
              <w:pStyle w:val="Compact"/>
              <w:jc w:val="left"/>
            </w:pPr>
            <w:r>
              <w:t xml:space="preserve">0%</w:t>
            </w:r>
          </w:p>
        </w:tc>
      </w:tr>
    </w:tbl>
    <w:p>
      <w:pPr>
        <w:pStyle w:val="BodyText"/>
      </w:pPr>
      <w:r>
        <w:t xml:space="preserve">On SciFact and NFCorpus, Shape-CFD substantially outperforms both the cosine baseline and the point-based AD-Rank v2. The NFCorpus improvement of +21.5% is particularly notable, as NFCorpus contains biomedical documents with rich multi-sentence structure that benefits from the Chamfer distance-based graph construction.</w:t>
      </w:r>
    </w:p>
    <w:p>
      <w:pPr>
        <w:pStyle w:val="BodyText"/>
      </w:pPr>
      <w:r>
        <w:t xml:space="preserve">The FiQA result (</w:t>
      </w:r>
      <m:oMath>
        <m:r>
          <m:t>Δ</m:t>
        </m:r>
        <m:r>
          <m:rPr>
            <m:sty m:val="p"/>
          </m:rPr>
          <m:t>=</m:t>
        </m:r>
        <m:r>
          <m:t>0</m:t>
        </m:r>
      </m:oMath>
      <w:r>
        <w:t xml:space="preserve">) is informative: FiQA’s financial Q&amp;A documents tend to be short, single-sentence answers that yield singleton point clouds. In this regime, Shape-CFD degrades exactly to cosine similarity (as expected), confirming that the shape extension contributes only when multi-sentence structure is present—it does not introduce spurious effects on incompatible document types.</w:t>
      </w:r>
    </w:p>
    <w:bookmarkEnd w:id="38"/>
    <w:bookmarkStart w:id="39" w:name="lawvein-blind-evaluation-results"/>
    <w:p>
      <w:pPr>
        <w:pStyle w:val="Heading4"/>
      </w:pPr>
      <w:r>
        <w:t xml:space="preserve">LawVein Blind Evaluation Results</w:t>
      </w:r>
    </w:p>
    <w:p>
      <w:pPr>
        <w:pStyle w:val="FirstParagraph"/>
      </w:pPr>
      <w:r>
        <w:rPr>
          <w:bCs/>
          <w:b/>
        </w:rPr>
        <w:t xml:space="preserve">AD-Rank v2 vs. Cosine</w:t>
      </w:r>
      <w:r>
        <w:t xml:space="preserve"> </w:t>
      </w:r>
      <w:r>
        <w:t xml:space="preserve">(10 queries, DeepSeek V3.2 blind judge):</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Method</w:t>
            </w:r>
          </w:p>
        </w:tc>
        <w:tc>
          <w:tcPr/>
          <w:p>
            <w:pPr>
              <w:pStyle w:val="Compact"/>
              <w:jc w:val="center"/>
            </w:pPr>
            <w:r>
              <w:t xml:space="preserve">Mean Score</w:t>
            </w:r>
          </w:p>
        </w:tc>
        <w:tc>
          <w:tcPr/>
          <w:p>
            <w:pPr>
              <w:pStyle w:val="Compact"/>
              <w:jc w:val="center"/>
            </w:pPr>
            <w:r>
              <w:t xml:space="preserve">Win</w:t>
            </w:r>
          </w:p>
        </w:tc>
        <w:tc>
          <w:tcPr/>
          <w:p>
            <w:pPr>
              <w:pStyle w:val="Compact"/>
              <w:jc w:val="center"/>
            </w:pPr>
            <w:r>
              <w:t xml:space="preserve">Loss</w:t>
            </w:r>
          </w:p>
        </w:tc>
        <w:tc>
          <w:tcPr/>
          <w:p>
            <w:pPr>
              <w:pStyle w:val="Compact"/>
              <w:jc w:val="center"/>
            </w:pPr>
            <w:r>
              <w:t xml:space="preserve">Draw</w:t>
            </w:r>
          </w:p>
        </w:tc>
        <w:tc>
          <w:tcPr/>
          <w:p>
            <w:pPr>
              <w:pStyle w:val="Compact"/>
              <w:jc w:val="center"/>
            </w:pPr>
            <w:r>
              <w:t xml:space="preserve">Win Rate</w:t>
            </w:r>
          </w:p>
        </w:tc>
      </w:tr>
      <w:tr>
        <w:tc>
          <w:tcPr/>
          <w:p>
            <w:pPr>
              <w:pStyle w:val="Compact"/>
              <w:jc w:val="left"/>
            </w:pPr>
            <w:r>
              <w:t xml:space="preserve">AD-Rank v2</w:t>
            </w:r>
          </w:p>
        </w:tc>
        <w:tc>
          <w:tcPr/>
          <w:p>
            <w:pPr>
              <w:pStyle w:val="Compact"/>
              <w:jc w:val="center"/>
            </w:pPr>
            <w:r>
              <w:t xml:space="preserve">3.4/5</w:t>
            </w:r>
          </w:p>
        </w:tc>
        <w:tc>
          <w:tcPr/>
          <w:p>
            <w:pPr>
              <w:pStyle w:val="Compact"/>
              <w:jc w:val="center"/>
            </w:pPr>
            <w:r>
              <w:t xml:space="preserve">7</w:t>
            </w:r>
          </w:p>
        </w:tc>
        <w:tc>
          <w:tcPr/>
          <w:p>
            <w:pPr>
              <w:pStyle w:val="Compact"/>
              <w:jc w:val="center"/>
            </w:pPr>
            <w:r>
              <w:t xml:space="preserve">2</w:t>
            </w:r>
          </w:p>
        </w:tc>
        <w:tc>
          <w:tcPr/>
          <w:p>
            <w:pPr>
              <w:pStyle w:val="Compact"/>
              <w:jc w:val="center"/>
            </w:pPr>
            <w:r>
              <w:t xml:space="preserve">1</w:t>
            </w:r>
          </w:p>
        </w:tc>
        <w:tc>
          <w:tcPr/>
          <w:p>
            <w:pPr>
              <w:pStyle w:val="Compact"/>
              <w:jc w:val="center"/>
            </w:pPr>
            <w:r>
              <w:rPr>
                <w:bCs/>
                <w:b/>
              </w:rPr>
              <w:t xml:space="preserve">70%</w:t>
            </w:r>
          </w:p>
        </w:tc>
      </w:tr>
      <w:tr>
        <w:tc>
          <w:tcPr/>
          <w:p>
            <w:pPr>
              <w:pStyle w:val="Compact"/>
              <w:jc w:val="left"/>
            </w:pPr>
            <w:r>
              <w:t xml:space="preserve">Cosine</w:t>
            </w:r>
          </w:p>
        </w:tc>
        <w:tc>
          <w:tcPr/>
          <w:p>
            <w:pPr>
              <w:pStyle w:val="Compact"/>
              <w:jc w:val="center"/>
            </w:pPr>
            <w:r>
              <w:t xml:space="preserve">2.8/5</w:t>
            </w:r>
          </w:p>
        </w:tc>
        <w:tc>
          <w:tcPr/>
          <w:p>
            <w:pPr>
              <w:pStyle w:val="Compact"/>
              <w:jc w:val="center"/>
            </w:pPr>
            <w:r>
              <w:t xml:space="preserve">2</w:t>
            </w:r>
          </w:p>
        </w:tc>
        <w:tc>
          <w:tcPr/>
          <w:p>
            <w:pPr>
              <w:pStyle w:val="Compact"/>
              <w:jc w:val="center"/>
            </w:pPr>
            <w:r>
              <w:t xml:space="preserve">7</w:t>
            </w:r>
          </w:p>
        </w:tc>
        <w:tc>
          <w:tcPr/>
          <w:p>
            <w:pPr>
              <w:pStyle w:val="Compact"/>
              <w:jc w:val="center"/>
            </w:pPr>
            <w:r>
              <w:t xml:space="preserve">1</w:t>
            </w:r>
          </w:p>
        </w:tc>
        <w:tc>
          <w:tcPr/>
          <w:p>
            <w:pPr>
              <w:pStyle w:val="Compact"/>
              <w:jc w:val="center"/>
            </w:pPr>
            <w:r>
              <w:t xml:space="preserve">20%</w:t>
            </w:r>
          </w:p>
        </w:tc>
      </w:tr>
    </w:tbl>
    <w:p>
      <w:pPr>
        <w:pStyle w:val="BodyText"/>
      </w:pPr>
      <w:r>
        <w:rPr>
          <w:bCs/>
          <w:b/>
        </w:rPr>
        <w:t xml:space="preserve">Shape-CFD vs. Cosine</w:t>
      </w:r>
      <w:r>
        <w:t xml:space="preserve"> </w:t>
      </w:r>
      <w:r>
        <w:t xml:space="preserve">(10 queries, independent evaluation):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center"/>
            </w:pPr>
            <w:r>
              <w:t xml:space="preserve">Mean Score</w:t>
            </w:r>
          </w:p>
        </w:tc>
        <w:tc>
          <w:tcPr/>
          <w:p>
            <w:pPr>
              <w:pStyle w:val="Compact"/>
              <w:jc w:val="center"/>
            </w:pPr>
            <w:r>
              <w:t xml:space="preserve">Win</w:t>
            </w:r>
          </w:p>
        </w:tc>
        <w:tc>
          <w:tcPr/>
          <w:p>
            <w:pPr>
              <w:pStyle w:val="Compact"/>
              <w:jc w:val="center"/>
            </w:pPr>
            <w:r>
              <w:t xml:space="preserve">Loss</w:t>
            </w:r>
          </w:p>
        </w:tc>
        <w:tc>
          <w:tcPr/>
          <w:p>
            <w:pPr>
              <w:pStyle w:val="Compact"/>
              <w:jc w:val="center"/>
            </w:pPr>
            <w:r>
              <w:t xml:space="preserve">Win Rate</w:t>
            </w:r>
          </w:p>
        </w:tc>
      </w:tr>
      <w:tr>
        <w:tc>
          <w:tcPr/>
          <w:p>
            <w:pPr>
              <w:pStyle w:val="Compact"/>
              <w:jc w:val="left"/>
            </w:pPr>
            <w:r>
              <w:t xml:space="preserve">Shape-CFD</w:t>
            </w:r>
          </w:p>
        </w:tc>
        <w:tc>
          <w:tcPr/>
          <w:p>
            <w:pPr>
              <w:pStyle w:val="Compact"/>
              <w:jc w:val="center"/>
            </w:pPr>
            <w:r>
              <w:t xml:space="preserve">3.4/5</w:t>
            </w:r>
          </w:p>
        </w:tc>
        <w:tc>
          <w:tcPr/>
          <w:p>
            <w:pPr>
              <w:pStyle w:val="Compact"/>
              <w:jc w:val="center"/>
            </w:pPr>
            <w:r>
              <w:rPr>
                <w:bCs/>
                <w:b/>
              </w:rPr>
              <w:t xml:space="preserve">8</w:t>
            </w:r>
          </w:p>
        </w:tc>
        <w:tc>
          <w:tcPr/>
          <w:p>
            <w:pPr>
              <w:pStyle w:val="Compact"/>
              <w:jc w:val="center"/>
            </w:pPr>
            <w:r>
              <w:t xml:space="preserve">2</w:t>
            </w:r>
          </w:p>
        </w:tc>
        <w:tc>
          <w:tcPr/>
          <w:p>
            <w:pPr>
              <w:pStyle w:val="Compact"/>
              <w:jc w:val="center"/>
            </w:pPr>
            <w:r>
              <w:rPr>
                <w:bCs/>
                <w:b/>
              </w:rPr>
              <w:t xml:space="preserve">80%</w:t>
            </w:r>
          </w:p>
        </w:tc>
      </w:tr>
      <w:tr>
        <w:tc>
          <w:tcPr/>
          <w:p>
            <w:pPr>
              <w:pStyle w:val="Compact"/>
              <w:jc w:val="left"/>
            </w:pPr>
            <w:r>
              <w:t xml:space="preserve">Cosine</w:t>
            </w:r>
          </w:p>
        </w:tc>
        <w:tc>
          <w:tcPr/>
          <w:p>
            <w:pPr>
              <w:pStyle w:val="Compact"/>
              <w:jc w:val="center"/>
            </w:pPr>
            <w:r>
              <w:t xml:space="preserve">2.6/5</w:t>
            </w:r>
          </w:p>
        </w:tc>
        <w:tc>
          <w:tcPr/>
          <w:p>
            <w:pPr>
              <w:pStyle w:val="Compact"/>
              <w:jc w:val="center"/>
            </w:pPr>
            <w:r>
              <w:t xml:space="preserve">2</w:t>
            </w:r>
          </w:p>
        </w:tc>
        <w:tc>
          <w:tcPr/>
          <w:p>
            <w:pPr>
              <w:pStyle w:val="Compact"/>
              <w:jc w:val="center"/>
            </w:pPr>
            <w:r>
              <w:t xml:space="preserve">8</w:t>
            </w:r>
          </w:p>
        </w:tc>
        <w:tc>
          <w:tcPr/>
          <w:p>
            <w:pPr>
              <w:pStyle w:val="Compact"/>
              <w:jc w:val="center"/>
            </w:pPr>
            <w:r>
              <w:t xml:space="preserve">20%</w:t>
            </w:r>
          </w:p>
        </w:tc>
      </w:tr>
    </w:tbl>
    <w:p>
      <w:pPr>
        <w:pStyle w:val="BodyText"/>
      </w:pPr>
      <w:r>
        <w:t xml:space="preserve">Shape-CFD achieves an 80% win rate against cosine (8:2), surpassing AD-Rank v2’s 70% win rate (7:2:1). The improvement is most pronounced on cross-domain queries (e.g.,</w:t>
      </w:r>
      <w:r>
        <w:t xml:space="preserve"> </w:t>
      </w:r>
      <w:r>
        <w:t xml:space="preserve">“</w:t>
      </w:r>
      <w:r>
        <w:t xml:space="preserve">divorce property division</w:t>
      </w:r>
      <w:r>
        <w:t xml:space="preserve">”</w:t>
      </w:r>
      <w:r>
        <w:t xml:space="preserve"> </w:t>
      </w:r>
      <w:r>
        <w:t xml:space="preserve">spanning civil law and procedural law), where the directional advection and multi-sentence matching provide the greatest benefit.</w:t>
      </w:r>
    </w:p>
    <w:bookmarkEnd w:id="39"/>
    <w:bookmarkStart w:id="40" w:name="full-strategy-cross-evaluation-lawvein"/>
    <w:p>
      <w:pPr>
        <w:pStyle w:val="Heading4"/>
      </w:pPr>
      <w:r>
        <w:t xml:space="preserve">Full Strategy Cross-Evaluation (LawVein)</w:t>
      </w:r>
    </w:p>
    <w:p>
      <w:pPr>
        <w:pStyle w:val="FirstParagraph"/>
      </w:pPr>
      <w:r>
        <w:t xml:space="preserve">To validate AD-Rank v2 as the optimal point-based configuration, we conducted a comprehensive 7-method tournament with</w:t>
      </w:r>
      <w:r>
        <w:t xml:space="preserve"> </w:t>
      </w:r>
      <m:oMath>
        <m:r>
          <m:t>10</m:t>
        </m:r>
        <m:r>
          <m:rPr>
            <m:sty m:val="p"/>
          </m:rPr>
          <m:t>×</m:t>
        </m:r>
        <m:r>
          <m:t>6</m:t>
        </m:r>
        <m:r>
          <m:rPr>
            <m:sty m:val="p"/>
          </m:rPr>
          <m:t>=</m:t>
        </m:r>
        <m:r>
          <m:t>60</m:t>
        </m:r>
      </m:oMath>
      <w:r>
        <w:t xml:space="preserve"> </w:t>
      </w:r>
      <w:r>
        <w:t xml:space="preserve">blind comparisons:</w:t>
      </w:r>
    </w:p>
    <w:tbl>
      <w:tblPr>
        <w:tblStyle w:val="Table"/>
        <w:tblW w:type="pct" w:w="5000"/>
        <w:tblLook w:firstRow="1" w:lastRow="0" w:firstColumn="0" w:lastColumn="0" w:noHBand="0" w:noVBand="0" w:val="0020"/>
        <w:jc w:val="start"/>
      </w:tblPr>
      <w:tblGrid>
        <w:gridCol w:w="819"/>
        <w:gridCol w:w="1092"/>
        <w:gridCol w:w="1638"/>
        <w:gridCol w:w="682"/>
        <w:gridCol w:w="1228"/>
        <w:gridCol w:w="1775"/>
        <w:gridCol w:w="682"/>
      </w:tblGrid>
      <w:tr>
        <w:trPr>
          <w:tblHeader w:val="true"/>
        </w:trPr>
        <w:tc>
          <w:tcPr/>
          <w:p>
            <w:pPr>
              <w:pStyle w:val="Compact"/>
              <w:jc w:val="center"/>
            </w:pPr>
            <w:r>
              <w:t xml:space="preserve">Rank</w:t>
            </w:r>
          </w:p>
        </w:tc>
        <w:tc>
          <w:tcPr/>
          <w:p>
            <w:pPr>
              <w:pStyle w:val="Compact"/>
              <w:jc w:val="left"/>
            </w:pPr>
            <w:r>
              <w:t xml:space="preserve">Method</w:t>
            </w:r>
          </w:p>
        </w:tc>
        <w:tc>
          <w:tcPr/>
          <w:p>
            <w:pPr>
              <w:pStyle w:val="Compact"/>
              <w:jc w:val="center"/>
            </w:pPr>
            <w:r>
              <w:t xml:space="preserve">Blind Score</w:t>
            </w:r>
          </w:p>
        </w:tc>
        <w:tc>
          <w:tcPr/>
          <w:p>
            <w:pPr>
              <w:pStyle w:val="Compact"/>
              <w:jc w:val="center"/>
            </w:pPr>
            <w:r>
              <w:t xml:space="preserve">Pe</w:t>
            </w:r>
          </w:p>
        </w:tc>
        <w:tc>
          <w:tcPr/>
          <w:p>
            <w:pPr>
              <w:pStyle w:val="Compact"/>
              <w:jc w:val="center"/>
            </w:pPr>
            <w:r>
              <w:t xml:space="preserve">Latency</w:t>
            </w:r>
          </w:p>
        </w:tc>
        <w:tc>
          <w:tcPr/>
          <w:p>
            <w:pPr>
              <w:pStyle w:val="Compact"/>
              <w:jc w:val="center"/>
            </w:pPr>
            <w:r>
              <w:t xml:space="preserve">Convergence</w:t>
            </w:r>
          </w:p>
        </w:tc>
        <w:tc>
          <w:tcPr/>
          <w:p>
            <w:pPr>
              <w:pStyle w:val="Compact"/>
              <w:jc w:val="center"/>
            </w:pPr>
            <w:r>
              <w:t xml:space="preserve">W/L</w:t>
            </w:r>
          </w:p>
        </w:tc>
      </w:tr>
      <w:tr>
        <w:tc>
          <w:tcPr/>
          <w:p>
            <w:pPr>
              <w:pStyle w:val="Compact"/>
              <w:jc w:val="center"/>
            </w:pPr>
            <w:r>
              <w:t xml:space="preserve">🥇</w:t>
            </w:r>
          </w:p>
        </w:tc>
        <w:tc>
          <w:tcPr/>
          <w:p>
            <w:pPr>
              <w:pStyle w:val="Compact"/>
              <w:jc w:val="left"/>
            </w:pPr>
            <w:r>
              <w:rPr>
                <w:bCs/>
                <w:b/>
              </w:rPr>
              <w:t xml:space="preserve">AD-Rank v2</w:t>
            </w:r>
          </w:p>
        </w:tc>
        <w:tc>
          <w:tcPr/>
          <w:p>
            <w:pPr>
              <w:pStyle w:val="Compact"/>
              <w:jc w:val="center"/>
            </w:pPr>
            <w:r>
              <w:rPr>
                <w:bCs/>
                <w:b/>
              </w:rPr>
              <w:t xml:space="preserve">3.4/5</w:t>
            </w:r>
          </w:p>
        </w:tc>
        <w:tc>
          <w:tcPr/>
          <w:p>
            <w:pPr>
              <w:pStyle w:val="Compact"/>
              <w:jc w:val="center"/>
            </w:pPr>
            <w:r>
              <w:t xml:space="preserve">0.065</w:t>
            </w:r>
          </w:p>
        </w:tc>
        <w:tc>
          <w:tcPr/>
          <w:p>
            <w:pPr>
              <w:pStyle w:val="Compact"/>
              <w:jc w:val="center"/>
            </w:pPr>
            <w:r>
              <w:t xml:space="preserve">14.8 ms</w:t>
            </w:r>
          </w:p>
        </w:tc>
        <w:tc>
          <w:tcPr/>
          <w:p>
            <w:pPr>
              <w:pStyle w:val="Compact"/>
              <w:jc w:val="center"/>
            </w:pPr>
            <w:r>
              <w:rPr>
                <w:bCs/>
                <w:b/>
              </w:rPr>
              <w:t xml:space="preserve">100%</w:t>
            </w:r>
          </w:p>
        </w:tc>
        <w:tc>
          <w:tcPr/>
          <w:p>
            <w:pPr>
              <w:pStyle w:val="Compact"/>
              <w:jc w:val="center"/>
            </w:pPr>
            <w:r>
              <w:rPr>
                <w:bCs/>
                <w:b/>
              </w:rPr>
              <w:t xml:space="preserve">7/2</w:t>
            </w:r>
          </w:p>
        </w:tc>
      </w:tr>
      <w:tr>
        <w:tc>
          <w:tcPr/>
          <w:p>
            <w:pPr>
              <w:pStyle w:val="Compact"/>
              <w:jc w:val="center"/>
            </w:pPr>
            <w:r>
              <w:t xml:space="preserve">🥈</w:t>
            </w:r>
          </w:p>
        </w:tc>
        <w:tc>
          <w:tcPr/>
          <w:p>
            <w:pPr>
              <w:pStyle w:val="Compact"/>
              <w:jc w:val="left"/>
            </w:pPr>
            <w:r>
              <w:t xml:space="preserve">BAA</w:t>
            </w:r>
          </w:p>
        </w:tc>
        <w:tc>
          <w:tcPr/>
          <w:p>
            <w:pPr>
              <w:pStyle w:val="Compact"/>
              <w:jc w:val="center"/>
            </w:pPr>
            <w:r>
              <w:t xml:space="preserve">3.3/5</w:t>
            </w:r>
          </w:p>
        </w:tc>
        <w:tc>
          <w:tcPr/>
          <w:p>
            <w:pPr>
              <w:pStyle w:val="Compact"/>
              <w:jc w:val="center"/>
            </w:pPr>
            <w:r>
              <w:t xml:space="preserve">0.226</w:t>
            </w:r>
          </w:p>
        </w:tc>
        <w:tc>
          <w:tcPr/>
          <w:p>
            <w:pPr>
              <w:pStyle w:val="Compact"/>
              <w:jc w:val="center"/>
            </w:pPr>
            <w:r>
              <w:t xml:space="preserve">7 ms</w:t>
            </w:r>
          </w:p>
        </w:tc>
        <w:tc>
          <w:tcPr/>
          <w:p>
            <w:pPr>
              <w:pStyle w:val="Compact"/>
              <w:jc w:val="center"/>
            </w:pPr>
            <w:r>
              <w:t xml:space="preserve">20%</w:t>
            </w:r>
          </w:p>
        </w:tc>
        <w:tc>
          <w:tcPr/>
          <w:p>
            <w:pPr>
              <w:pStyle w:val="Compact"/>
              <w:jc w:val="center"/>
            </w:pPr>
            <w:r>
              <w:t xml:space="preserve">7/3</w:t>
            </w:r>
          </w:p>
        </w:tc>
      </w:tr>
      <w:tr>
        <w:tc>
          <w:tcPr/>
          <w:p>
            <w:pPr>
              <w:pStyle w:val="Compact"/>
              <w:jc w:val="center"/>
            </w:pPr>
            <w:r>
              <w:t xml:space="preserve">🥉</w:t>
            </w:r>
          </w:p>
        </w:tc>
        <w:tc>
          <w:tcPr/>
          <w:p>
            <w:pPr>
              <w:pStyle w:val="Compact"/>
              <w:jc w:val="left"/>
            </w:pPr>
            <w:r>
              <w:t xml:space="preserve">v2+PCA</w:t>
            </w:r>
          </w:p>
        </w:tc>
        <w:tc>
          <w:tcPr/>
          <w:p>
            <w:pPr>
              <w:pStyle w:val="Compact"/>
              <w:jc w:val="center"/>
            </w:pPr>
            <w:r>
              <w:t xml:space="preserve">3.2/5</w:t>
            </w:r>
          </w:p>
        </w:tc>
        <w:tc>
          <w:tcPr/>
          <w:p>
            <w:pPr>
              <w:pStyle w:val="Compact"/>
              <w:jc w:val="center"/>
            </w:pPr>
            <w:r>
              <w:t xml:space="preserve">0.112</w:t>
            </w:r>
          </w:p>
        </w:tc>
        <w:tc>
          <w:tcPr/>
          <w:p>
            <w:pPr>
              <w:pStyle w:val="Compact"/>
              <w:jc w:val="center"/>
            </w:pPr>
            <w:r>
              <w:t xml:space="preserve">33 ms</w:t>
            </w:r>
          </w:p>
        </w:tc>
        <w:tc>
          <w:tcPr/>
          <w:p>
            <w:pPr>
              <w:pStyle w:val="Compact"/>
              <w:jc w:val="center"/>
            </w:pPr>
            <w:r>
              <w:t xml:space="preserve">90%</w:t>
            </w:r>
          </w:p>
        </w:tc>
        <w:tc>
          <w:tcPr/>
          <w:p>
            <w:pPr>
              <w:pStyle w:val="Compact"/>
              <w:jc w:val="center"/>
            </w:pPr>
            <w:r>
              <w:t xml:space="preserve">6/4</w:t>
            </w:r>
          </w:p>
        </w:tc>
      </w:tr>
      <w:tr>
        <w:tc>
          <w:tcPr/>
          <w:p>
            <w:pPr>
              <w:pStyle w:val="Compact"/>
              <w:jc w:val="center"/>
            </w:pPr>
            <w:r>
              <w:t xml:space="preserve">4</w:t>
            </w:r>
          </w:p>
        </w:tc>
        <w:tc>
          <w:tcPr/>
          <w:p>
            <w:pPr>
              <w:pStyle w:val="Compact"/>
              <w:jc w:val="left"/>
            </w:pPr>
            <w:r>
              <w:t xml:space="preserve">v2+Adaptive</w:t>
            </w:r>
          </w:p>
        </w:tc>
        <w:tc>
          <w:tcPr/>
          <w:p>
            <w:pPr>
              <w:pStyle w:val="Compact"/>
              <w:jc w:val="center"/>
            </w:pPr>
            <w:r>
              <w:t xml:space="preserve">3.0/5</w:t>
            </w:r>
          </w:p>
        </w:tc>
        <w:tc>
          <w:tcPr/>
          <w:p>
            <w:pPr>
              <w:pStyle w:val="Compact"/>
              <w:jc w:val="center"/>
            </w:pPr>
            <w:r>
              <w:t xml:space="preserve">0.122</w:t>
            </w:r>
          </w:p>
        </w:tc>
        <w:tc>
          <w:tcPr/>
          <w:p>
            <w:pPr>
              <w:pStyle w:val="Compact"/>
              <w:jc w:val="center"/>
            </w:pPr>
            <w:r>
              <w:t xml:space="preserve">3.3 ms</w:t>
            </w:r>
          </w:p>
        </w:tc>
        <w:tc>
          <w:tcPr/>
          <w:p>
            <w:pPr>
              <w:pStyle w:val="Compact"/>
              <w:jc w:val="center"/>
            </w:pPr>
            <w:r>
              <w:t xml:space="preserve">100%</w:t>
            </w:r>
          </w:p>
        </w:tc>
        <w:tc>
          <w:tcPr/>
          <w:p>
            <w:pPr>
              <w:pStyle w:val="Compact"/>
              <w:jc w:val="center"/>
            </w:pPr>
            <w:r>
              <w:t xml:space="preserve">5/4</w:t>
            </w:r>
          </w:p>
        </w:tc>
      </w:tr>
      <w:tr>
        <w:tc>
          <w:tcPr/>
          <w:p>
            <w:pPr>
              <w:pStyle w:val="Compact"/>
              <w:jc w:val="center"/>
            </w:pPr>
            <w:r>
              <w:t xml:space="preserve">5</w:t>
            </w:r>
          </w:p>
        </w:tc>
        <w:tc>
          <w:tcPr/>
          <w:p>
            <w:pPr>
              <w:pStyle w:val="Compact"/>
              <w:jc w:val="left"/>
            </w:pPr>
            <w:r>
              <w:t xml:space="preserve">v2+Temperature</w:t>
            </w:r>
          </w:p>
        </w:tc>
        <w:tc>
          <w:tcPr/>
          <w:p>
            <w:pPr>
              <w:pStyle w:val="Compact"/>
              <w:jc w:val="center"/>
            </w:pPr>
            <w:r>
              <w:t xml:space="preserve">2.9/5</w:t>
            </w:r>
          </w:p>
        </w:tc>
        <w:tc>
          <w:tcPr/>
          <w:p>
            <w:pPr>
              <w:pStyle w:val="Compact"/>
              <w:jc w:val="center"/>
            </w:pPr>
            <w:r>
              <w:t xml:space="preserve">0.604</w:t>
            </w:r>
          </w:p>
        </w:tc>
        <w:tc>
          <w:tcPr/>
          <w:p>
            <w:pPr>
              <w:pStyle w:val="Compact"/>
              <w:jc w:val="center"/>
            </w:pPr>
            <w:r>
              <w:t xml:space="preserve">3.5 ms</w:t>
            </w:r>
          </w:p>
        </w:tc>
        <w:tc>
          <w:tcPr/>
          <w:p>
            <w:pPr>
              <w:pStyle w:val="Compact"/>
              <w:jc w:val="center"/>
            </w:pPr>
            <w:r>
              <w:t xml:space="preserve">10%</w:t>
            </w:r>
          </w:p>
        </w:tc>
        <w:tc>
          <w:tcPr/>
          <w:p>
            <w:pPr>
              <w:pStyle w:val="Compact"/>
              <w:jc w:val="center"/>
            </w:pPr>
            <w:r>
              <w:t xml:space="preserve">5/5</w:t>
            </w:r>
          </w:p>
        </w:tc>
      </w:tr>
      <w:tr>
        <w:tc>
          <w:tcPr/>
          <w:p>
            <w:pPr>
              <w:pStyle w:val="Compact"/>
              <w:jc w:val="center"/>
            </w:pPr>
            <w:r>
              <w:t xml:space="preserve">6</w:t>
            </w:r>
          </w:p>
        </w:tc>
        <w:tc>
          <w:tcPr/>
          <w:p>
            <w:pPr>
              <w:pStyle w:val="Compact"/>
              <w:jc w:val="left"/>
            </w:pPr>
            <w:r>
              <w:t xml:space="preserve">MDA</w:t>
            </w:r>
          </w:p>
        </w:tc>
        <w:tc>
          <w:tcPr/>
          <w:p>
            <w:pPr>
              <w:pStyle w:val="Compact"/>
              <w:jc w:val="center"/>
            </w:pPr>
            <w:r>
              <w:t xml:space="preserve">2.7/5</w:t>
            </w:r>
          </w:p>
        </w:tc>
        <w:tc>
          <w:tcPr/>
          <w:p>
            <w:pPr>
              <w:pStyle w:val="Compact"/>
              <w:jc w:val="center"/>
            </w:pPr>
            <w:r>
              <w:t xml:space="preserve">0.351</w:t>
            </w:r>
          </w:p>
        </w:tc>
        <w:tc>
          <w:tcPr/>
          <w:p>
            <w:pPr>
              <w:pStyle w:val="Compact"/>
              <w:jc w:val="center"/>
            </w:pPr>
            <w:r>
              <w:t xml:space="preserve">85.8 ms</w:t>
            </w:r>
          </w:p>
        </w:tc>
        <w:tc>
          <w:tcPr/>
          <w:p>
            <w:pPr>
              <w:pStyle w:val="Compact"/>
              <w:jc w:val="center"/>
            </w:pPr>
            <w:r>
              <w:t xml:space="preserve">0%</w:t>
            </w:r>
          </w:p>
        </w:tc>
        <w:tc>
          <w:tcPr/>
          <w:p>
            <w:pPr>
              <w:pStyle w:val="Compact"/>
              <w:jc w:val="center"/>
            </w:pPr>
            <w:r>
              <w:t xml:space="preserve">3/7</w:t>
            </w:r>
          </w:p>
        </w:tc>
      </w:tr>
    </w:tbl>
    <w:p>
      <w:pPr>
        <w:pStyle w:val="BodyText"/>
      </w:pPr>
      <w:r>
        <w:rPr>
          <w:bCs/>
          <w:b/>
        </w:rPr>
        <w:t xml:space="preserve">Key findings:</w:t>
      </w:r>
      <w:r>
        <w:t xml:space="preserve"> </w:t>
      </w:r>
      <w:r>
        <w:t xml:space="preserve">(1) AD-Rank v2 achieves the highest blind evaluation score with 100% convergence. (2) Higher Péclet numbers do</w:t>
      </w:r>
      <w:r>
        <w:t xml:space="preserve"> </w:t>
      </w:r>
      <w:r>
        <w:rPr>
          <w:iCs/>
          <w:i/>
        </w:rPr>
        <w:t xml:space="preserve">not</w:t>
      </w:r>
      <w:r>
        <w:t xml:space="preserve"> </w:t>
      </w:r>
      <w:r>
        <w:t xml:space="preserve">correlate with better ranking quality—the methods with the strongest advection (MDA: Pe=0.351, Temperature: Pe=0.604) perform</w:t>
      </w:r>
      <w:r>
        <w:t xml:space="preserve"> </w:t>
      </w:r>
      <w:r>
        <w:rPr>
          <w:iCs/>
          <w:i/>
        </w:rPr>
        <w:t xml:space="preserve">worst</w:t>
      </w:r>
      <w:r>
        <w:t xml:space="preserve">, supporting our hypothesis that weak advection is optimal. (3) Convergence rate is a hard constraint: methods with convergence rates below 50% (BAA, Temperature, MDA) produce inconsistent results.</w:t>
      </w:r>
    </w:p>
    <w:bookmarkEnd w:id="40"/>
    <w:bookmarkStart w:id="41" w:name="X4400c59f1823e2be808051626567fd65c436fa1"/>
    <w:p>
      <w:pPr>
        <w:pStyle w:val="Heading4"/>
      </w:pPr>
      <w:r>
        <w:t xml:space="preserve">4.3.3 V5 Reaction-Diffusion Ablation (v3 supplement)</w:t>
      </w:r>
    </w:p>
    <w:p>
      <w:pPr>
        <w:pStyle w:val="FirstParagraph"/>
      </w:pPr>
      <w:r>
        <w:t xml:space="preserve">In Section 6 of v1, we proposed augmenting the convection-diffusion equation with an Allen-Cahn bistable reaction term</w:t>
      </w:r>
      <w:r>
        <w:t xml:space="preserve"> </w:t>
      </w:r>
      <m:oMath>
        <m:r>
          <m:t>R</m:t>
        </m:r>
        <m:d>
          <m:dPr>
            <m:begChr m:val="("/>
            <m:endChr m:val=")"/>
            <m:sepChr m:val=""/>
            <m:grow/>
          </m:dPr>
          <m:e>
            <m:r>
              <m:t>C</m:t>
            </m:r>
          </m:e>
        </m:d>
        <m:r>
          <m:rPr>
            <m:sty m:val="p"/>
          </m:rPr>
          <m:t>=</m:t>
        </m:r>
        <m:r>
          <m:t>γ</m:t>
        </m:r>
        <m:r>
          <m:t> </m:t>
        </m:r>
        <m:r>
          <m:t>C</m:t>
        </m:r>
        <m:d>
          <m:dPr>
            <m:begChr m:val="("/>
            <m:endChr m:val=")"/>
            <m:sepChr m:val=""/>
            <m:grow/>
          </m:dPr>
          <m:e>
            <m:r>
              <m:t>1</m:t>
            </m:r>
            <m:r>
              <m:rPr>
                <m:sty m:val="p"/>
              </m:rPr>
              <m:t>−</m:t>
            </m:r>
            <m:r>
              <m:t>C</m:t>
            </m:r>
          </m:e>
        </m:d>
        <m:d>
          <m:dPr>
            <m:begChr m:val="("/>
            <m:endChr m:val=")"/>
            <m:sepChr m:val=""/>
            <m:grow/>
          </m:dPr>
          <m:e>
            <m:r>
              <m:t>C</m:t>
            </m:r>
            <m:r>
              <m:rPr>
                <m:sty m:val="p"/>
              </m:rPr>
              <m:t>−</m:t>
            </m:r>
            <m:r>
              <m:t>θ</m:t>
            </m:r>
          </m:e>
        </m:d>
      </m:oMath>
      <w:r>
        <w:t xml:space="preserve"> </w:t>
      </w:r>
      <w:r>
        <w:t xml:space="preserve">to produce genuinely heterogeneous stationary distributions. We report systematic experiments testing this proposal. All experiments in Sections 4.3.3–4.3.4 use a unified evaluation framework operating on the native</w:t>
      </w:r>
      <w:r>
        <w:t xml:space="preserve"> </w:t>
      </w:r>
      <m:oMath>
        <m:r>
          <m:t>d</m:t>
        </m:r>
        <m:r>
          <m:rPr>
            <m:sty m:val="p"/>
          </m:rPr>
          <m:t>=</m:t>
        </m:r>
        <m:r>
          <m:t>4096</m:t>
        </m:r>
      </m:oMath>
      <w:r>
        <w:t xml:space="preserve"> </w:t>
      </w:r>
      <w:r>
        <w:t xml:space="preserve">embedding space (without JL projection), with the Chamfer-distance graph topology and</w:t>
      </w:r>
      <w:r>
        <w:t xml:space="preserve"> </w:t>
      </w:r>
      <m:oMath>
        <m:r>
          <m:t>N</m:t>
        </m:r>
        <m:r>
          <m:rPr>
            <m:sty m:val="p"/>
          </m:rPr>
          <m:t>=</m:t>
        </m:r>
        <m:r>
          <m:t>30</m:t>
        </m:r>
      </m:oMath>
      <w:r>
        <w:t xml:space="preserve">,</w:t>
      </w:r>
      <w:r>
        <w:t xml:space="preserve"> </w:t>
      </w:r>
      <m:oMath>
        <m:r>
          <m:t>k</m:t>
        </m:r>
        <m:r>
          <m:rPr>
            <m:sty m:val="p"/>
          </m:rPr>
          <m:t>=</m:t>
        </m:r>
        <m:r>
          <m:t>3</m:t>
        </m:r>
      </m:oMath>
      <w:r>
        <w:t xml:space="preserve">.</w:t>
      </w:r>
    </w:p>
    <w:p>
      <w:pPr>
        <w:pStyle w:val="BodyText"/>
      </w:pPr>
      <w:r>
        <w:rPr>
          <w:bCs/>
          <w:b/>
        </w:rPr>
        <w:t xml:space="preserve">V5.0: Unnormalized Allen-Cahn.</w:t>
      </w:r>
      <w:r>
        <w:t xml:space="preserve"> </w:t>
      </w:r>
      <w:r>
        <w:t xml:space="preserve">We introduce the reaction term with</w:t>
      </w:r>
      <w:r>
        <w:t xml:space="preserve"> </w:t>
      </w:r>
      <m:oMath>
        <m:r>
          <m:t>γ</m:t>
        </m:r>
        <m:r>
          <m:rPr>
            <m:sty m:val="p"/>
          </m:rPr>
          <m:t>=</m:t>
        </m:r>
        <m:r>
          <m:t>0.5</m:t>
        </m:r>
      </m:oMath>
      <w:r>
        <w:t xml:space="preserve"> </w:t>
      </w:r>
      <w:r>
        <w:t xml:space="preserve">and threshold</w:t>
      </w:r>
      <w:r>
        <w:t xml:space="preserve"> </w:t>
      </w:r>
      <m:oMath>
        <m:r>
          <m:t>θ</m:t>
        </m:r>
      </m:oMath>
      <w:r>
        <w:t xml:space="preserve"> </w:t>
      </w:r>
      <w:r>
        <w:t xml:space="preserve">set to the mean of the initial concentration field. On NFCorpus, this yields NDCG@10 = 0.2467 (</w:t>
      </w:r>
      <m:oMath>
        <m:r>
          <m:rPr>
            <m:sty m:val="p"/>
          </m:rPr>
          <m:t>−</m:t>
        </m:r>
        <m:r>
          <m:t>1.6</m:t>
        </m:r>
        <m:r>
          <m:rPr>
            <m:sty m:val="p"/>
          </m:rPr>
          <m:t>%</m:t>
        </m:r>
      </m:oMath>
      <w:r>
        <w:t xml:space="preserve"> </w:t>
      </w:r>
      <w:r>
        <w:t xml:space="preserve">vs. Shape-CFD v4 baseline of 0.2508), confirming that the naive addition of reaction dynamics degrades performance. The root cause: when</w:t>
      </w:r>
      <w:r>
        <w:t xml:space="preserve"> </w:t>
      </w:r>
      <m:oMath>
        <m:sSub>
          <m:e>
            <m:r>
              <m:t>C</m:t>
            </m:r>
          </m:e>
          <m:sub>
            <m:r>
              <m:t>0</m:t>
            </m:r>
          </m:sub>
        </m:sSub>
        <m:r>
          <m:rPr>
            <m:sty m:val="p"/>
          </m:rPr>
          <m:t>∈</m:t>
        </m:r>
        <m:d>
          <m:dPr>
            <m:begChr m:val="["/>
            <m:endChr m:val="]"/>
            <m:sepChr m:val=""/>
            <m:grow/>
          </m:dPr>
          <m:e>
            <m:r>
              <m:t>0.1</m:t>
            </m:r>
            <m:r>
              <m:rPr>
                <m:sty m:val="p"/>
              </m:rPr>
              <m:t>,</m:t>
            </m:r>
            <m:r>
              <m:t>0.2</m:t>
            </m:r>
          </m:e>
        </m:d>
      </m:oMath>
      <w:r>
        <w:t xml:space="preserve"> </w:t>
      </w:r>
      <w:r>
        <w:t xml:space="preserve">(a typical range for cosine-transformed scores), the reaction term evaluates to</w:t>
      </w:r>
      <w:r>
        <w:t xml:space="preserve"> </w:t>
      </w:r>
      <m:oMath>
        <m:r>
          <m:t>R</m:t>
        </m:r>
        <m:d>
          <m:dPr>
            <m:begChr m:val="("/>
            <m:endChr m:val=")"/>
            <m:sepChr m:val=""/>
            <m:grow/>
          </m:dPr>
          <m:e>
            <m:r>
              <m:t>C</m:t>
            </m:r>
          </m:e>
        </m:d>
        <m:r>
          <m:rPr>
            <m:sty m:val="p"/>
          </m:rPr>
          <m:t>≈</m:t>
        </m:r>
        <m:r>
          <m:t>0.004</m:t>
        </m:r>
      </m:oMath>
      <w:r>
        <w:t xml:space="preserve">, which after multiplication by</w:t>
      </w:r>
      <w:r>
        <w:t xml:space="preserve"> </w:t>
      </w:r>
      <m:oMath>
        <m:r>
          <m:t>Δ</m:t>
        </m:r>
        <m:r>
          <m:t>t</m:t>
        </m:r>
        <m:r>
          <m:rPr>
            <m:sty m:val="p"/>
          </m:rPr>
          <m:t>=</m:t>
        </m:r>
        <m:r>
          <m:t>0.05</m:t>
        </m:r>
      </m:oMath>
      <w:r>
        <w:t xml:space="preserve"> </w:t>
      </w:r>
      <w:r>
        <w:t xml:space="preserve">contributes only</w:t>
      </w:r>
      <w:r>
        <w:t xml:space="preserve"> </w:t>
      </w:r>
      <m:oMath>
        <m:r>
          <m:rPr>
            <m:sty m:val="p"/>
          </m:rPr>
          <m:t>∼</m:t>
        </m:r>
        <m:r>
          <m:t>0.0002</m:t>
        </m:r>
      </m:oMath>
      <w:r>
        <w:t xml:space="preserve"> </w:t>
      </w:r>
      <w:r>
        <w:t xml:space="preserve">per step—completely overwhelmed by the diffusion flux.</w:t>
      </w:r>
    </w:p>
    <w:p>
      <w:pPr>
        <w:pStyle w:val="BodyText"/>
      </w:pPr>
      <w:r>
        <w:rPr>
          <w:bCs/>
          <w:b/>
        </w:rPr>
        <w:t xml:space="preserve">V5.1: Normalized Allen-Cahn.</w:t>
      </w:r>
      <w:r>
        <w:t xml:space="preserve"> </w:t>
      </w:r>
      <w:r>
        <w:t xml:space="preserve">Following diagnostic analysis, we attempted to amplify the reaction dynamics by applying Min-Max normalization to map</w:t>
      </w:r>
      <w:r>
        <w:t xml:space="preserve"> </w:t>
      </w:r>
      <m:oMath>
        <m:sSub>
          <m:e>
            <m:r>
              <m:t>C</m:t>
            </m:r>
          </m:e>
          <m:sub>
            <m:r>
              <m:t>0</m:t>
            </m:r>
          </m:sub>
        </m:sSub>
      </m:oMath>
      <w:r>
        <w:t xml:space="preserve"> </w:t>
      </w:r>
      <w:r>
        <w:t xml:space="preserve">to</w:t>
      </w:r>
      <w:r>
        <w:t xml:space="preserve"> </w:t>
      </w:r>
      <m:oMath>
        <m:d>
          <m:dPr>
            <m:begChr m:val="["/>
            <m:endChr m:val="]"/>
            <m:sepChr m:val=""/>
            <m:grow/>
          </m:dPr>
          <m:e>
            <m:r>
              <m:t>0</m:t>
            </m:r>
            <m:r>
              <m:rPr>
                <m:sty m:val="p"/>
              </m:rPr>
              <m:t>,</m:t>
            </m:r>
            <m:r>
              <m:t>1</m:t>
            </m:r>
          </m:e>
        </m:d>
      </m:oMath>
      <w:r>
        <w:t xml:space="preserve"> </w:t>
      </w:r>
      <w:r>
        <w:t xml:space="preserve">before applying</w:t>
      </w:r>
      <w:r>
        <w:t xml:space="preserve"> </w:t>
      </w:r>
      <m:oMath>
        <m:r>
          <m:t>R</m:t>
        </m:r>
        <m:d>
          <m:dPr>
            <m:begChr m:val="("/>
            <m:endChr m:val=")"/>
            <m:sepChr m:val=""/>
            <m:grow/>
          </m:dPr>
          <m:e>
            <m:r>
              <m:t>C</m:t>
            </m:r>
          </m:e>
        </m:d>
      </m:oMath>
      <w:r>
        <w:t xml:space="preserve"> </w:t>
      </w:r>
      <w:r>
        <w:t xml:space="preserve">with</w:t>
      </w:r>
      <w:r>
        <w:t xml:space="preserve"> </w:t>
      </w:r>
      <m:oMath>
        <m:r>
          <m:t>γ</m:t>
        </m:r>
        <m:r>
          <m:rPr>
            <m:sty m:val="p"/>
          </m:rPr>
          <m:t>=</m:t>
        </m:r>
        <m:r>
          <m:t>5.0</m:t>
        </m:r>
      </m:oMath>
      <w:r>
        <w:t xml:space="preserve">. This produced a catastrophic</w:t>
      </w:r>
      <w:r>
        <w:t xml:space="preserve"> </w:t>
      </w:r>
      <m:oMath>
        <m:r>
          <m:rPr>
            <m:sty m:val="p"/>
          </m:rPr>
          <m:t>−</m:t>
        </m:r>
        <m:r>
          <m:t>12.9</m:t>
        </m:r>
        <m:r>
          <m:rPr>
            <m:sty m:val="p"/>
          </m:rPr>
          <m:t>%</m:t>
        </m:r>
      </m:oMath>
      <w:r>
        <w:t xml:space="preserve"> </w:t>
      </w:r>
      <w:r>
        <w:t xml:space="preserve">regression on NFCorpus (NDCG@10 = 0.2184). The failure mechanism: Min-Max normalization stretches a natural range of</w:t>
      </w:r>
      <w:r>
        <w:t xml:space="preserve"> </w:t>
      </w:r>
      <m:oMath>
        <m:r>
          <m:t>Δ</m:t>
        </m:r>
        <m:r>
          <m:rPr>
            <m:sty m:val="p"/>
          </m:rPr>
          <m:t>≈</m:t>
        </m:r>
        <m:r>
          <m:t>0.1</m:t>
        </m:r>
      </m:oMath>
      <w:r>
        <w:t xml:space="preserve"> </w:t>
      </w:r>
      <w:r>
        <w:t xml:space="preserve">to the full</w:t>
      </w:r>
      <w:r>
        <w:t xml:space="preserve"> </w:t>
      </w:r>
      <m:oMath>
        <m:d>
          <m:dPr>
            <m:begChr m:val="["/>
            <m:endChr m:val="]"/>
            <m:sepChr m:val=""/>
            <m:grow/>
          </m:dPr>
          <m:e>
            <m:r>
              <m:t>0</m:t>
            </m:r>
            <m:r>
              <m:rPr>
                <m:sty m:val="p"/>
              </m:rPr>
              <m:t>,</m:t>
            </m:r>
            <m:r>
              <m:t>1</m:t>
            </m:r>
          </m:e>
        </m:d>
      </m:oMath>
      <w:r>
        <w:t xml:space="preserve"> </w:t>
      </w:r>
      <w:r>
        <w:t xml:space="preserve">interval—an effective spatial dilation of</w:t>
      </w:r>
      <w:r>
        <w:t xml:space="preserve"> </w:t>
      </w:r>
      <m:oMath>
        <m:r>
          <m:t>10</m:t>
        </m:r>
        <m:r>
          <m:rPr>
            <m:sty m:val="p"/>
          </m:rPr>
          <m:t>×</m:t>
        </m:r>
      </m:oMath>
      <w:r>
        <w:t xml:space="preserve">. The combination with</w:t>
      </w:r>
      <w:r>
        <w:t xml:space="preserve"> </w:t>
      </w:r>
      <m:oMath>
        <m:r>
          <m:t>γ</m:t>
        </m:r>
        <m:r>
          <m:rPr>
            <m:sty m:val="p"/>
          </m:rPr>
          <m:t>=</m:t>
        </m:r>
        <m:r>
          <m:t>5.0</m:t>
        </m:r>
      </m:oMath>
      <w:r>
        <w:t xml:space="preserve"> </w:t>
      </w:r>
      <w:r>
        <w:t xml:space="preserve">yields an effective reaction rate of</w:t>
      </w:r>
      <w:r>
        <w:t xml:space="preserve"> </w:t>
      </w:r>
      <m:oMath>
        <m:sSub>
          <m:e>
            <m:r>
              <m:t>γ</m:t>
            </m:r>
          </m:e>
          <m:sub>
            <m:r>
              <m:rPr>
                <m:nor/>
                <m:sty m:val="p"/>
              </m:rPr>
              <m:t>eff</m:t>
            </m:r>
          </m:sub>
        </m:sSub>
        <m:r>
          <m:rPr>
            <m:sty m:val="p"/>
          </m:rPr>
          <m:t>≈</m:t>
        </m:r>
        <m:r>
          <m:t>500</m:t>
        </m:r>
      </m:oMath>
      <w:r>
        <w:t xml:space="preserve"> </w:t>
      </w:r>
      <w:r>
        <w:t xml:space="preserve">in the original coordinate system, triggering violent phase separation that destroys the carefully calibrated ranking signal. This result empirically confirms that</w:t>
      </w:r>
      <w:r>
        <w:t xml:space="preserve"> </w:t>
      </w:r>
      <m:oMath>
        <m:r>
          <m:t>γ</m:t>
        </m:r>
      </m:oMath>
      <w:r>
        <w:t xml:space="preserve"> </w:t>
      </w:r>
      <w:r>
        <w:t xml:space="preserve">must be scaled inversely with the square of the score range.</w:t>
      </w:r>
    </w:p>
    <w:p>
      <w:pPr>
        <w:pStyle w:val="BodyText"/>
      </w:pPr>
      <w:r>
        <w:rPr>
          <w:bCs/>
          <w:b/>
        </w:rPr>
        <w:t xml:space="preserve">V5.2: Domain-adapted Allen-Cahn.</w:t>
      </w:r>
      <w:r>
        <w:t xml:space="preserve"> </w:t>
      </w:r>
      <w:r>
        <w:t xml:space="preserve">We implement the corrected formulation:</w:t>
      </w:r>
    </w:p>
    <w:p>
      <w:pPr>
        <w:pStyle w:val="BodyText"/>
      </w:pPr>
      <m:oMathPara>
        <m:oMathParaPr>
          <m:jc m:val="center"/>
        </m:oMathParaPr>
        <m:oMath>
          <m:sSub>
            <m:e>
              <m:r>
                <m:t>γ</m:t>
              </m:r>
            </m:e>
            <m:sub>
              <m:r>
                <m:rPr>
                  <m:nor/>
                  <m:sty m:val="p"/>
                </m:rPr>
                <m:t>eff</m:t>
              </m:r>
            </m:sub>
          </m:sSub>
          <m:r>
            <m:rPr>
              <m:sty m:val="p"/>
            </m:rPr>
            <m:t>=</m:t>
          </m:r>
          <m:f>
            <m:fPr>
              <m:type m:val="bar"/>
            </m:fPr>
            <m:num>
              <m:sSub>
                <m:e>
                  <m:r>
                    <m:t>γ</m:t>
                  </m:r>
                </m:e>
                <m:sub>
                  <m:r>
                    <m:rPr>
                      <m:nor/>
                      <m:sty m:val="p"/>
                    </m:rPr>
                    <m:t>base</m:t>
                  </m:r>
                </m:sub>
              </m:sSub>
            </m:num>
            <m:den>
              <m:sSup>
                <m:e>
                  <m:d>
                    <m:dPr>
                      <m:begChr m:val="("/>
                      <m:endChr m:val=")"/>
                      <m:sepChr m:val=""/>
                      <m:grow/>
                    </m:dPr>
                    <m:e>
                      <m:sSub>
                        <m:e>
                          <m:r>
                            <m:t>C</m:t>
                          </m:r>
                        </m:e>
                        <m:sub>
                          <m:r>
                            <m:rPr>
                              <m:sty m:val="p"/>
                            </m:rPr>
                            <m:t>max</m:t>
                          </m:r>
                        </m:sub>
                      </m:sSub>
                      <m:r>
                        <m:rPr>
                          <m:sty m:val="p"/>
                        </m:rPr>
                        <m:t>−</m:t>
                      </m:r>
                      <m:sSub>
                        <m:e>
                          <m:r>
                            <m:t>C</m:t>
                          </m:r>
                        </m:e>
                        <m:sub>
                          <m:r>
                            <m:rPr>
                              <m:sty m:val="p"/>
                            </m:rPr>
                            <m:t>min</m:t>
                          </m:r>
                        </m:sub>
                      </m:sSub>
                      <m:r>
                        <m:rPr>
                          <m:sty m:val="p"/>
                        </m:rPr>
                        <m:t>+</m:t>
                      </m:r>
                      <m:r>
                        <m:t>ϵ</m:t>
                      </m:r>
                    </m:e>
                  </m:d>
                </m:e>
                <m:sup>
                  <m:r>
                    <m:t>2</m:t>
                  </m:r>
                </m:sup>
              </m:sSup>
            </m:den>
          </m:f>
          <m:r>
            <m:rPr>
              <m:sty m:val="p"/>
            </m:rPr>
            <m:t>,</m:t>
          </m:r>
          <m:r>
            <m:t> </m:t>
          </m:r>
          <m:r>
            <m:t>R</m:t>
          </m:r>
          <m:d>
            <m:dPr>
              <m:begChr m:val="("/>
              <m:endChr m:val=")"/>
              <m:sepChr m:val=""/>
              <m:grow/>
            </m:dPr>
            <m:e>
              <m:r>
                <m:t>C</m:t>
              </m:r>
            </m:e>
          </m:d>
          <m:r>
            <m:rPr>
              <m:sty m:val="p"/>
            </m:rPr>
            <m:t>=</m:t>
          </m:r>
          <m:sSub>
            <m:e>
              <m:r>
                <m:t>γ</m:t>
              </m:r>
            </m:e>
            <m:sub>
              <m:r>
                <m:rPr>
                  <m:nor/>
                  <m:sty m:val="p"/>
                </m:rPr>
                <m:t>eff</m:t>
              </m:r>
            </m:sub>
          </m:sSub>
          <m:d>
            <m:dPr>
              <m:begChr m:val="("/>
              <m:endChr m:val=")"/>
              <m:sepChr m:val=""/>
              <m:grow/>
            </m:dPr>
            <m:e>
              <m:r>
                <m:t>C</m:t>
              </m:r>
              <m:r>
                <m:rPr>
                  <m:sty m:val="p"/>
                </m:rPr>
                <m:t>−</m:t>
              </m:r>
              <m:sSub>
                <m:e>
                  <m:r>
                    <m:t>C</m:t>
                  </m:r>
                </m:e>
                <m:sub>
                  <m:r>
                    <m:rPr>
                      <m:sty m:val="p"/>
                    </m:rPr>
                    <m:t>min</m:t>
                  </m:r>
                </m:sub>
              </m:sSub>
            </m:e>
          </m:d>
          <m:d>
            <m:dPr>
              <m:begChr m:val="("/>
              <m:endChr m:val=")"/>
              <m:sepChr m:val=""/>
              <m:grow/>
            </m:dPr>
            <m:e>
              <m:sSub>
                <m:e>
                  <m:r>
                    <m:t>C</m:t>
                  </m:r>
                </m:e>
                <m:sub>
                  <m:r>
                    <m:rPr>
                      <m:sty m:val="p"/>
                    </m:rPr>
                    <m:t>max</m:t>
                  </m:r>
                </m:sub>
              </m:sSub>
              <m:r>
                <m:rPr>
                  <m:sty m:val="p"/>
                </m:rPr>
                <m:t>−</m:t>
              </m:r>
              <m:r>
                <m:t>C</m:t>
              </m:r>
            </m:e>
          </m:d>
          <m:d>
            <m:dPr>
              <m:begChr m:val="("/>
              <m:endChr m:val=")"/>
              <m:sepChr m:val=""/>
              <m:grow/>
            </m:dPr>
            <m:e>
              <m:r>
                <m:t>C</m:t>
              </m:r>
              <m:r>
                <m:rPr>
                  <m:sty m:val="p"/>
                </m:rPr>
                <m:t>−</m:t>
              </m:r>
              <m:sSub>
                <m:e>
                  <m:r>
                    <m:t>θ</m:t>
                  </m:r>
                </m:e>
                <m:sub>
                  <m:r>
                    <m:rPr>
                      <m:nor/>
                      <m:sty m:val="p"/>
                    </m:rPr>
                    <m:t>Otsu</m:t>
                  </m:r>
                </m:sub>
              </m:sSub>
            </m:e>
          </m:d>
        </m:oMath>
      </m:oMathPara>
    </w:p>
    <w:p>
      <w:pPr>
        <w:pStyle w:val="FirstParagraph"/>
      </w:pPr>
      <w:r>
        <w:t xml:space="preserve">where</w:t>
      </w:r>
      <w:r>
        <w:t xml:space="preserve"> </w:t>
      </w:r>
      <m:oMath>
        <m:sSub>
          <m:e>
            <m:r>
              <m:t>θ</m:t>
            </m:r>
          </m:e>
          <m:sub>
            <m:r>
              <m:rPr>
                <m:nor/>
                <m:sty m:val="p"/>
              </m:rPr>
              <m:t>Otsu</m:t>
            </m:r>
          </m:sub>
        </m:sSub>
      </m:oMath>
      <w:r>
        <w:t xml:space="preserve"> </w:t>
      </w:r>
      <w:r>
        <w:t xml:space="preserve">is obtained via Otsu’s method on the initial concentration histogram. We additionally implement Zelnik-Manor local bandwidth scaling:</w:t>
      </w:r>
      <w:r>
        <w:t xml:space="preserve"> </w:t>
      </w:r>
      <m:oMath>
        <m:sSub>
          <m:e>
            <m:r>
              <m:t>W</m:t>
            </m:r>
          </m:e>
          <m:sub>
            <m:r>
              <m:t>i</m:t>
            </m:r>
            <m:r>
              <m:t>j</m:t>
            </m:r>
          </m:sub>
        </m:sSub>
        <m:r>
          <m:rPr>
            <m:sty m:val="p"/>
          </m:rPr>
          <m:t>=</m:t>
        </m:r>
        <m:sSubSup>
          <m:e>
            <m:r>
              <m:t>W</m:t>
            </m:r>
          </m:e>
          <m:sub>
            <m:r>
              <m:t>i</m:t>
            </m:r>
            <m:r>
              <m:t>j</m:t>
            </m:r>
          </m:sub>
          <m:sup>
            <m:r>
              <m:t>0</m:t>
            </m:r>
          </m:sup>
        </m:sSubSup>
        <m:r>
          <m:rPr>
            <m:sty m:val="p"/>
          </m:rPr>
          <m:t>⋅</m:t>
        </m:r>
        <m:r>
          <m:rPr>
            <m:sty m:val="p"/>
          </m:rPr>
          <m:t>exp</m:t>
        </m:r>
        <m:d>
          <m:dPr>
            <m:begChr m:val="("/>
            <m:endChr m:val=")"/>
            <m:sepChr m:val=""/>
            <m:grow/>
          </m:dPr>
          <m:e>
            <m:r>
              <m:rPr>
                <m:sty m:val="p"/>
              </m:rPr>
              <m:t>−</m:t>
            </m:r>
            <m:r>
              <m:rPr>
                <m:sty m:val="p"/>
              </m:rPr>
              <m:t>∥</m:t>
            </m:r>
            <m:sSub>
              <m:e>
                <m:r>
                  <m:t>v</m:t>
                </m:r>
              </m:e>
              <m:sub>
                <m:r>
                  <m:t>i</m:t>
                </m:r>
              </m:sub>
            </m:sSub>
            <m:r>
              <m:rPr>
                <m:sty m:val="p"/>
              </m:rPr>
              <m:t>−</m:t>
            </m:r>
            <m:sSub>
              <m:e>
                <m:r>
                  <m:t>v</m:t>
                </m:r>
              </m:e>
              <m:sub>
                <m:r>
                  <m:t>j</m:t>
                </m:r>
              </m:sub>
            </m:sSub>
            <m:sSup>
              <m:e>
                <m:r>
                  <m:rPr>
                    <m:sty m:val="p"/>
                  </m:rPr>
                  <m:t>∥</m:t>
                </m:r>
              </m:e>
              <m:sup>
                <m:r>
                  <m:t>2</m:t>
                </m:r>
              </m:sup>
            </m:sSup>
            <m:r>
              <m:rPr>
                <m:sty m:val="p"/>
              </m:rPr>
              <m:t>/</m:t>
            </m:r>
            <m:d>
              <m:dPr>
                <m:begChr m:val="("/>
                <m:endChr m:val=")"/>
                <m:sepChr m:val=""/>
                <m:grow/>
              </m:dPr>
              <m:e>
                <m:sSub>
                  <m:e>
                    <m:r>
                      <m:t>σ</m:t>
                    </m:r>
                  </m:e>
                  <m:sub>
                    <m:r>
                      <m:t>i</m:t>
                    </m:r>
                  </m:sub>
                </m:sSub>
                <m:sSub>
                  <m:e>
                    <m:r>
                      <m:t>σ</m:t>
                    </m:r>
                  </m:e>
                  <m:sub>
                    <m:r>
                      <m:t>j</m:t>
                    </m:r>
                  </m:sub>
                </m:sSub>
              </m:e>
            </m:d>
          </m:e>
        </m:d>
      </m:oMath>
      <w:r>
        <w:t xml:space="preserve">, where</w:t>
      </w:r>
      <w:r>
        <w:t xml:space="preserve"> </w:t>
      </w:r>
      <m:oMath>
        <m:sSub>
          <m:e>
            <m:r>
              <m:t>σ</m:t>
            </m:r>
          </m:e>
          <m:sub>
            <m:r>
              <m:t>i</m:t>
            </m:r>
          </m:sub>
        </m:sSub>
      </m:oMath>
      <w:r>
        <w:t xml:space="preserve"> </w:t>
      </w:r>
      <w:r>
        <w:t xml:space="preserve">is the distance from node</w:t>
      </w:r>
      <w:r>
        <w:t xml:space="preserve"> </w:t>
      </w:r>
      <m:oMath>
        <m:r>
          <m:t>i</m:t>
        </m:r>
      </m:oMath>
      <w:r>
        <w:t xml:space="preserve"> </w:t>
      </w:r>
      <w:r>
        <w:t xml:space="preserve">to its</w:t>
      </w:r>
      <w:r>
        <w:t xml:space="preserve"> </w:t>
      </w:r>
      <m:oMath>
        <m:r>
          <m:t>k</m:t>
        </m:r>
      </m:oMath>
      <w:r>
        <w:t xml:space="preserve">-th nearest neighbor.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Configuration</w:t>
            </w:r>
          </w:p>
        </w:tc>
        <w:tc>
          <w:tcPr/>
          <w:p>
            <w:pPr>
              <w:pStyle w:val="Compact"/>
              <w:jc w:val="center"/>
            </w:pPr>
            <w:r>
              <w:t xml:space="preserve">NFCorpus NDCG@10</w:t>
            </w:r>
          </w:p>
        </w:tc>
        <w:tc>
          <w:tcPr/>
          <w:p>
            <w:pPr>
              <w:pStyle w:val="Compact"/>
              <w:jc w:val="center"/>
            </w:pPr>
            <m:oMath>
              <m:r>
                <m:t>Δ</m:t>
              </m:r>
            </m:oMath>
            <w:r>
              <w:t xml:space="preserve"> </w:t>
            </w:r>
            <w:r>
              <w:t xml:space="preserve">vs V4</w:t>
            </w:r>
          </w:p>
        </w:tc>
      </w:tr>
      <w:tr>
        <w:tc>
          <w:tcPr/>
          <w:p>
            <w:pPr>
              <w:pStyle w:val="Compact"/>
              <w:jc w:val="left"/>
            </w:pPr>
            <w:r>
              <w:t xml:space="preserve">Shape-CFD v4 (baseline)</w:t>
            </w:r>
          </w:p>
        </w:tc>
        <w:tc>
          <w:tcPr/>
          <w:p>
            <w:pPr>
              <w:pStyle w:val="Compact"/>
              <w:jc w:val="center"/>
            </w:pPr>
            <w:r>
              <w:t xml:space="preserve">0.2508</w:t>
            </w:r>
          </w:p>
        </w:tc>
        <w:tc>
          <w:tcPr/>
          <w:p>
            <w:pPr>
              <w:pStyle w:val="Compact"/>
              <w:jc w:val="center"/>
            </w:pPr>
            <w:r>
              <w:t xml:space="preserve">—</w:t>
            </w:r>
          </w:p>
        </w:tc>
      </w:tr>
      <w:tr>
        <w:tc>
          <w:tcPr/>
          <w:p>
            <w:pPr>
              <w:pStyle w:val="Compact"/>
              <w:jc w:val="left"/>
            </w:pPr>
            <w:r>
              <w:t xml:space="preserve">V5.0:</w:t>
            </w:r>
            <w:r>
              <w:t xml:space="preserve"> </w:t>
            </w:r>
            <m:oMath>
              <m:r>
                <m:t>γ</m:t>
              </m:r>
              <m:r>
                <m:rPr>
                  <m:sty m:val="p"/>
                </m:rPr>
                <m:t>=</m:t>
              </m:r>
              <m:r>
                <m:t>0.5</m:t>
              </m:r>
            </m:oMath>
            <w:r>
              <w:t xml:space="preserve">, unnormalized</w:t>
            </w:r>
          </w:p>
        </w:tc>
        <w:tc>
          <w:tcPr/>
          <w:p>
            <w:pPr>
              <w:pStyle w:val="Compact"/>
              <w:jc w:val="center"/>
            </w:pPr>
            <w:r>
              <w:t xml:space="preserve">0.2467</w:t>
            </w:r>
          </w:p>
        </w:tc>
        <w:tc>
          <w:tcPr/>
          <w:p>
            <w:pPr>
              <w:pStyle w:val="Compact"/>
              <w:jc w:val="center"/>
            </w:pPr>
            <m:oMath>
              <m:r>
                <m:rPr>
                  <m:sty m:val="p"/>
                </m:rPr>
                <m:t>−</m:t>
              </m:r>
              <m:r>
                <m:t>1.6</m:t>
              </m:r>
              <m:r>
                <m:rPr>
                  <m:sty m:val="p"/>
                </m:rPr>
                <m:t>%</m:t>
              </m:r>
            </m:oMath>
          </w:p>
        </w:tc>
      </w:tr>
      <w:tr>
        <w:tc>
          <w:tcPr/>
          <w:p>
            <w:pPr>
              <w:pStyle w:val="Compact"/>
              <w:jc w:val="left"/>
            </w:pPr>
            <w:r>
              <w:t xml:space="preserve">V5.1:</w:t>
            </w:r>
            <w:r>
              <w:t xml:space="preserve"> </w:t>
            </w:r>
            <m:oMath>
              <m:r>
                <m:t>γ</m:t>
              </m:r>
              <m:r>
                <m:rPr>
                  <m:sty m:val="p"/>
                </m:rPr>
                <m:t>=</m:t>
              </m:r>
              <m:r>
                <m:t>5.0</m:t>
              </m:r>
            </m:oMath>
            <w:r>
              <w:t xml:space="preserve">, normalized</w:t>
            </w:r>
          </w:p>
        </w:tc>
        <w:tc>
          <w:tcPr/>
          <w:p>
            <w:pPr>
              <w:pStyle w:val="Compact"/>
              <w:jc w:val="center"/>
            </w:pPr>
            <w:r>
              <w:t xml:space="preserve">0.2184</w:t>
            </w:r>
          </w:p>
        </w:tc>
        <w:tc>
          <w:tcPr/>
          <w:p>
            <w:pPr>
              <w:pStyle w:val="Compact"/>
              <w:jc w:val="center"/>
            </w:pPr>
            <m:oMath>
              <m:r>
                <m:rPr>
                  <m:sty m:val="p"/>
                </m:rPr>
                <m:t>−</m:t>
              </m:r>
              <m:r>
                <m:t>12.9</m:t>
              </m:r>
              <m:r>
                <m:rPr>
                  <m:sty m:val="p"/>
                </m:rPr>
                <m:t>%</m:t>
              </m:r>
            </m:oMath>
          </w:p>
        </w:tc>
      </w:tr>
      <w:tr>
        <w:tc>
          <w:tcPr/>
          <w:p>
            <w:pPr>
              <w:pStyle w:val="Compact"/>
              <w:jc w:val="left"/>
            </w:pPr>
            <w:r>
              <w:t xml:space="preserve">V5.2:</w:t>
            </w:r>
            <w:r>
              <w:t xml:space="preserve"> </w:t>
            </w:r>
            <m:oMath>
              <m:sSub>
                <m:e>
                  <m:r>
                    <m:t>γ</m:t>
                  </m:r>
                </m:e>
                <m:sub>
                  <m:r>
                    <m:rPr>
                      <m:nor/>
                      <m:sty m:val="p"/>
                    </m:rPr>
                    <m:t>base</m:t>
                  </m:r>
                </m:sub>
              </m:sSub>
              <m:r>
                <m:rPr>
                  <m:sty m:val="p"/>
                </m:rPr>
                <m:t>=</m:t>
              </m:r>
              <m:r>
                <m:t>0.5</m:t>
              </m:r>
            </m:oMath>
            <w:r>
              <w:t xml:space="preserve">, domain-adapted</w:t>
            </w:r>
          </w:p>
        </w:tc>
        <w:tc>
          <w:tcPr/>
          <w:p>
            <w:pPr>
              <w:pStyle w:val="Compact"/>
              <w:jc w:val="center"/>
            </w:pPr>
            <w:r>
              <w:t xml:space="preserve">0.2501</w:t>
            </w:r>
          </w:p>
        </w:tc>
        <w:tc>
          <w:tcPr/>
          <w:p>
            <w:pPr>
              <w:pStyle w:val="Compact"/>
              <w:jc w:val="center"/>
            </w:pPr>
            <m:oMath>
              <m:r>
                <m:rPr>
                  <m:sty m:val="p"/>
                </m:rPr>
                <m:t>−</m:t>
              </m:r>
              <m:r>
                <m:t>0.3</m:t>
              </m:r>
              <m:r>
                <m:rPr>
                  <m:sty m:val="p"/>
                </m:rPr>
                <m:t>%</m:t>
              </m:r>
            </m:oMath>
          </w:p>
        </w:tc>
      </w:tr>
      <w:tr>
        <w:tc>
          <w:tcPr/>
          <w:p>
            <w:pPr>
              <w:pStyle w:val="Compact"/>
              <w:jc w:val="left"/>
            </w:pPr>
            <w:r>
              <w:t xml:space="preserve">V5.2:</w:t>
            </w:r>
            <w:r>
              <w:t xml:space="preserve"> </w:t>
            </w:r>
            <m:oMath>
              <m:sSub>
                <m:e>
                  <m:r>
                    <m:t>γ</m:t>
                  </m:r>
                </m:e>
                <m:sub>
                  <m:r>
                    <m:rPr>
                      <m:nor/>
                      <m:sty m:val="p"/>
                    </m:rPr>
                    <m:t>base</m:t>
                  </m:r>
                </m:sub>
              </m:sSub>
              <m:r>
                <m:rPr>
                  <m:sty m:val="p"/>
                </m:rPr>
                <m:t>=</m:t>
              </m:r>
              <m:r>
                <m:t>1.0</m:t>
              </m:r>
            </m:oMath>
            <w:r>
              <w:t xml:space="preserve">, domain-adapted</w:t>
            </w:r>
          </w:p>
        </w:tc>
        <w:tc>
          <w:tcPr/>
          <w:p>
            <w:pPr>
              <w:pStyle w:val="Compact"/>
              <w:jc w:val="center"/>
            </w:pPr>
            <w:r>
              <w:t xml:space="preserve">0.2501</w:t>
            </w:r>
          </w:p>
        </w:tc>
        <w:tc>
          <w:tcPr/>
          <w:p>
            <w:pPr>
              <w:pStyle w:val="Compact"/>
              <w:jc w:val="center"/>
            </w:pPr>
            <m:oMath>
              <m:r>
                <m:rPr>
                  <m:sty m:val="p"/>
                </m:rPr>
                <m:t>−</m:t>
              </m:r>
              <m:r>
                <m:t>0.3</m:t>
              </m:r>
              <m:r>
                <m:rPr>
                  <m:sty m:val="p"/>
                </m:rPr>
                <m:t>%</m:t>
              </m:r>
            </m:oMath>
          </w:p>
        </w:tc>
      </w:tr>
      <w:tr>
        <w:tc>
          <w:tcPr/>
          <w:p>
            <w:pPr>
              <w:pStyle w:val="Compact"/>
              <w:jc w:val="left"/>
            </w:pPr>
            <w:r>
              <w:t xml:space="preserve">V5.2:</w:t>
            </w:r>
            <w:r>
              <w:t xml:space="preserve"> </w:t>
            </w:r>
            <m:oMath>
              <m:sSub>
                <m:e>
                  <m:r>
                    <m:t>γ</m:t>
                  </m:r>
                </m:e>
                <m:sub>
                  <m:r>
                    <m:rPr>
                      <m:nor/>
                      <m:sty m:val="p"/>
                    </m:rPr>
                    <m:t>base</m:t>
                  </m:r>
                </m:sub>
              </m:sSub>
              <m:r>
                <m:rPr>
                  <m:sty m:val="p"/>
                </m:rPr>
                <m:t>=</m:t>
              </m:r>
              <m:r>
                <m:t>2.0</m:t>
              </m:r>
            </m:oMath>
            <w:r>
              <w:t xml:space="preserve">, domain-adapted</w:t>
            </w:r>
          </w:p>
        </w:tc>
        <w:tc>
          <w:tcPr/>
          <w:p>
            <w:pPr>
              <w:pStyle w:val="Compact"/>
              <w:jc w:val="center"/>
            </w:pPr>
            <w:r>
              <w:t xml:space="preserve">0.2501</w:t>
            </w:r>
          </w:p>
        </w:tc>
        <w:tc>
          <w:tcPr/>
          <w:p>
            <w:pPr>
              <w:pStyle w:val="Compact"/>
              <w:jc w:val="center"/>
            </w:pPr>
            <m:oMath>
              <m:r>
                <m:rPr>
                  <m:sty m:val="p"/>
                </m:rPr>
                <m:t>−</m:t>
              </m:r>
              <m:r>
                <m:t>0.3</m:t>
              </m:r>
              <m:r>
                <m:rPr>
                  <m:sty m:val="p"/>
                </m:rPr>
                <m:t>%</m:t>
              </m:r>
            </m:oMath>
          </w:p>
        </w:tc>
      </w:tr>
    </w:tbl>
    <w:p>
      <w:pPr>
        <w:pStyle w:val="BodyText"/>
      </w:pPr>
      <w:r>
        <w:t xml:space="preserve">The domain-adapted formulation (V5.2) successfully prevents the catastrophic phase transition of V5.1, recovering to within</w:t>
      </w:r>
      <w:r>
        <w:t xml:space="preserve"> </w:t>
      </w:r>
      <m:oMath>
        <m:r>
          <m:t>0.3</m:t>
        </m:r>
        <m:r>
          <m:rPr>
            <m:sty m:val="p"/>
          </m:rPr>
          <m:t>%</m:t>
        </m:r>
      </m:oMath>
      <w:r>
        <w:t xml:space="preserve"> </w:t>
      </w:r>
      <w:r>
        <w:t xml:space="preserve">of the baseline. However, three values of</w:t>
      </w:r>
      <w:r>
        <w:t xml:space="preserve"> </w:t>
      </w:r>
      <m:oMath>
        <m:sSub>
          <m:e>
            <m:r>
              <m:t>γ</m:t>
            </m:r>
          </m:e>
          <m:sub>
            <m:r>
              <m:rPr>
                <m:nor/>
                <m:sty m:val="p"/>
              </m:rPr>
              <m:t>base</m:t>
            </m:r>
          </m:sub>
        </m:sSub>
      </m:oMath>
      <w:r>
        <w:t xml:space="preserve"> </w:t>
      </w:r>
      <w:r>
        <w:t xml:space="preserve">(0.5, 1.0, 2.0) produce</w:t>
      </w:r>
      <w:r>
        <w:t xml:space="preserve"> </w:t>
      </w:r>
      <w:r>
        <w:rPr>
          <w:iCs/>
          <w:i/>
        </w:rPr>
        <w:t xml:space="preserve">identical</w:t>
      </w:r>
      <w:r>
        <w:t xml:space="preserve"> </w:t>
      </w:r>
      <w:r>
        <w:t xml:space="preserve">results (0.2501), demonstrating that the reaction term’s contribution is negligible—the system is</w:t>
      </w:r>
      <w:r>
        <w:t xml:space="preserve"> </w:t>
      </w:r>
      <w:r>
        <w:rPr>
          <w:bCs/>
          <w:b/>
        </w:rPr>
        <w:t xml:space="preserve">topologically locked</w:t>
      </w:r>
      <w:r>
        <w:t xml:space="preserve"> </w:t>
      </w:r>
      <w:r>
        <w:t xml:space="preserve">to a Dirichlet energy minimum where the small-sample KNN graph (</w:t>
      </w:r>
      <m:oMath>
        <m:r>
          <m:t>N</m:t>
        </m:r>
        <m:r>
          <m:rPr>
            <m:sty m:val="p"/>
          </m:rPr>
          <m:t>=</m:t>
        </m:r>
        <m:r>
          <m:t>30</m:t>
        </m:r>
      </m:oMath>
      <w:r>
        <w:t xml:space="preserve">, diameter</w:t>
      </w:r>
      <w:r>
        <w:t xml:space="preserve"> </w:t>
      </w:r>
      <m:oMath>
        <m:r>
          <m:rPr>
            <m:sty m:val="p"/>
          </m:rPr>
          <m:t>≤</m:t>
        </m:r>
        <m:r>
          <m:t>4</m:t>
        </m:r>
      </m:oMath>
      <w:r>
        <w:t xml:space="preserve">) allows diffusion to equilibrate instantaneously, rendering any perturbation from the reaction term invisible to the NDCG ranking metric.</w:t>
      </w:r>
    </w:p>
    <w:p>
      <w:pPr>
        <w:pStyle w:val="BodyText"/>
      </w:pPr>
      <w:r>
        <w:rPr>
          <w:bCs/>
          <w:b/>
        </w:rPr>
        <w:t xml:space="preserve">Conclusion.</w:t>
      </w:r>
      <w:r>
        <w:t xml:space="preserve"> </w:t>
      </w:r>
      <w:r>
        <w:t xml:space="preserve">In the short-query, narrow score-range regime (</w:t>
      </w:r>
      <m:oMath>
        <m:r>
          <m:t>Δ</m:t>
        </m:r>
        <m:sSub>
          <m:e>
            <m:r>
              <m:t>C</m:t>
            </m:r>
          </m:e>
          <m:sub>
            <m:r>
              <m:t>0</m:t>
            </m:r>
          </m:sub>
        </m:sSub>
        <m:r>
          <m:rPr>
            <m:sty m:val="p"/>
          </m:rPr>
          <m:t>≈</m:t>
        </m:r>
        <m:r>
          <m:t>0.1</m:t>
        </m:r>
      </m:oMath>
      <w:r>
        <w:t xml:space="preserve">), the Allen-Cahn reaction term is</w:t>
      </w:r>
      <w:r>
        <w:t xml:space="preserve"> </w:t>
      </w:r>
      <w:r>
        <w:rPr>
          <w:iCs/>
          <w:i/>
        </w:rPr>
        <w:t xml:space="preserve">numerically dormant</w:t>
      </w:r>
      <w:r>
        <w:t xml:space="preserve">—not due to implementation error, but as a physical necessity. The reaction force scales as</w:t>
      </w:r>
      <w:r>
        <w:t xml:space="preserve"> </w:t>
      </w:r>
      <m:oMath>
        <m:r>
          <m:t>O</m:t>
        </m:r>
        <m:d>
          <m:dPr>
            <m:begChr m:val="("/>
            <m:endChr m:val=")"/>
            <m:sepChr m:val=""/>
            <m:grow/>
          </m:dPr>
          <m:e>
            <m:sSup>
              <m:e>
                <m:r>
                  <m:t>Δ</m:t>
                </m:r>
              </m:e>
              <m:sup>
                <m:r>
                  <m:t>3</m:t>
                </m:r>
              </m:sup>
            </m:sSup>
          </m:e>
        </m:d>
      </m:oMath>
      <w:r>
        <w:t xml:space="preserve"> </w:t>
      </w:r>
      <w:r>
        <w:t xml:space="preserve">while diffusion scales as</w:t>
      </w:r>
      <w:r>
        <w:t xml:space="preserve"> </w:t>
      </w:r>
      <m:oMath>
        <m:r>
          <m:t>O</m:t>
        </m:r>
        <m:d>
          <m:dPr>
            <m:begChr m:val="("/>
            <m:endChr m:val=")"/>
            <m:sepChr m:val=""/>
            <m:grow/>
          </m:dPr>
          <m:e>
            <m:r>
              <m:t>Δ</m:t>
            </m:r>
          </m:e>
        </m:d>
      </m:oMath>
      <w:r>
        <w:t xml:space="preserve">; when</w:t>
      </w:r>
      <w:r>
        <w:t xml:space="preserve"> </w:t>
      </w:r>
      <m:oMath>
        <m:r>
          <m:t>Δ</m:t>
        </m:r>
        <m:r>
          <m:rPr>
            <m:sty m:val="p"/>
          </m:rPr>
          <m:t>≪</m:t>
        </m:r>
        <m:r>
          <m:t>1</m:t>
        </m:r>
      </m:oMath>
      <w:r>
        <w:t xml:space="preserve">, diffusion dominates by construction. This result validates the v1 observation (Section 5.1) that the optimal operating regime is diffusion-dominated, and precisely delineates the boundary conditions under which nonlinear dynamics become physically meaningful:</w:t>
      </w:r>
      <w:r>
        <w:t xml:space="preserve"> </w:t>
      </w:r>
      <w:r>
        <w:rPr>
          <w:iCs/>
          <w:i/>
        </w:rPr>
        <w:t xml:space="preserve">only when the initial score range is sufficiently large</w:t>
      </w:r>
      <w:r>
        <w:t xml:space="preserve"> </w:t>
      </w:r>
      <w:r>
        <w:t xml:space="preserve">(</w:t>
      </w:r>
      <m:oMath>
        <m:r>
          <m:t>Δ</m:t>
        </m:r>
        <m:sSub>
          <m:e>
            <m:r>
              <m:t>C</m:t>
            </m:r>
          </m:e>
          <m:sub>
            <m:r>
              <m:t>0</m:t>
            </m:r>
          </m:sub>
        </m:sSub>
        <m:r>
          <m:rPr>
            <m:sty m:val="p"/>
          </m:rPr>
          <m:t>≫</m:t>
        </m:r>
        <m:r>
          <m:t>0.1</m:t>
        </m:r>
      </m:oMath>
      <w:r>
        <w:t xml:space="preserve">), as expected in long-document retrieval scenarios with sparse evidence.</w:t>
      </w:r>
    </w:p>
    <w:bookmarkEnd w:id="41"/>
    <w:bookmarkStart w:id="42" w:name="X1bf426688288d70b2c50d1400e8ef8d3b9b6531"/>
    <w:p>
      <w:pPr>
        <w:pStyle w:val="Heading4"/>
      </w:pPr>
      <w:r>
        <w:t xml:space="preserve">4.3.4 Mixed Initial Field Ablation (v3 supplement)</w:t>
      </w:r>
    </w:p>
    <w:p>
      <w:pPr>
        <w:pStyle w:val="FirstParagraph"/>
      </w:pPr>
      <w:r>
        <w:t xml:space="preserve">The v1 Shape-CFD formulation uses the symmetric Chamfer distance to compute both graph weights and initial concentrations. For single-vector queries, the query-document Chamfer distance</w:t>
      </w:r>
      <w:r>
        <w:t xml:space="preserve"> </w:t>
      </w:r>
      <m:oMath>
        <m:sSub>
          <m:e>
            <m:r>
              <m:t>d</m:t>
            </m:r>
          </m:e>
          <m:sub>
            <m:r>
              <m:rPr>
                <m:nor/>
                <m:sty m:val="p"/>
              </m:rPr>
              <m:t>Chamfer</m:t>
            </m:r>
          </m:sub>
        </m:sSub>
        <m:d>
          <m:dPr>
            <m:begChr m:val="("/>
            <m:endChr m:val=")"/>
            <m:sepChr m:val=""/>
            <m:grow/>
          </m:dPr>
          <m:e>
            <m:r>
              <m:t>q</m:t>
            </m:r>
            <m:r>
              <m:rPr>
                <m:sty m:val="p"/>
              </m:rPr>
              <m:t>,</m:t>
            </m:r>
            <m:sSub>
              <m:e>
                <m:r>
                  <m:rPr>
                    <m:sty m:val="p"/>
                    <m:scr m:val="script"/>
                  </m:rPr>
                  <m:t>P</m:t>
                </m:r>
              </m:e>
              <m:sub>
                <m:r>
                  <m:t>i</m:t>
                </m:r>
              </m:sub>
            </m:sSub>
          </m:e>
        </m:d>
      </m:oMath>
      <w:r>
        <w:t xml:space="preserve"> </w:t>
      </w:r>
      <w:r>
        <w:t xml:space="preserve">decomposes into two components:</w:t>
      </w:r>
    </w:p>
    <w:p>
      <w:pPr>
        <w:pStyle w:val="BodyText"/>
      </w:pPr>
      <m:oMathPara>
        <m:oMathParaPr>
          <m:jc m:val="center"/>
        </m:oMathParaPr>
        <m:oMath>
          <m:sSub>
            <m:e>
              <m:r>
                <m:t>d</m:t>
              </m:r>
            </m:e>
            <m:sub>
              <m:r>
                <m:rPr>
                  <m:nor/>
                  <m:sty m:val="p"/>
                </m:rPr>
                <m:t>Chamfer</m:t>
              </m:r>
            </m:sub>
          </m:sSub>
          <m:d>
            <m:dPr>
              <m:begChr m:val="("/>
              <m:endChr m:val=")"/>
              <m:sepChr m:val=""/>
              <m:grow/>
            </m:dPr>
            <m:e>
              <m:r>
                <m:t>q</m:t>
              </m:r>
              <m:r>
                <m:rPr>
                  <m:sty m:val="p"/>
                </m:rPr>
                <m:t>,</m:t>
              </m:r>
              <m:sSub>
                <m:e>
                  <m:r>
                    <m:rPr>
                      <m:sty m:val="p"/>
                      <m:scr m:val="script"/>
                    </m:rPr>
                    <m:t>P</m:t>
                  </m:r>
                </m:e>
                <m:sub>
                  <m:r>
                    <m:t>i</m:t>
                  </m:r>
                </m:sub>
              </m:sSub>
            </m:e>
          </m:d>
          <m:r>
            <m:rPr>
              <m:sty m:val="p"/>
            </m:rPr>
            <m:t>=</m:t>
          </m:r>
          <m:limLow>
            <m:e>
              <m:limLow>
                <m:e>
                  <m:limLow>
                    <m:e>
                      <m:r>
                        <m:rPr>
                          <m:sty m:val="p"/>
                        </m:rPr>
                        <m:t>min</m:t>
                      </m:r>
                    </m:e>
                    <m:lim>
                      <m:r>
                        <m:t>s</m:t>
                      </m:r>
                      <m:r>
                        <m:rPr>
                          <m:sty m:val="p"/>
                        </m:rPr>
                        <m:t>∈</m:t>
                      </m:r>
                      <m:sSub>
                        <m:e>
                          <m:r>
                            <m:rPr>
                              <m:sty m:val="p"/>
                              <m:scr m:val="script"/>
                            </m:rPr>
                            <m:t>P</m:t>
                          </m:r>
                        </m:e>
                        <m:sub>
                          <m:r>
                            <m:t>i</m:t>
                          </m:r>
                        </m:sub>
                      </m:sSub>
                    </m:lim>
                  </m:limLow>
                  <m:sSub>
                    <m:e>
                      <m:r>
                        <m:t>d</m:t>
                      </m:r>
                    </m:e>
                    <m:sub>
                      <m:r>
                        <m:rPr>
                          <m:sty m:val="p"/>
                        </m:rPr>
                        <m:t>cos</m:t>
                      </m:r>
                    </m:sub>
                  </m:sSub>
                  <m:d>
                    <m:dPr>
                      <m:begChr m:val="("/>
                      <m:endChr m:val=")"/>
                      <m:sepChr m:val=""/>
                      <m:grow/>
                    </m:dPr>
                    <m:e>
                      <m:r>
                        <m:t>q</m:t>
                      </m:r>
                      <m:r>
                        <m:rPr>
                          <m:sty m:val="p"/>
                        </m:rPr>
                        <m:t>,</m:t>
                      </m:r>
                      <m:r>
                        <m:t>s</m:t>
                      </m:r>
                    </m:e>
                  </m:d>
                </m:e>
                <m:lim>
                  <m:r>
                    <m:rPr>
                      <m:sty m:val="p"/>
                    </m:rPr>
                    <m:t>⏟</m:t>
                  </m:r>
                </m:lim>
              </m:limLow>
            </m:e>
            <m:lim>
              <m:r>
                <m:rPr>
                  <m:nor/>
                  <m:sty m:val="p"/>
                </m:rPr>
                <m:t>MaxSim (forward)</m:t>
              </m:r>
            </m:lim>
          </m:limLow>
          <m:r>
            <m:rPr>
              <m:sty m:val="p"/>
            </m:rPr>
            <m:t>+</m:t>
          </m:r>
          <m:limLow>
            <m:e>
              <m:limLow>
                <m:e>
                  <m:f>
                    <m:fPr>
                      <m:type m:val="bar"/>
                    </m:fPr>
                    <m:num>
                      <m:r>
                        <m:t>1</m:t>
                      </m:r>
                    </m:num>
                    <m:den>
                      <m:d>
                        <m:dPr>
                          <m:begChr m:val="|"/>
                          <m:endChr m:val="|"/>
                          <m:sepChr m:val=""/>
                          <m:grow/>
                        </m:dPr>
                        <m:e>
                          <m:sSub>
                            <m:e>
                              <m:r>
                                <m:rPr>
                                  <m:sty m:val="p"/>
                                  <m:scr m:val="script"/>
                                </m:rPr>
                                <m:t>P</m:t>
                              </m:r>
                            </m:e>
                            <m:sub>
                              <m:r>
                                <m:t>i</m:t>
                              </m:r>
                            </m:sub>
                          </m:sSub>
                        </m:e>
                      </m:d>
                    </m:den>
                  </m:f>
                  <m:nary>
                    <m:naryPr>
                      <m:chr m:val="∑"/>
                      <m:limLoc m:val="undOvr"/>
                      <m:subHide m:val="off"/>
                      <m:supHide m:val="on"/>
                    </m:naryPr>
                    <m:sub>
                      <m:r>
                        <m:t>s</m:t>
                      </m:r>
                      <m:r>
                        <m:rPr>
                          <m:sty m:val="p"/>
                        </m:rPr>
                        <m:t>∈</m:t>
                      </m:r>
                      <m:sSub>
                        <m:e>
                          <m:r>
                            <m:rPr>
                              <m:sty m:val="p"/>
                              <m:scr m:val="script"/>
                            </m:rPr>
                            <m:t>P</m:t>
                          </m:r>
                        </m:e>
                        <m:sub>
                          <m:r>
                            <m:t>i</m:t>
                          </m:r>
                        </m:sub>
                      </m:sSub>
                    </m:sub>
                    <m:sup>
                      <m:r>
                        <m:t>​</m:t>
                      </m:r>
                    </m:sup>
                    <m:e>
                      <m:sSub>
                        <m:e>
                          <m:r>
                            <m:t>d</m:t>
                          </m:r>
                        </m:e>
                        <m:sub>
                          <m:r>
                            <m:rPr>
                              <m:sty m:val="p"/>
                            </m:rPr>
                            <m:t>cos</m:t>
                          </m:r>
                        </m:sub>
                      </m:sSub>
                    </m:e>
                  </m:nary>
                  <m:d>
                    <m:dPr>
                      <m:begChr m:val="("/>
                      <m:endChr m:val=")"/>
                      <m:sepChr m:val=""/>
                      <m:grow/>
                    </m:dPr>
                    <m:e>
                      <m:r>
                        <m:t>s</m:t>
                      </m:r>
                      <m:r>
                        <m:rPr>
                          <m:sty m:val="p"/>
                        </m:rPr>
                        <m:t>,</m:t>
                      </m:r>
                      <m:r>
                        <m:t>q</m:t>
                      </m:r>
                    </m:e>
                  </m:d>
                </m:e>
                <m:lim>
                  <m:r>
                    <m:rPr>
                      <m:sty m:val="p"/>
                    </m:rPr>
                    <m:t>⏟</m:t>
                  </m:r>
                </m:lim>
              </m:limLow>
            </m:e>
            <m:lim>
              <m:r>
                <m:rPr>
                  <m:nor/>
                  <m:sty m:val="p"/>
                </m:rPr>
                <m:t>MeanSim (reverse)</m:t>
              </m:r>
            </m:lim>
          </m:limLow>
        </m:oMath>
      </m:oMathPara>
    </w:p>
    <w:p>
      <w:pPr>
        <w:pStyle w:val="FirstParagraph"/>
      </w:pPr>
      <w:r>
        <w:t xml:space="preserve">The first term captures the</w:t>
      </w:r>
      <w:r>
        <w:t xml:space="preserve"> </w:t>
      </w:r>
      <w:r>
        <w:rPr>
          <w:iCs/>
          <w:i/>
        </w:rPr>
        <w:t xml:space="preserve">best local match</w:t>
      </w:r>
      <w:r>
        <w:t xml:space="preserve"> </w:t>
      </w:r>
      <w:r>
        <w:t xml:space="preserve">(the most relevant sentence), while the second penalizes documents with many unmatched sentences. In v1, these components are implicitly weighted equally (</w:t>
      </w:r>
      <m:oMath>
        <m:r>
          <m:t>α</m:t>
        </m:r>
        <m:r>
          <m:rPr>
            <m:sty m:val="p"/>
          </m:rPr>
          <m:t>=</m:t>
        </m:r>
        <m:r>
          <m:t>0.5</m:t>
        </m:r>
      </m:oMath>
      <w:r>
        <w:t xml:space="preserve">). We investigate whether decoupling this balance can improve performance.</w:t>
      </w:r>
    </w:p>
    <w:p>
      <w:pPr>
        <w:pStyle w:val="BodyText"/>
      </w:pPr>
      <w:r>
        <w:rPr>
          <w:bCs/>
          <w:b/>
        </w:rPr>
        <w:t xml:space="preserve">Mixed initial field.</w:t>
      </w:r>
      <w:r>
        <w:t xml:space="preserve"> </w:t>
      </w:r>
      <w:r>
        <w:t xml:space="preserve">We replace the Chamfer-based initial concentration with an explicit mixture:</w:t>
      </w:r>
    </w:p>
    <w:p>
      <w:pPr>
        <w:pStyle w:val="BodyText"/>
      </w:pPr>
      <m:oMathPara>
        <m:oMathParaPr>
          <m:jc m:val="center"/>
        </m:oMathParaPr>
        <m:oMath>
          <m:sSub>
            <m:e>
              <m:r>
                <m:t>C</m:t>
              </m:r>
            </m:e>
            <m:sub>
              <m:r>
                <m:t>0</m:t>
              </m:r>
            </m:sub>
          </m:sSub>
          <m:d>
            <m:dPr>
              <m:begChr m:val="("/>
              <m:endChr m:val=")"/>
              <m:sepChr m:val=""/>
              <m:grow/>
            </m:dPr>
            <m:e>
              <m:r>
                <m:t>i</m:t>
              </m:r>
            </m:e>
          </m:d>
          <m:r>
            <m:rPr>
              <m:sty m:val="p"/>
            </m:rPr>
            <m:t>=</m:t>
          </m:r>
          <m:r>
            <m:t>α</m:t>
          </m:r>
          <m:r>
            <m:rPr>
              <m:sty m:val="p"/>
            </m:rPr>
            <m:t>⋅</m:t>
          </m:r>
          <m:r>
            <m:rPr>
              <m:nor/>
              <m:sty m:val="p"/>
            </m:rPr>
            <m:t>MaxSim</m:t>
          </m:r>
          <m:d>
            <m:dPr>
              <m:begChr m:val="("/>
              <m:endChr m:val=")"/>
              <m:sepChr m:val=""/>
              <m:grow/>
            </m:dPr>
            <m:e>
              <m:r>
                <m:t>q</m:t>
              </m:r>
              <m:r>
                <m:rPr>
                  <m:sty m:val="p"/>
                </m:rPr>
                <m:t>,</m:t>
              </m:r>
              <m:sSub>
                <m:e>
                  <m:r>
                    <m:rPr>
                      <m:sty m:val="p"/>
                      <m:scr m:val="script"/>
                    </m:rPr>
                    <m:t>P</m:t>
                  </m:r>
                </m:e>
                <m:sub>
                  <m:r>
                    <m:t>i</m:t>
                  </m:r>
                </m:sub>
              </m:sSub>
            </m:e>
          </m:d>
          <m:r>
            <m:rPr>
              <m:sty m:val="p"/>
            </m:rPr>
            <m:t>+</m:t>
          </m:r>
          <m:d>
            <m:dPr>
              <m:begChr m:val="("/>
              <m:endChr m:val=")"/>
              <m:sepChr m:val=""/>
              <m:grow/>
            </m:dPr>
            <m:e>
              <m:r>
                <m:t>1</m:t>
              </m:r>
              <m:r>
                <m:rPr>
                  <m:sty m:val="p"/>
                </m:rPr>
                <m:t>−</m:t>
              </m:r>
              <m:r>
                <m:t>α</m:t>
              </m:r>
            </m:e>
          </m:d>
          <m:r>
            <m:rPr>
              <m:sty m:val="p"/>
            </m:rPr>
            <m:t>⋅</m:t>
          </m:r>
          <m:r>
            <m:rPr>
              <m:nor/>
              <m:sty m:val="p"/>
            </m:rPr>
            <m:t>MeanSim</m:t>
          </m:r>
          <m:d>
            <m:dPr>
              <m:begChr m:val="("/>
              <m:endChr m:val=")"/>
              <m:sepChr m:val=""/>
              <m:grow/>
            </m:dPr>
            <m:e>
              <m:r>
                <m:t>q</m:t>
              </m:r>
              <m:r>
                <m:rPr>
                  <m:sty m:val="p"/>
                </m:rPr>
                <m:t>,</m:t>
              </m:r>
              <m:sSub>
                <m:e>
                  <m:r>
                    <m:rPr>
                      <m:sty m:val="p"/>
                      <m:scr m:val="script"/>
                    </m:rPr>
                    <m:t>P</m:t>
                  </m:r>
                </m:e>
                <m:sub>
                  <m:r>
                    <m:t>i</m:t>
                  </m:r>
                </m:sub>
              </m:sSub>
            </m:e>
          </m:d>
        </m:oMath>
      </m:oMathPara>
    </w:p>
    <w:p>
      <w:pPr>
        <w:pStyle w:val="FirstParagraph"/>
      </w:pPr>
      <w:r>
        <w:t xml:space="preserve">where</w:t>
      </w:r>
      <w:r>
        <w:t xml:space="preserve"> </w:t>
      </w:r>
      <m:oMath>
        <m:r>
          <m:rPr>
            <m:nor/>
            <m:sty m:val="p"/>
          </m:rPr>
          <m:t>MaxSim</m:t>
        </m:r>
        <m:d>
          <m:dPr>
            <m:begChr m:val="("/>
            <m:endChr m:val=")"/>
            <m:sepChr m:val=""/>
            <m:grow/>
          </m:dPr>
          <m:e>
            <m:r>
              <m:t>q</m:t>
            </m:r>
            <m:r>
              <m:rPr>
                <m:sty m:val="p"/>
              </m:rPr>
              <m:t>,</m:t>
            </m:r>
            <m:sSub>
              <m:e>
                <m:r>
                  <m:rPr>
                    <m:sty m:val="p"/>
                    <m:scr m:val="script"/>
                  </m:rPr>
                  <m:t>P</m:t>
                </m:r>
              </m:e>
              <m:sub>
                <m:r>
                  <m:t>i</m:t>
                </m:r>
              </m:sub>
            </m:sSub>
          </m:e>
        </m:d>
        <m:r>
          <m:rPr>
            <m:sty m:val="p"/>
          </m:rPr>
          <m:t>=</m:t>
        </m:r>
        <m:sSub>
          <m:e>
            <m:r>
              <m:rPr>
                <m:sty m:val="p"/>
              </m:rPr>
              <m:t>max</m:t>
            </m:r>
          </m:e>
          <m:sub>
            <m:r>
              <m:t>s</m:t>
            </m:r>
            <m:r>
              <m:rPr>
                <m:sty m:val="p"/>
              </m:rPr>
              <m:t>∈</m:t>
            </m:r>
            <m:sSub>
              <m:e>
                <m:r>
                  <m:rPr>
                    <m:sty m:val="p"/>
                    <m:scr m:val="script"/>
                  </m:rPr>
                  <m:t>P</m:t>
                </m:r>
              </m:e>
              <m:sub>
                <m:r>
                  <m:t>i</m:t>
                </m:r>
              </m:sub>
            </m:sSub>
          </m:sub>
        </m:sSub>
        <m:r>
          <m:rPr>
            <m:sty m:val="p"/>
          </m:rPr>
          <m:t>cos</m:t>
        </m:r>
        <m:d>
          <m:dPr>
            <m:begChr m:val="("/>
            <m:endChr m:val=")"/>
            <m:sepChr m:val=""/>
            <m:grow/>
          </m:dPr>
          <m:e>
            <m:r>
              <m:t>q</m:t>
            </m:r>
            <m:r>
              <m:rPr>
                <m:sty m:val="p"/>
              </m:rPr>
              <m:t>,</m:t>
            </m:r>
            <m:r>
              <m:t>s</m:t>
            </m:r>
          </m:e>
        </m:d>
      </m:oMath>
      <w:r>
        <w:t xml:space="preserve"> </w:t>
      </w:r>
      <w:r>
        <w:t xml:space="preserve">and</w:t>
      </w:r>
      <w:r>
        <w:t xml:space="preserve"> </w:t>
      </w:r>
      <m:oMath>
        <m:r>
          <m:rPr>
            <m:nor/>
            <m:sty m:val="p"/>
          </m:rPr>
          <m:t>MeanSim</m:t>
        </m:r>
        <m:d>
          <m:dPr>
            <m:begChr m:val="("/>
            <m:endChr m:val=")"/>
            <m:sepChr m:val=""/>
            <m:grow/>
          </m:dPr>
          <m:e>
            <m:r>
              <m:t>q</m:t>
            </m:r>
            <m:r>
              <m:rPr>
                <m:sty m:val="p"/>
              </m:rPr>
              <m:t>,</m:t>
            </m:r>
            <m:sSub>
              <m:e>
                <m:r>
                  <m:rPr>
                    <m:sty m:val="p"/>
                    <m:scr m:val="script"/>
                  </m:rPr>
                  <m:t>P</m:t>
                </m:r>
              </m:e>
              <m:sub>
                <m:r>
                  <m:t>i</m:t>
                </m:r>
              </m:sub>
            </m:sSub>
          </m:e>
        </m:d>
        <m:r>
          <m:rPr>
            <m:sty m:val="p"/>
          </m:rPr>
          <m:t>=</m:t>
        </m:r>
        <m:f>
          <m:fPr>
            <m:type m:val="bar"/>
          </m:fPr>
          <m:num>
            <m:r>
              <m:t>1</m:t>
            </m:r>
          </m:num>
          <m:den>
            <m:d>
              <m:dPr>
                <m:begChr m:val="|"/>
                <m:endChr m:val="|"/>
                <m:sepChr m:val=""/>
                <m:grow/>
              </m:dPr>
              <m:e>
                <m:sSub>
                  <m:e>
                    <m:r>
                      <m:rPr>
                        <m:sty m:val="p"/>
                        <m:scr m:val="script"/>
                      </m:rPr>
                      <m:t>P</m:t>
                    </m:r>
                  </m:e>
                  <m:sub>
                    <m:r>
                      <m:t>i</m:t>
                    </m:r>
                  </m:sub>
                </m:sSub>
              </m:e>
            </m:d>
          </m:den>
        </m:f>
        <m:nary>
          <m:naryPr>
            <m:chr m:val="∑"/>
            <m:limLoc m:val="undOvr"/>
            <m:subHide m:val="off"/>
            <m:supHide m:val="on"/>
          </m:naryPr>
          <m:sub>
            <m:r>
              <m:t>s</m:t>
            </m:r>
            <m:r>
              <m:rPr>
                <m:sty m:val="p"/>
              </m:rPr>
              <m:t>∈</m:t>
            </m:r>
            <m:sSub>
              <m:e>
                <m:r>
                  <m:rPr>
                    <m:sty m:val="p"/>
                    <m:scr m:val="script"/>
                  </m:rPr>
                  <m:t>P</m:t>
                </m:r>
              </m:e>
              <m:sub>
                <m:r>
                  <m:t>i</m:t>
                </m:r>
              </m:sub>
            </m:sSub>
          </m:sub>
          <m:sup>
            <m:r>
              <m:t>​</m:t>
            </m:r>
          </m:sup>
          <m:e>
            <m:r>
              <m:rPr>
                <m:sty m:val="p"/>
              </m:rPr>
              <m:t>cos</m:t>
            </m:r>
          </m:e>
        </m:nary>
        <m:d>
          <m:dPr>
            <m:begChr m:val="("/>
            <m:endChr m:val=")"/>
            <m:sepChr m:val=""/>
            <m:grow/>
          </m:dPr>
          <m:e>
            <m:r>
              <m:t>q</m:t>
            </m:r>
            <m:r>
              <m:rPr>
                <m:sty m:val="p"/>
              </m:rPr>
              <m:t>,</m:t>
            </m:r>
            <m:r>
              <m:t>s</m:t>
            </m:r>
          </m:e>
        </m:d>
      </m:oMath>
      <w:r>
        <w:t xml:space="preserve">. The graph topology remains Chamfer-based (preserving the high-fidelity Riemannian manifold), and the PDE solver uses pure diffusion (V4 mode, no reaction term).</w:t>
      </w:r>
    </w:p>
    <w:p>
      <w:pPr>
        <w:pStyle w:val="BodyText"/>
      </w:pPr>
      <w:r>
        <w:rPr>
          <w:bCs/>
          <w:b/>
        </w:rPr>
        <w:t xml:space="preserve">Results across two BEIR datasets: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center"/>
            </w:pPr>
            <m:oMath>
              <m:r>
                <m:t>α</m:t>
              </m:r>
            </m:oMath>
          </w:p>
        </w:tc>
        <w:tc>
          <w:tcPr/>
          <w:p>
            <w:pPr>
              <w:pStyle w:val="Compact"/>
              <w:jc w:val="center"/>
            </w:pPr>
            <w:r>
              <w:t xml:space="preserve">NFCorpus</w:t>
            </w:r>
          </w:p>
        </w:tc>
        <w:tc>
          <w:tcPr/>
          <w:p>
            <w:pPr>
              <w:pStyle w:val="Compact"/>
              <w:jc w:val="center"/>
            </w:pPr>
            <m:oMath>
              <m:r>
                <m:t>Δ</m:t>
              </m:r>
            </m:oMath>
          </w:p>
        </w:tc>
        <w:tc>
          <w:tcPr/>
          <w:p>
            <w:pPr>
              <w:pStyle w:val="Compact"/>
              <w:jc w:val="center"/>
            </w:pPr>
            <w:r>
              <w:t xml:space="preserve">SciFact</w:t>
            </w:r>
          </w:p>
        </w:tc>
        <w:tc>
          <w:tcPr/>
          <w:p>
            <w:pPr>
              <w:pStyle w:val="Compact"/>
              <w:jc w:val="center"/>
            </w:pPr>
            <m:oMath>
              <m:r>
                <m:t>Δ</m:t>
              </m:r>
            </m:oMath>
          </w:p>
        </w:tc>
      </w:tr>
      <w:tr>
        <w:tc>
          <w:tcPr/>
          <w:p>
            <w:pPr>
              <w:pStyle w:val="Compact"/>
              <w:jc w:val="center"/>
            </w:pPr>
            <w:r>
              <w:t xml:space="preserve">0.5 (≈ Chamfer)</w:t>
            </w:r>
          </w:p>
        </w:tc>
        <w:tc>
          <w:tcPr/>
          <w:p>
            <w:pPr>
              <w:pStyle w:val="Compact"/>
              <w:jc w:val="center"/>
            </w:pPr>
            <w:r>
              <w:t xml:space="preserve">0.2539</w:t>
            </w:r>
          </w:p>
        </w:tc>
        <w:tc>
          <w:tcPr/>
          <w:p>
            <w:pPr>
              <w:pStyle w:val="Compact"/>
              <w:jc w:val="center"/>
            </w:pPr>
            <m:oMath>
              <m:r>
                <m:rPr>
                  <m:sty m:val="p"/>
                </m:rPr>
                <m:t>+</m:t>
              </m:r>
              <m:r>
                <m:t>1.2</m:t>
              </m:r>
              <m:r>
                <m:rPr>
                  <m:sty m:val="p"/>
                </m:rPr>
                <m:t>%</m:t>
              </m:r>
            </m:oMath>
          </w:p>
        </w:tc>
        <w:tc>
          <w:tcPr/>
          <w:p>
            <w:pPr>
              <w:pStyle w:val="Compact"/>
              <w:jc w:val="center"/>
            </w:pPr>
            <w:r>
              <w:t xml:space="preserve">0.4431</w:t>
            </w:r>
          </w:p>
        </w:tc>
        <w:tc>
          <w:tcPr/>
          <w:p>
            <w:pPr>
              <w:pStyle w:val="Compact"/>
              <w:jc w:val="center"/>
            </w:pPr>
            <m:oMath>
              <m:r>
                <m:rPr>
                  <m:sty m:val="p"/>
                </m:rPr>
                <m:t>−</m:t>
              </m:r>
              <m:r>
                <m:t>1.5</m:t>
              </m:r>
              <m:r>
                <m:rPr>
                  <m:sty m:val="p"/>
                </m:rPr>
                <m:t>%</m:t>
              </m:r>
            </m:oMath>
          </w:p>
        </w:tc>
      </w:tr>
      <w:tr>
        <w:tc>
          <w:tcPr/>
          <w:p>
            <w:pPr>
              <w:pStyle w:val="Compact"/>
              <w:jc w:val="center"/>
            </w:pPr>
            <w:r>
              <w:t xml:space="preserve">0.6</w:t>
            </w:r>
          </w:p>
        </w:tc>
        <w:tc>
          <w:tcPr/>
          <w:p>
            <w:pPr>
              <w:pStyle w:val="Compact"/>
              <w:jc w:val="center"/>
            </w:pPr>
            <w:r>
              <w:t xml:space="preserve">0.2567</w:t>
            </w:r>
          </w:p>
        </w:tc>
        <w:tc>
          <w:tcPr/>
          <w:p>
            <w:pPr>
              <w:pStyle w:val="Compact"/>
              <w:jc w:val="center"/>
            </w:pPr>
            <m:oMath>
              <m:r>
                <m:rPr>
                  <m:sty m:val="p"/>
                </m:rPr>
                <m:t>+</m:t>
              </m:r>
              <m:r>
                <m:t>2.3</m:t>
              </m:r>
              <m:r>
                <m:rPr>
                  <m:sty m:val="p"/>
                </m:rPr>
                <m:t>%</m:t>
              </m:r>
            </m:oMath>
          </w:p>
        </w:tc>
        <w:tc>
          <w:tcPr/>
          <w:p>
            <w:pPr>
              <w:pStyle w:val="Compact"/>
              <w:jc w:val="center"/>
            </w:pPr>
            <w:r>
              <w:t xml:space="preserve">0.4434</w:t>
            </w:r>
          </w:p>
        </w:tc>
        <w:tc>
          <w:tcPr/>
          <w:p>
            <w:pPr>
              <w:pStyle w:val="Compact"/>
              <w:jc w:val="center"/>
            </w:pPr>
            <m:oMath>
              <m:r>
                <m:rPr>
                  <m:sty m:val="p"/>
                </m:rPr>
                <m:t>−</m:t>
              </m:r>
              <m:r>
                <m:t>1.5</m:t>
              </m:r>
              <m:r>
                <m:rPr>
                  <m:sty m:val="p"/>
                </m:rPr>
                <m:t>%</m:t>
              </m:r>
            </m:oMath>
          </w:p>
        </w:tc>
      </w:tr>
      <w:tr>
        <w:tc>
          <w:tcPr/>
          <w:p>
            <w:pPr>
              <w:pStyle w:val="Compact"/>
              <w:jc w:val="center"/>
            </w:pPr>
            <w:r>
              <w:rPr>
                <w:bCs/>
                <w:b/>
              </w:rPr>
              <w:t xml:space="preserve">0.7</w:t>
            </w:r>
          </w:p>
        </w:tc>
        <w:tc>
          <w:tcPr/>
          <w:p>
            <w:pPr>
              <w:pStyle w:val="Compact"/>
              <w:jc w:val="center"/>
            </w:pPr>
            <w:r>
              <w:rPr>
                <w:bCs/>
                <w:b/>
              </w:rPr>
              <w:t xml:space="preserve">0.2588</w:t>
            </w:r>
          </w:p>
        </w:tc>
        <w:tc>
          <w:tcPr/>
          <w:p>
            <w:pPr>
              <w:pStyle w:val="Compact"/>
              <w:jc w:val="center"/>
            </w:pPr>
            <m:oMath>
              <m:r>
                <m:rPr>
                  <m:sty m:val="p"/>
                </m:rPr>
                <m:t>+</m:t>
              </m:r>
              <m:r>
                <m:t>3.2</m:t>
              </m:r>
              <m:r>
                <m:rPr>
                  <m:sty m:val="p"/>
                </m:rPr>
                <m:t>%</m:t>
              </m:r>
            </m:oMath>
          </w:p>
        </w:tc>
        <w:tc>
          <w:tcPr/>
          <w:p>
            <w:pPr>
              <w:pStyle w:val="Compact"/>
              <w:jc w:val="center"/>
            </w:pPr>
            <w:r>
              <w:t xml:space="preserve">0.4413</w:t>
            </w:r>
          </w:p>
        </w:tc>
        <w:tc>
          <w:tcPr/>
          <w:p>
            <w:pPr>
              <w:pStyle w:val="Compact"/>
              <w:jc w:val="center"/>
            </w:pPr>
            <m:oMath>
              <m:r>
                <m:rPr>
                  <m:sty m:val="p"/>
                </m:rPr>
                <m:t>−</m:t>
              </m:r>
              <m:r>
                <m:t>1.9</m:t>
              </m:r>
              <m:r>
                <m:rPr>
                  <m:sty m:val="p"/>
                </m:rPr>
                <m:t>%</m:t>
              </m:r>
            </m:oMath>
          </w:p>
        </w:tc>
      </w:tr>
      <w:tr>
        <w:tc>
          <w:tcPr/>
          <w:p>
            <w:pPr>
              <w:pStyle w:val="Compact"/>
              <w:jc w:val="center"/>
            </w:pPr>
            <w:r>
              <w:t xml:space="preserve">0.8</w:t>
            </w:r>
          </w:p>
        </w:tc>
        <w:tc>
          <w:tcPr/>
          <w:p>
            <w:pPr>
              <w:pStyle w:val="Compact"/>
              <w:jc w:val="center"/>
            </w:pPr>
            <w:r>
              <w:t xml:space="preserve">0.2578</w:t>
            </w:r>
          </w:p>
        </w:tc>
        <w:tc>
          <w:tcPr/>
          <w:p>
            <w:pPr>
              <w:pStyle w:val="Compact"/>
              <w:jc w:val="center"/>
            </w:pPr>
            <m:oMath>
              <m:r>
                <m:rPr>
                  <m:sty m:val="p"/>
                </m:rPr>
                <m:t>+</m:t>
              </m:r>
              <m:r>
                <m:t>2.8</m:t>
              </m:r>
              <m:r>
                <m:rPr>
                  <m:sty m:val="p"/>
                </m:rPr>
                <m:t>%</m:t>
              </m:r>
            </m:oMath>
          </w:p>
        </w:tc>
        <w:tc>
          <w:tcPr/>
          <w:p>
            <w:pPr>
              <w:pStyle w:val="Compact"/>
              <w:jc w:val="center"/>
            </w:pPr>
            <w:r>
              <w:t xml:space="preserve">0.4411</w:t>
            </w:r>
          </w:p>
        </w:tc>
        <w:tc>
          <w:tcPr/>
          <w:p>
            <w:pPr>
              <w:pStyle w:val="Compact"/>
              <w:jc w:val="center"/>
            </w:pPr>
            <m:oMath>
              <m:r>
                <m:rPr>
                  <m:sty m:val="p"/>
                </m:rPr>
                <m:t>−</m:t>
              </m:r>
              <m:r>
                <m:t>2.0</m:t>
              </m:r>
              <m:r>
                <m:rPr>
                  <m:sty m:val="p"/>
                </m:rPr>
                <m:t>%</m:t>
              </m:r>
            </m:oMath>
          </w:p>
        </w:tc>
      </w:tr>
      <w:tr>
        <w:tc>
          <w:tcPr/>
          <w:p>
            <w:pPr>
              <w:pStyle w:val="Compact"/>
              <w:jc w:val="center"/>
            </w:pPr>
            <w:r>
              <w:t xml:space="preserve">0.9</w:t>
            </w:r>
          </w:p>
        </w:tc>
        <w:tc>
          <w:tcPr/>
          <w:p>
            <w:pPr>
              <w:pStyle w:val="Compact"/>
              <w:jc w:val="center"/>
            </w:pPr>
            <w:r>
              <w:t xml:space="preserve">0.2546</w:t>
            </w:r>
          </w:p>
        </w:tc>
        <w:tc>
          <w:tcPr/>
          <w:p>
            <w:pPr>
              <w:pStyle w:val="Compact"/>
              <w:jc w:val="center"/>
            </w:pPr>
            <m:oMath>
              <m:r>
                <m:rPr>
                  <m:sty m:val="p"/>
                </m:rPr>
                <m:t>+</m:t>
              </m:r>
              <m:r>
                <m:t>1.5</m:t>
              </m:r>
              <m:r>
                <m:rPr>
                  <m:sty m:val="p"/>
                </m:rPr>
                <m:t>%</m:t>
              </m:r>
            </m:oMath>
          </w:p>
        </w:tc>
        <w:tc>
          <w:tcPr/>
          <w:p>
            <w:pPr>
              <w:pStyle w:val="Compact"/>
              <w:jc w:val="center"/>
            </w:pPr>
            <w:r>
              <w:t xml:space="preserve">0.4388</w:t>
            </w:r>
          </w:p>
        </w:tc>
        <w:tc>
          <w:tcPr/>
          <w:p>
            <w:pPr>
              <w:pStyle w:val="Compact"/>
              <w:jc w:val="center"/>
            </w:pPr>
            <m:oMath>
              <m:r>
                <m:rPr>
                  <m:sty m:val="p"/>
                </m:rPr>
                <m:t>−</m:t>
              </m:r>
              <m:r>
                <m:t>2.5</m:t>
              </m:r>
              <m:r>
                <m:rPr>
                  <m:sty m:val="p"/>
                </m:rPr>
                <m:t>%</m:t>
              </m:r>
            </m:oMath>
          </w:p>
        </w:tc>
      </w:tr>
      <w:tr>
        <w:tc>
          <w:tcPr/>
          <w:p>
            <w:pPr>
              <w:pStyle w:val="Compact"/>
              <w:jc w:val="center"/>
            </w:pPr>
            <w:r>
              <w:t xml:space="preserve">1.0 (pure MaxSim)</w:t>
            </w:r>
          </w:p>
        </w:tc>
        <w:tc>
          <w:tcPr/>
          <w:p>
            <w:pPr>
              <w:pStyle w:val="Compact"/>
              <w:jc w:val="center"/>
            </w:pPr>
            <w:r>
              <w:t xml:space="preserve">0.2535</w:t>
            </w:r>
          </w:p>
        </w:tc>
        <w:tc>
          <w:tcPr/>
          <w:p>
            <w:pPr>
              <w:pStyle w:val="Compact"/>
              <w:jc w:val="center"/>
            </w:pPr>
            <m:oMath>
              <m:r>
                <m:rPr>
                  <m:sty m:val="p"/>
                </m:rPr>
                <m:t>+</m:t>
              </m:r>
              <m:r>
                <m:t>1.1</m:t>
              </m:r>
              <m:r>
                <m:rPr>
                  <m:sty m:val="p"/>
                </m:rPr>
                <m:t>%</m:t>
              </m:r>
            </m:oMath>
          </w:p>
        </w:tc>
        <w:tc>
          <w:tcPr/>
          <w:p>
            <w:pPr>
              <w:pStyle w:val="Compact"/>
              <w:jc w:val="center"/>
            </w:pPr>
            <w:r>
              <w:t xml:space="preserve">0.4319</w:t>
            </w:r>
          </w:p>
        </w:tc>
        <w:tc>
          <w:tcPr/>
          <w:p>
            <w:pPr>
              <w:pStyle w:val="Compact"/>
              <w:jc w:val="center"/>
            </w:pPr>
            <m:oMath>
              <m:r>
                <m:rPr>
                  <m:sty m:val="p"/>
                </m:rPr>
                <m:t>−</m:t>
              </m:r>
              <m:r>
                <m:t>4.0</m:t>
              </m:r>
              <m:r>
                <m:rPr>
                  <m:sty m:val="p"/>
                </m:rPr>
                <m:t>%</m:t>
              </m:r>
            </m:oMath>
          </w:p>
        </w:tc>
      </w:tr>
    </w:tbl>
    <w:p>
      <w:pPr>
        <w:pStyle w:val="BodyText"/>
      </w:pPr>
      <w:r>
        <w:rPr>
          <w:iCs/>
          <w:i/>
        </w:rPr>
        <w:t xml:space="preserve">Baselines: NFCorpus Shape-CFD v4 = 0.2508; SciFact Shape-CFD v4 = 0.4500.</w:t>
      </w:r>
    </w:p>
    <w:p>
      <w:pPr>
        <w:pStyle w:val="BodyText"/>
      </w:pPr>
      <w:r>
        <w:t xml:space="preserve">The results reveal a striking</w:t>
      </w:r>
      <w:r>
        <w:t xml:space="preserve"> </w:t>
      </w:r>
      <w:r>
        <w:rPr>
          <w:iCs/>
          <w:i/>
        </w:rPr>
        <w:t xml:space="preserve">dataset-dependent divergence</w:t>
      </w:r>
      <w:r>
        <w:t xml:space="preserve">:</w:t>
      </w:r>
    </w:p>
    <w:p>
      <w:pPr>
        <w:numPr>
          <w:ilvl w:val="0"/>
          <w:numId w:val="1003"/>
        </w:numPr>
      </w:pPr>
      <w:r>
        <w:rPr>
          <w:bCs/>
          <w:b/>
        </w:rPr>
        <w:t xml:space="preserve">NFCorpus</w:t>
      </w:r>
      <w:r>
        <w:t xml:space="preserve"> </w:t>
      </w:r>
      <w:r>
        <w:t xml:space="preserve">(heterogeneous, multi-sentence biomedical documents): The</w:t>
      </w:r>
      <w:r>
        <w:t xml:space="preserve"> </w:t>
      </w:r>
      <m:oMath>
        <m:r>
          <m:t>α</m:t>
        </m:r>
      </m:oMath>
      <w:r>
        <w:t xml:space="preserve"> </w:t>
      </w:r>
      <w:r>
        <w:t xml:space="preserve">response follows an inverted-U curve with a peak at</w:t>
      </w:r>
      <w:r>
        <w:t xml:space="preserve"> </w:t>
      </w:r>
      <m:oMath>
        <m:r>
          <m:t>α</m:t>
        </m:r>
        <m:r>
          <m:rPr>
            <m:sty m:val="p"/>
          </m:rPr>
          <m:t>=</m:t>
        </m:r>
        <m:r>
          <m:t>0.7</m:t>
        </m:r>
      </m:oMath>
      <w:r>
        <w:t xml:space="preserve"> </w:t>
      </w:r>
      <w:r>
        <w:t xml:space="preserve">(</w:t>
      </w:r>
      <m:oMath>
        <m:r>
          <m:rPr>
            <m:sty m:val="p"/>
          </m:rPr>
          <m:t>+</m:t>
        </m:r>
        <m:r>
          <m:t>3.2</m:t>
        </m:r>
        <m:r>
          <m:rPr>
            <m:sty m:val="p"/>
          </m:rPr>
          <m:t>%</m:t>
        </m:r>
      </m:oMath>
      <w:r>
        <w:t xml:space="preserve">). MaxSim-dominated initialization penetrates the signal dilution caused by long, noisy documents, while the 30% MeanSim component provides a</w:t>
      </w:r>
      <w:r>
        <w:t xml:space="preserve"> </w:t>
      </w:r>
      <w:r>
        <w:t xml:space="preserve">“</w:t>
      </w:r>
      <w:r>
        <w:t xml:space="preserve">macroscopic gravity</w:t>
      </w:r>
      <w:r>
        <w:t xml:space="preserve">”</w:t>
      </w:r>
      <w:r>
        <w:t xml:space="preserve"> </w:t>
      </w:r>
      <w:r>
        <w:t xml:space="preserve">that prevents false-positive promotion.</w:t>
      </w:r>
    </w:p>
    <w:p>
      <w:pPr>
        <w:numPr>
          <w:ilvl w:val="0"/>
          <w:numId w:val="1003"/>
        </w:numPr>
      </w:pPr>
      <w:r>
        <w:rPr>
          <w:bCs/>
          <w:b/>
        </w:rPr>
        <w:t xml:space="preserve">SciFact</w:t>
      </w:r>
      <w:r>
        <w:t xml:space="preserve"> </w:t>
      </w:r>
      <w:r>
        <w:t xml:space="preserve">(homogeneous, short scientific abstracts): The response is</w:t>
      </w:r>
      <w:r>
        <w:t xml:space="preserve"> </w:t>
      </w:r>
      <w:r>
        <w:rPr>
          <w:iCs/>
          <w:i/>
        </w:rPr>
        <w:t xml:space="preserve">monotonically decreasing</w:t>
      </w:r>
      <w:r>
        <w:t xml:space="preserve">—the higher</w:t>
      </w:r>
      <w:r>
        <w:t xml:space="preserve"> </w:t>
      </w:r>
      <m:oMath>
        <m:r>
          <m:t>α</m:t>
        </m:r>
      </m:oMath>
      <w:r>
        <w:t xml:space="preserve"> </w:t>
      </w:r>
      <w:r>
        <w:t xml:space="preserve">is, the worse the performance, with pure MaxSim (</w:t>
      </w:r>
      <m:oMath>
        <m:r>
          <m:t>α</m:t>
        </m:r>
        <m:r>
          <m:rPr>
            <m:sty m:val="p"/>
          </m:rPr>
          <m:t>=</m:t>
        </m:r>
        <m:r>
          <m:t>1.0</m:t>
        </m:r>
      </m:oMath>
      <w:r>
        <w:t xml:space="preserve">) degrading by</w:t>
      </w:r>
      <w:r>
        <w:t xml:space="preserve"> </w:t>
      </w:r>
      <m:oMath>
        <m:r>
          <m:rPr>
            <m:sty m:val="p"/>
          </m:rPr>
          <m:t>−</m:t>
        </m:r>
        <m:r>
          <m:t>4.0</m:t>
        </m:r>
        <m:r>
          <m:rPr>
            <m:sty m:val="p"/>
          </m:rPr>
          <m:t>%</m:t>
        </m:r>
      </m:oMath>
      <w:r>
        <w:t xml:space="preserve">. In 3–5 sentence documents where every sentence is signal, MaxSim</w:t>
      </w:r>
      <w:r>
        <w:t xml:space="preserve"> </w:t>
      </w:r>
      <m:oMath>
        <m:r>
          <m:rPr>
            <m:sty m:val="p"/>
          </m:rPr>
          <m:t>≈</m:t>
        </m:r>
      </m:oMath>
      <w:r>
        <w:t xml:space="preserve"> </w:t>
      </w:r>
      <w:r>
        <w:t xml:space="preserve">MeanSim, so decoupling adds no information but introduces extreme-value</w:t>
      </w:r>
      <w:r>
        <w:t xml:space="preserve"> </w:t>
      </w:r>
      <w:r>
        <w:rPr>
          <w:iCs/>
          <w:i/>
        </w:rPr>
        <w:t xml:space="preserve">sampling noise</w:t>
      </w:r>
      <w:r>
        <w:t xml:space="preserve"> </w:t>
      </w:r>
      <w:r>
        <w:t xml:space="preserve">from picking a single sentence.</w:t>
      </w:r>
    </w:p>
    <w:p>
      <w:pPr>
        <w:pStyle w:val="FirstParagraph"/>
      </w:pPr>
      <w:r>
        <w:t xml:space="preserve">This asymmetry is analyzed theoretically in Section 5.4.</w:t>
      </w:r>
    </w:p>
    <w:bookmarkEnd w:id="42"/>
    <w:bookmarkEnd w:id="43"/>
    <w:bookmarkStart w:id="46" w:name="ablation-study"/>
    <w:p>
      <w:pPr>
        <w:pStyle w:val="Heading3"/>
      </w:pPr>
      <w:r>
        <w:t xml:space="preserve">4.4 Ablation Study</w:t>
      </w:r>
    </w:p>
    <w:bookmarkStart w:id="44" w:name="impact-of-the-shape-extension"/>
    <w:p>
      <w:pPr>
        <w:pStyle w:val="Heading4"/>
      </w:pPr>
      <w:r>
        <w:t xml:space="preserve">Impact of the Shape Extension</w:t>
      </w:r>
    </w:p>
    <w:p>
      <w:pPr>
        <w:pStyle w:val="FirstParagraph"/>
      </w:pPr>
      <w:r>
        <w:t xml:space="preserve">We isolate the contribution of the shape (point cloud) representation by comparing three configurations on the BEIR datasets:</w:t>
      </w:r>
    </w:p>
    <w:tbl>
      <w:tblPr>
        <w:tblStyle w:val="Table"/>
        <w:tblW w:type="pct" w:w="5000"/>
        <w:tblLook w:firstRow="1" w:lastRow="0" w:firstColumn="0" w:lastColumn="0" w:noHBand="0" w:noVBand="0" w:val="0020"/>
        <w:jc w:val="start"/>
      </w:tblPr>
      <w:tblGrid>
        <w:gridCol w:w="2132"/>
        <w:gridCol w:w="1370"/>
        <w:gridCol w:w="1523"/>
        <w:gridCol w:w="913"/>
        <w:gridCol w:w="1980"/>
      </w:tblGrid>
      <w:tr>
        <w:trPr>
          <w:tblHeader w:val="true"/>
        </w:trPr>
        <w:tc>
          <w:tcPr/>
          <w:p>
            <w:pPr>
              <w:pStyle w:val="Compact"/>
              <w:jc w:val="left"/>
            </w:pPr>
            <w:r>
              <w:t xml:space="preserve">Configuration</w:t>
            </w:r>
          </w:p>
        </w:tc>
        <w:tc>
          <w:tcPr/>
          <w:p>
            <w:pPr>
              <w:pStyle w:val="Compact"/>
              <w:jc w:val="right"/>
            </w:pPr>
            <w:r>
              <w:t xml:space="preserve">SciFact</w:t>
            </w:r>
          </w:p>
        </w:tc>
        <w:tc>
          <w:tcPr/>
          <w:p>
            <w:pPr>
              <w:pStyle w:val="Compact"/>
              <w:jc w:val="right"/>
            </w:pPr>
            <w:r>
              <w:t xml:space="preserve">NFCorpus</w:t>
            </w:r>
          </w:p>
        </w:tc>
        <w:tc>
          <w:tcPr/>
          <w:p>
            <w:pPr>
              <w:pStyle w:val="Compact"/>
              <w:jc w:val="right"/>
            </w:pPr>
            <w:r>
              <w:t xml:space="preserve">FiQA</w:t>
            </w:r>
          </w:p>
        </w:tc>
        <w:tc>
          <w:tcPr/>
          <w:p>
            <w:pPr>
              <w:pStyle w:val="Compact"/>
              <w:jc w:val="left"/>
            </w:pPr>
            <w:r>
              <w:t xml:space="preserve">Description</w:t>
            </w:r>
          </w:p>
        </w:tc>
      </w:tr>
      <w:tr>
        <w:tc>
          <w:tcPr/>
          <w:p>
            <w:pPr>
              <w:pStyle w:val="Compact"/>
              <w:jc w:val="left"/>
            </w:pPr>
            <w:r>
              <w:t xml:space="preserve">Cosine (no PDE)</w:t>
            </w:r>
          </w:p>
        </w:tc>
        <w:tc>
          <w:tcPr/>
          <w:p>
            <w:pPr>
              <w:pStyle w:val="Compact"/>
              <w:jc w:val="right"/>
            </w:pPr>
            <w:r>
              <w:t xml:space="preserve">0.4701</w:t>
            </w:r>
          </w:p>
        </w:tc>
        <w:tc>
          <w:tcPr/>
          <w:p>
            <w:pPr>
              <w:pStyle w:val="Compact"/>
              <w:jc w:val="right"/>
            </w:pPr>
            <w:r>
              <w:t xml:space="preserve">0.2209</w:t>
            </w:r>
          </w:p>
        </w:tc>
        <w:tc>
          <w:tcPr/>
          <w:p>
            <w:pPr>
              <w:pStyle w:val="Compact"/>
              <w:jc w:val="right"/>
            </w:pPr>
            <w:r>
              <w:t xml:space="preserve">0.1683</w:t>
            </w:r>
          </w:p>
        </w:tc>
        <w:tc>
          <w:tcPr/>
          <w:p>
            <w:pPr>
              <w:pStyle w:val="Compact"/>
              <w:jc w:val="left"/>
            </w:pPr>
            <w:r>
              <w:t xml:space="preserve">No graph dynamics</w:t>
            </w:r>
          </w:p>
        </w:tc>
      </w:tr>
      <w:tr>
        <w:tc>
          <w:tcPr/>
          <w:p>
            <w:pPr>
              <w:pStyle w:val="Compact"/>
              <w:jc w:val="left"/>
            </w:pPr>
            <w:r>
              <w:t xml:space="preserve">AD-Rank v2 (point PDE)</w:t>
            </w:r>
          </w:p>
        </w:tc>
        <w:tc>
          <w:tcPr/>
          <w:p>
            <w:pPr>
              <w:pStyle w:val="Compact"/>
              <w:jc w:val="right"/>
            </w:pPr>
            <w:r>
              <w:t xml:space="preserve">0.4753</w:t>
            </w:r>
          </w:p>
        </w:tc>
        <w:tc>
          <w:tcPr/>
          <w:p>
            <w:pPr>
              <w:pStyle w:val="Compact"/>
              <w:jc w:val="right"/>
            </w:pPr>
            <w:r>
              <w:t xml:space="preserve">0.2398</w:t>
            </w:r>
          </w:p>
        </w:tc>
        <w:tc>
          <w:tcPr/>
          <w:p>
            <w:pPr>
              <w:pStyle w:val="Compact"/>
              <w:jc w:val="right"/>
            </w:pPr>
            <w:r>
              <w:t xml:space="preserve">0.1683</w:t>
            </w:r>
          </w:p>
        </w:tc>
        <w:tc>
          <w:tcPr/>
          <w:p>
            <w:pPr>
              <w:pStyle w:val="Compact"/>
              <w:jc w:val="left"/>
            </w:pPr>
            <w:r>
              <w:t xml:space="preserve">Graph dynamics, point embeddings</w:t>
            </w:r>
          </w:p>
        </w:tc>
      </w:tr>
      <w:tr>
        <w:tc>
          <w:tcPr/>
          <w:p>
            <w:pPr>
              <w:pStyle w:val="Compact"/>
              <w:jc w:val="left"/>
            </w:pPr>
            <w:r>
              <w:t xml:space="preserve">Shape-CFD (shape PDE)</w:t>
            </w:r>
          </w:p>
        </w:tc>
        <w:tc>
          <w:tcPr/>
          <w:p>
            <w:pPr>
              <w:pStyle w:val="Compact"/>
              <w:jc w:val="right"/>
            </w:pPr>
            <w:r>
              <w:rPr>
                <w:bCs/>
                <w:b/>
              </w:rPr>
              <w:t xml:space="preserve">0.4820</w:t>
            </w:r>
          </w:p>
        </w:tc>
        <w:tc>
          <w:tcPr/>
          <w:p>
            <w:pPr>
              <w:pStyle w:val="Compact"/>
              <w:jc w:val="right"/>
            </w:pPr>
            <w:r>
              <w:rPr>
                <w:bCs/>
                <w:b/>
              </w:rPr>
              <w:t xml:space="preserve">0.2684</w:t>
            </w:r>
          </w:p>
        </w:tc>
        <w:tc>
          <w:tcPr/>
          <w:p>
            <w:pPr>
              <w:pStyle w:val="Compact"/>
              <w:jc w:val="right"/>
            </w:pPr>
            <w:r>
              <w:t xml:space="preserve">0.1683</w:t>
            </w:r>
          </w:p>
        </w:tc>
        <w:tc>
          <w:tcPr/>
          <w:p>
            <w:pPr>
              <w:pStyle w:val="Compact"/>
              <w:jc w:val="left"/>
            </w:pPr>
            <w:r>
              <w:t xml:space="preserve">Graph dynamics, point clouds</w:t>
            </w:r>
          </w:p>
        </w:tc>
      </w:tr>
    </w:tbl>
    <w:p>
      <w:pPr>
        <w:pStyle w:val="BodyText"/>
      </w:pPr>
      <w:r>
        <w:t xml:space="preserve">The shape extension provides the marginal gain over AD-Rank v2: +1.4% on SciFact, +11.9% on NFCorpus. The FiQA null result confirms the hypothesis: the shape extension is</w:t>
      </w:r>
      <w:r>
        <w:t xml:space="preserve"> </w:t>
      </w:r>
      <w:r>
        <w:rPr>
          <w:iCs/>
          <w:i/>
        </w:rPr>
        <w:t xml:space="preserve">selectively beneficial</w:t>
      </w:r>
      <w:r>
        <w:t xml:space="preserve">, activating only when documents contain multi-sentence structure. This dataset-adaptive behavior is a strength, not a limitation—it ensures no degradation on short-document corpora.</w:t>
      </w:r>
    </w:p>
    <w:bookmarkEnd w:id="44"/>
    <w:bookmarkStart w:id="45" w:name="péclet-number-sensitivity"/>
    <w:p>
      <w:pPr>
        <w:pStyle w:val="Heading4"/>
      </w:pPr>
      <w:r>
        <w:t xml:space="preserve">Péclet Number Sensitivity</w:t>
      </w:r>
    </w:p>
    <w:p>
      <w:pPr>
        <w:pStyle w:val="FirstParagraph"/>
      </w:pPr>
      <w:r>
        <w:t xml:space="preserve">We vary the advection strength</w:t>
      </w:r>
      <w:r>
        <w:t xml:space="preserve"> </w:t>
      </w:r>
      <m:oMath>
        <m:sSub>
          <m:e>
            <m:r>
              <m:t>u</m:t>
            </m:r>
          </m:e>
          <m:sub>
            <m:r>
              <m:rPr>
                <m:nor/>
                <m:sty m:val="p"/>
              </m:rPr>
              <m:t>strength</m:t>
            </m:r>
          </m:sub>
        </m:sSub>
        <m:r>
          <m:rPr>
            <m:sty m:val="p"/>
          </m:rPr>
          <m:t>∈</m:t>
        </m:r>
        <m:r>
          <m:rPr>
            <m:sty m:val="p"/>
          </m:rPr>
          <m:t>{</m:t>
        </m:r>
        <m:r>
          <m:t>0</m:t>
        </m:r>
        <m:r>
          <m:rPr>
            <m:sty m:val="p"/>
          </m:rPr>
          <m:t>,</m:t>
        </m:r>
        <m:r>
          <m:t>0.05</m:t>
        </m:r>
        <m:r>
          <m:rPr>
            <m:sty m:val="p"/>
          </m:rPr>
          <m:t>,</m:t>
        </m:r>
        <m:r>
          <m:t>0.1</m:t>
        </m:r>
        <m:r>
          <m:rPr>
            <m:sty m:val="p"/>
          </m:rPr>
          <m:t>,</m:t>
        </m:r>
        <m:r>
          <m:t>0.2</m:t>
        </m:r>
        <m:r>
          <m:rPr>
            <m:sty m:val="p"/>
          </m:rPr>
          <m:t>,</m:t>
        </m:r>
        <m:r>
          <m:t>0.5</m:t>
        </m:r>
        <m:r>
          <m:rPr>
            <m:sty m:val="p"/>
          </m:rPr>
          <m:t>,</m:t>
        </m:r>
        <m:r>
          <m:t>1.0</m:t>
        </m:r>
        <m:r>
          <m:rPr>
            <m:sty m:val="p"/>
          </m:rPr>
          <m:t>}</m:t>
        </m:r>
      </m:oMath>
      <w:r>
        <w:t xml:space="preserve"> </w:t>
      </w:r>
      <w:r>
        <w:t xml:space="preserve">while fixing</w:t>
      </w:r>
      <w:r>
        <w:t xml:space="preserve"> </w:t>
      </w:r>
      <m:oMath>
        <m:r>
          <m:t>D</m:t>
        </m:r>
        <m:r>
          <m:rPr>
            <m:sty m:val="p"/>
          </m:rPr>
          <m:t>=</m:t>
        </m:r>
        <m:r>
          <m:t>0.15</m:t>
        </m:r>
      </m:oMath>
      <w:r>
        <w:t xml:space="preserve"> </w:t>
      </w:r>
      <w:r>
        <w:t xml:space="preserve">on the LawVein dataset: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center"/>
            </w:pPr>
            <m:oMath>
              <m:sSub>
                <m:e>
                  <m:r>
                    <m:t>u</m:t>
                  </m:r>
                </m:e>
                <m:sub>
                  <m:r>
                    <m:rPr>
                      <m:nor/>
                      <m:sty m:val="p"/>
                    </m:rPr>
                    <m:t>strength</m:t>
                  </m:r>
                </m:sub>
              </m:sSub>
            </m:oMath>
          </w:p>
        </w:tc>
        <w:tc>
          <w:tcPr/>
          <w:p>
            <w:pPr>
              <w:pStyle w:val="Compact"/>
              <w:jc w:val="center"/>
            </w:pPr>
            <w:r>
              <w:t xml:space="preserve">Pe</w:t>
            </w:r>
          </w:p>
        </w:tc>
        <w:tc>
          <w:tcPr/>
          <w:p>
            <w:pPr>
              <w:pStyle w:val="Compact"/>
              <w:jc w:val="center"/>
            </w:pPr>
            <w:r>
              <w:t xml:space="preserve">Convergence</w:t>
            </w:r>
          </w:p>
        </w:tc>
        <w:tc>
          <w:tcPr/>
          <w:p>
            <w:pPr>
              <w:pStyle w:val="Compact"/>
              <w:jc w:val="center"/>
            </w:pPr>
            <w:r>
              <w:t xml:space="preserve">Blind Score</w:t>
            </w:r>
          </w:p>
        </w:tc>
        <w:tc>
          <w:tcPr/>
          <w:p>
            <w:pPr>
              <w:pStyle w:val="Compact"/>
              <w:jc w:val="center"/>
            </w:pPr>
            <w:r>
              <w:t xml:space="preserve">Ranking</w:t>
            </w:r>
          </w:p>
        </w:tc>
      </w:tr>
      <w:tr>
        <w:tc>
          <w:tcPr/>
          <w:p>
            <w:pPr>
              <w:pStyle w:val="Compact"/>
              <w:jc w:val="center"/>
            </w:pPr>
            <w:r>
              <w:t xml:space="preserve">0.00</w:t>
            </w:r>
          </w:p>
        </w:tc>
        <w:tc>
          <w:tcPr/>
          <w:p>
            <w:pPr>
              <w:pStyle w:val="Compact"/>
              <w:jc w:val="center"/>
            </w:pPr>
            <w:r>
              <w:t xml:space="preserve">0.000</w:t>
            </w:r>
          </w:p>
        </w:tc>
        <w:tc>
          <w:tcPr/>
          <w:p>
            <w:pPr>
              <w:pStyle w:val="Compact"/>
              <w:jc w:val="center"/>
            </w:pPr>
            <w:r>
              <w:t xml:space="preserve">✓</w:t>
            </w:r>
          </w:p>
        </w:tc>
        <w:tc>
          <w:tcPr/>
          <w:p>
            <w:pPr>
              <w:pStyle w:val="Compact"/>
              <w:jc w:val="center"/>
            </w:pPr>
            <w:r>
              <w:t xml:space="preserve">3.1</w:t>
            </w:r>
          </w:p>
        </w:tc>
        <w:tc>
          <w:tcPr/>
          <w:p>
            <w:pPr>
              <w:pStyle w:val="Compact"/>
              <w:jc w:val="center"/>
            </w:pPr>
            <w:r>
              <w:t xml:space="preserve">Pure diffusion</w:t>
            </w:r>
          </w:p>
        </w:tc>
      </w:tr>
      <w:tr>
        <w:tc>
          <w:tcPr/>
          <w:p>
            <w:pPr>
              <w:pStyle w:val="Compact"/>
              <w:jc w:val="center"/>
            </w:pPr>
            <w:r>
              <w:t xml:space="preserve">0.05</w:t>
            </w:r>
          </w:p>
        </w:tc>
        <w:tc>
          <w:tcPr/>
          <w:p>
            <w:pPr>
              <w:pStyle w:val="Compact"/>
              <w:jc w:val="center"/>
            </w:pPr>
            <w:r>
              <w:t xml:space="preserve">0.033</w:t>
            </w:r>
          </w:p>
        </w:tc>
        <w:tc>
          <w:tcPr/>
          <w:p>
            <w:pPr>
              <w:pStyle w:val="Compact"/>
              <w:jc w:val="center"/>
            </w:pPr>
            <w:r>
              <w:t xml:space="preserve">✓</w:t>
            </w:r>
          </w:p>
        </w:tc>
        <w:tc>
          <w:tcPr/>
          <w:p>
            <w:pPr>
              <w:pStyle w:val="Compact"/>
              <w:jc w:val="center"/>
            </w:pPr>
            <w:r>
              <w:t xml:space="preserve">3.2</w:t>
            </w:r>
          </w:p>
        </w:tc>
        <w:tc>
          <w:tcPr/>
          <w:p>
            <w:pPr>
              <w:pStyle w:val="Compact"/>
              <w:jc w:val="center"/>
            </w:pPr>
            <w:r>
              <w:t xml:space="preserve">Under-advected</w:t>
            </w:r>
          </w:p>
        </w:tc>
      </w:tr>
      <w:tr>
        <w:tc>
          <w:tcPr/>
          <w:p>
            <w:pPr>
              <w:pStyle w:val="Compact"/>
              <w:jc w:val="center"/>
            </w:pPr>
            <w:r>
              <w:rPr>
                <w:bCs/>
                <w:b/>
              </w:rPr>
              <w:t xml:space="preserve">0.10</w:t>
            </w:r>
          </w:p>
        </w:tc>
        <w:tc>
          <w:tcPr/>
          <w:p>
            <w:pPr>
              <w:pStyle w:val="Compact"/>
              <w:jc w:val="center"/>
            </w:pPr>
            <w:r>
              <w:rPr>
                <w:bCs/>
                <w:b/>
              </w:rPr>
              <w:t xml:space="preserve">0.065</w:t>
            </w:r>
          </w:p>
        </w:tc>
        <w:tc>
          <w:tcPr/>
          <w:p>
            <w:pPr>
              <w:pStyle w:val="Compact"/>
              <w:jc w:val="center"/>
            </w:pPr>
            <w:r>
              <w:rPr>
                <w:bCs/>
                <w:b/>
              </w:rPr>
              <w:t xml:space="preserve">✓</w:t>
            </w:r>
          </w:p>
        </w:tc>
        <w:tc>
          <w:tcPr/>
          <w:p>
            <w:pPr>
              <w:pStyle w:val="Compact"/>
              <w:jc w:val="center"/>
            </w:pPr>
            <w:r>
              <w:rPr>
                <w:bCs/>
                <w:b/>
              </w:rPr>
              <w:t xml:space="preserve">3.4</w:t>
            </w:r>
          </w:p>
        </w:tc>
        <w:tc>
          <w:tcPr/>
          <w:p>
            <w:pPr>
              <w:pStyle w:val="Compact"/>
              <w:jc w:val="center"/>
            </w:pPr>
            <w:r>
              <w:rPr>
                <w:bCs/>
                <w:b/>
              </w:rPr>
              <w:t xml:space="preserve">Optimal</w:t>
            </w:r>
          </w:p>
        </w:tc>
      </w:tr>
      <w:tr>
        <w:tc>
          <w:tcPr/>
          <w:p>
            <w:pPr>
              <w:pStyle w:val="Compact"/>
              <w:jc w:val="center"/>
            </w:pPr>
            <w:r>
              <w:t xml:space="preserve">0.20</w:t>
            </w:r>
          </w:p>
        </w:tc>
        <w:tc>
          <w:tcPr/>
          <w:p>
            <w:pPr>
              <w:pStyle w:val="Compact"/>
              <w:jc w:val="center"/>
            </w:pPr>
            <w:r>
              <w:t xml:space="preserve">0.130</w:t>
            </w:r>
          </w:p>
        </w:tc>
        <w:tc>
          <w:tcPr/>
          <w:p>
            <w:pPr>
              <w:pStyle w:val="Compact"/>
              <w:jc w:val="center"/>
            </w:pPr>
            <w:r>
              <w:t xml:space="preserve">✓</w:t>
            </w:r>
          </w:p>
        </w:tc>
        <w:tc>
          <w:tcPr/>
          <w:p>
            <w:pPr>
              <w:pStyle w:val="Compact"/>
              <w:jc w:val="center"/>
            </w:pPr>
            <w:r>
              <w:t xml:space="preserve">3.1</w:t>
            </w:r>
          </w:p>
        </w:tc>
        <w:tc>
          <w:tcPr/>
          <w:p>
            <w:pPr>
              <w:pStyle w:val="Compact"/>
              <w:jc w:val="center"/>
            </w:pPr>
            <w:r>
              <w:t xml:space="preserve">Over-advected</w:t>
            </w:r>
          </w:p>
        </w:tc>
      </w:tr>
      <w:tr>
        <w:tc>
          <w:tcPr/>
          <w:p>
            <w:pPr>
              <w:pStyle w:val="Compact"/>
              <w:jc w:val="center"/>
            </w:pPr>
            <w:r>
              <w:t xml:space="preserve">0.50</w:t>
            </w:r>
          </w:p>
        </w:tc>
        <w:tc>
          <w:tcPr/>
          <w:p>
            <w:pPr>
              <w:pStyle w:val="Compact"/>
              <w:jc w:val="center"/>
            </w:pPr>
            <w:r>
              <w:t xml:space="preserve">0.330</w:t>
            </w:r>
          </w:p>
        </w:tc>
        <w:tc>
          <w:tcPr/>
          <w:p>
            <w:pPr>
              <w:pStyle w:val="Compact"/>
              <w:jc w:val="center"/>
            </w:pPr>
            <w:r>
              <w:t xml:space="preserve">✗</w:t>
            </w:r>
          </w:p>
        </w:tc>
        <w:tc>
          <w:tcPr/>
          <w:p>
            <w:pPr>
              <w:pStyle w:val="Compact"/>
              <w:jc w:val="center"/>
            </w:pPr>
            <w:r>
              <w:t xml:space="preserve">2.8</w:t>
            </w:r>
          </w:p>
        </w:tc>
        <w:tc>
          <w:tcPr/>
          <w:p>
            <w:pPr>
              <w:pStyle w:val="Compact"/>
              <w:jc w:val="center"/>
            </w:pPr>
            <w:r>
              <w:t xml:space="preserve">Non-convergent</w:t>
            </w:r>
          </w:p>
        </w:tc>
      </w:tr>
      <w:tr>
        <w:tc>
          <w:tcPr/>
          <w:p>
            <w:pPr>
              <w:pStyle w:val="Compact"/>
              <w:jc w:val="center"/>
            </w:pPr>
            <w:r>
              <w:t xml:space="preserve">1.00</w:t>
            </w:r>
          </w:p>
        </w:tc>
        <w:tc>
          <w:tcPr/>
          <w:p>
            <w:pPr>
              <w:pStyle w:val="Compact"/>
              <w:jc w:val="center"/>
            </w:pPr>
            <w:r>
              <w:t xml:space="preserve">0.650</w:t>
            </w:r>
          </w:p>
        </w:tc>
        <w:tc>
          <w:tcPr/>
          <w:p>
            <w:pPr>
              <w:pStyle w:val="Compact"/>
              <w:jc w:val="center"/>
            </w:pPr>
            <w:r>
              <w:t xml:space="preserve">✗</w:t>
            </w:r>
          </w:p>
        </w:tc>
        <w:tc>
          <w:tcPr/>
          <w:p>
            <w:pPr>
              <w:pStyle w:val="Compact"/>
              <w:jc w:val="center"/>
            </w:pPr>
            <w:r>
              <w:t xml:space="preserve">2.3</w:t>
            </w:r>
          </w:p>
        </w:tc>
        <w:tc>
          <w:tcPr/>
          <w:p>
            <w:pPr>
              <w:pStyle w:val="Compact"/>
              <w:jc w:val="center"/>
            </w:pPr>
            <w:r>
              <w:t xml:space="preserve">Divergent</w:t>
            </w:r>
          </w:p>
        </w:tc>
      </w:tr>
    </w:tbl>
    <w:p>
      <w:pPr>
        <w:pStyle w:val="BodyText"/>
      </w:pPr>
      <w:r>
        <w:t xml:space="preserve">The optimal operating point is at</w:t>
      </w:r>
      <w:r>
        <w:t xml:space="preserve"> </w:t>
      </w:r>
      <m:oMath>
        <m:r>
          <m:rPr>
            <m:nor/>
            <m:sty m:val="p"/>
          </m:rPr>
          <m:t>Pe</m:t>
        </m:r>
        <m:r>
          <m:rPr>
            <m:sty m:val="p"/>
          </m:rPr>
          <m:t>≈</m:t>
        </m:r>
        <m:r>
          <m:t>0.065</m:t>
        </m:r>
      </m:oMath>
      <w:r>
        <w:t xml:space="preserve">, in the weakly advective regime. This result is robust across queries: the</w:t>
      </w:r>
      <w:r>
        <w:t xml:space="preserve"> </w:t>
      </w:r>
      <m:oMath>
        <m:sSub>
          <m:e>
            <m:r>
              <m:t>u</m:t>
            </m:r>
          </m:e>
          <m:sub>
            <m:r>
              <m:rPr>
                <m:nor/>
                <m:sty m:val="p"/>
              </m:rPr>
              <m:t>strength</m:t>
            </m:r>
          </m:sub>
        </m:sSub>
        <m:r>
          <m:rPr>
            <m:sty m:val="p"/>
          </m:rPr>
          <m:t>=</m:t>
        </m:r>
        <m:r>
          <m:t>0.1</m:t>
        </m:r>
      </m:oMath>
      <w:r>
        <w:t xml:space="preserve"> </w:t>
      </w:r>
      <w:r>
        <w:t xml:space="preserve">configuration achieves 100% convergence while consistently outperforming both pure diffusion (</w:t>
      </w:r>
      <m:oMath>
        <m:r>
          <m:t>u</m:t>
        </m:r>
        <m:r>
          <m:rPr>
            <m:sty m:val="p"/>
          </m:rPr>
          <m:t>=</m:t>
        </m:r>
        <m:r>
          <m:t>0</m:t>
        </m:r>
      </m:oMath>
      <w:r>
        <w:t xml:space="preserve">) and stronger advection variants.</w:t>
      </w:r>
    </w:p>
    <w:bookmarkEnd w:id="45"/>
    <w:bookmarkEnd w:id="46"/>
    <w:bookmarkStart w:id="47" w:name="latency-analysis"/>
    <w:p>
      <w:pPr>
        <w:pStyle w:val="Heading3"/>
      </w:pPr>
      <w:r>
        <w:t xml:space="preserve">4.5 Latency Analysis</w:t>
      </w:r>
    </w:p>
    <w:p>
      <w:pPr>
        <w:pStyle w:val="FirstParagraph"/>
      </w:pPr>
      <w:r>
        <w:t xml:space="preserve">End-to-end latency measurements on a single-core AMD EPYC (Zen 4, 4.2 GHz):</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center"/>
            </w:pPr>
            <w:r>
              <w:t xml:space="preserve">AD-Rank v2</w:t>
            </w:r>
          </w:p>
        </w:tc>
        <w:tc>
          <w:tcPr/>
          <w:p>
            <w:pPr>
              <w:pStyle w:val="Compact"/>
              <w:jc w:val="center"/>
            </w:pPr>
            <w:r>
              <w:t xml:space="preserve">Shape-CFD</w:t>
            </w:r>
          </w:p>
        </w:tc>
      </w:tr>
      <w:tr>
        <w:tc>
          <w:tcPr/>
          <w:p>
            <w:pPr>
              <w:pStyle w:val="Compact"/>
              <w:jc w:val="left"/>
            </w:pPr>
            <w:r>
              <w:t xml:space="preserve">HNSW retrieval (30 candidates)</w:t>
            </w:r>
          </w:p>
        </w:tc>
        <w:tc>
          <w:tcPr/>
          <w:p>
            <w:pPr>
              <w:pStyle w:val="Compact"/>
              <w:jc w:val="center"/>
            </w:pPr>
            <w:r>
              <w:t xml:space="preserve">1.2 ms</w:t>
            </w:r>
          </w:p>
        </w:tc>
        <w:tc>
          <w:tcPr/>
          <w:p>
            <w:pPr>
              <w:pStyle w:val="Compact"/>
              <w:jc w:val="center"/>
            </w:pPr>
            <w:r>
              <w:t xml:space="preserve">1.2 ms</w:t>
            </w:r>
          </w:p>
        </w:tc>
      </w:tr>
      <w:tr>
        <w:tc>
          <w:tcPr/>
          <w:p>
            <w:pPr>
              <w:pStyle w:val="Compact"/>
              <w:jc w:val="left"/>
            </w:pPr>
            <w:r>
              <w:t xml:space="preserve">Sentence embedding (API)</w:t>
            </w:r>
          </w:p>
        </w:tc>
        <w:tc>
          <w:tcPr/>
          <w:p>
            <w:pPr>
              <w:pStyle w:val="Compact"/>
              <w:jc w:val="center"/>
            </w:pPr>
            <w:r>
              <w:t xml:space="preserve">—</w:t>
            </w:r>
          </w:p>
        </w:tc>
        <w:tc>
          <w:tcPr/>
          <w:p>
            <w:pPr>
              <w:pStyle w:val="Compact"/>
              <w:jc w:val="center"/>
            </w:pPr>
            <w:r>
              <w:t xml:space="preserve">1,815 ms (uncached)</w:t>
            </w:r>
          </w:p>
        </w:tc>
      </w:tr>
      <w:tr>
        <w:tc>
          <w:tcPr/>
          <w:p>
            <w:pPr>
              <w:pStyle w:val="Compact"/>
              <w:jc w:val="left"/>
            </w:pPr>
            <w:r>
              <w:t xml:space="preserve">JL projection + caching</w:t>
            </w:r>
          </w:p>
        </w:tc>
        <w:tc>
          <w:tcPr/>
          <w:p>
            <w:pPr>
              <w:pStyle w:val="Compact"/>
              <w:jc w:val="center"/>
            </w:pPr>
            <w:r>
              <w:t xml:space="preserve">—</w:t>
            </w:r>
          </w:p>
        </w:tc>
        <w:tc>
          <w:tcPr/>
          <w:p>
            <w:pPr>
              <w:pStyle w:val="Compact"/>
              <w:jc w:val="center"/>
            </w:pPr>
            <w:r>
              <w:t xml:space="preserve">0.3 ms (cached)</w:t>
            </w:r>
          </w:p>
        </w:tc>
      </w:tr>
      <w:tr>
        <w:tc>
          <w:tcPr/>
          <w:p>
            <w:pPr>
              <w:pStyle w:val="Compact"/>
              <w:jc w:val="left"/>
            </w:pPr>
            <w:r>
              <w:t xml:space="preserve">Graph construction</w:t>
            </w:r>
          </w:p>
        </w:tc>
        <w:tc>
          <w:tcPr/>
          <w:p>
            <w:pPr>
              <w:pStyle w:val="Compact"/>
              <w:jc w:val="center"/>
            </w:pPr>
            <w:r>
              <w:t xml:space="preserve">0.4 ms</w:t>
            </w:r>
          </w:p>
        </w:tc>
        <w:tc>
          <w:tcPr/>
          <w:p>
            <w:pPr>
              <w:pStyle w:val="Compact"/>
              <w:jc w:val="center"/>
            </w:pPr>
            <w:r>
              <w:t xml:space="preserve">2.1 ms</w:t>
            </w:r>
          </w:p>
        </w:tc>
      </w:tr>
      <w:tr>
        <w:tc>
          <w:tcPr/>
          <w:p>
            <w:pPr>
              <w:pStyle w:val="Compact"/>
              <w:jc w:val="left"/>
            </w:pPr>
            <w:r>
              <w:t xml:space="preserve">CFD solving (30-50 iterations)</w:t>
            </w:r>
          </w:p>
        </w:tc>
        <w:tc>
          <w:tcPr/>
          <w:p>
            <w:pPr>
              <w:pStyle w:val="Compact"/>
              <w:jc w:val="center"/>
            </w:pPr>
            <w:r>
              <w:t xml:space="preserve">1.0 ms</w:t>
            </w:r>
          </w:p>
        </w:tc>
        <w:tc>
          <w:tcPr/>
          <w:p>
            <w:pPr>
              <w:pStyle w:val="Compact"/>
              <w:jc w:val="center"/>
            </w:pPr>
            <w:r>
              <w:t xml:space="preserve">1.5 ms</w:t>
            </w:r>
          </w:p>
        </w:tc>
      </w:tr>
      <w:tr>
        <w:tc>
          <w:tcPr/>
          <w:p>
            <w:pPr>
              <w:pStyle w:val="Compact"/>
              <w:jc w:val="left"/>
            </w:pPr>
            <w:r>
              <w:rPr>
                <w:bCs/>
                <w:b/>
              </w:rPr>
              <w:t xml:space="preserve">Total (cached)</w:t>
            </w:r>
          </w:p>
        </w:tc>
        <w:tc>
          <w:tcPr/>
          <w:p>
            <w:pPr>
              <w:pStyle w:val="Compact"/>
              <w:jc w:val="center"/>
            </w:pPr>
            <w:r>
              <w:rPr>
                <w:bCs/>
                <w:b/>
              </w:rPr>
              <w:t xml:space="preserve">2.6 ms</w:t>
            </w:r>
          </w:p>
        </w:tc>
        <w:tc>
          <w:tcPr/>
          <w:p>
            <w:pPr>
              <w:pStyle w:val="Compact"/>
              <w:jc w:val="center"/>
            </w:pPr>
            <w:r>
              <w:rPr>
                <w:bCs/>
                <w:b/>
              </w:rPr>
              <w:t xml:space="preserve">5.1 ms</w:t>
            </w:r>
          </w:p>
        </w:tc>
      </w:tr>
      <w:tr>
        <w:tc>
          <w:tcPr/>
          <w:p>
            <w:pPr>
              <w:pStyle w:val="Compact"/>
              <w:jc w:val="left"/>
            </w:pPr>
            <w:r>
              <w:rPr>
                <w:bCs/>
                <w:b/>
              </w:rPr>
              <w:t xml:space="preserve">Total (with reranking overhead only)</w:t>
            </w:r>
          </w:p>
        </w:tc>
        <w:tc>
          <w:tcPr/>
          <w:p>
            <w:pPr>
              <w:pStyle w:val="Compact"/>
              <w:jc w:val="center"/>
            </w:pPr>
            <w:r>
              <w:rPr>
                <w:bCs/>
                <w:b/>
              </w:rPr>
              <w:t xml:space="preserve">1.4 ms</w:t>
            </w:r>
          </w:p>
        </w:tc>
        <w:tc>
          <w:tcPr/>
          <w:p>
            <w:pPr>
              <w:pStyle w:val="Compact"/>
              <w:jc w:val="center"/>
            </w:pPr>
            <w:r>
              <w:rPr>
                <w:bCs/>
                <w:b/>
              </w:rPr>
              <w:t xml:space="preserve">3.9 ms</w:t>
            </w:r>
          </w:p>
        </w:tc>
      </w:tr>
    </w:tbl>
    <w:p>
      <w:pPr>
        <w:pStyle w:val="BodyText"/>
      </w:pPr>
      <w:r>
        <w:rPr>
          <w:bCs/>
          <w:b/>
        </w:rPr>
        <w:t xml:space="preserve">Key observations:</w:t>
      </w:r>
      <w:r>
        <w:t xml:space="preserve"> </w:t>
      </w:r>
      <w:r>
        <w:t xml:space="preserve">(1) The raw PDE solving time is negligible (</w:t>
      </w:r>
      <m:oMath>
        <m:r>
          <m:rPr>
            <m:sty m:val="p"/>
          </m:rPr>
          <m:t>≤</m:t>
        </m:r>
        <m:r>
          <m:t>1.5</m:t>
        </m:r>
      </m:oMath>
      <w:r>
        <w:t xml:space="preserve"> </w:t>
      </w:r>
      <w:r>
        <w:t xml:space="preserve">ms), confirming that the algorithm’s computational core is extremely efficient for the problem scale (</w:t>
      </w:r>
      <m:oMath>
        <m:r>
          <m:t>N</m:t>
        </m:r>
        <m:r>
          <m:rPr>
            <m:sty m:val="p"/>
          </m:rPr>
          <m:t>=</m:t>
        </m:r>
        <m:r>
          <m:t>30</m:t>
        </m:r>
      </m:oMath>
      <w:r>
        <w:t xml:space="preserve">). (2) The primary bottleneck for Shape-CFD is the</w:t>
      </w:r>
      <w:r>
        <w:t xml:space="preserve"> </w:t>
      </w:r>
      <w:r>
        <w:rPr>
          <w:bCs/>
          <w:b/>
        </w:rPr>
        <w:t xml:space="preserve">one-time</w:t>
      </w:r>
      <w:r>
        <w:t xml:space="preserve"> </w:t>
      </w:r>
      <w:r>
        <w:t xml:space="preserve">sentence embedding cost (1,815 ms per document via API); once cached in SQLite, subsequent queries incur only the 0.3 ms projection lookup. (3) Both methods are approximately</w:t>
      </w:r>
      <w:r>
        <w:t xml:space="preserve"> </w:t>
      </w:r>
      <m:oMath>
        <m:r>
          <m:t>100</m:t>
        </m:r>
        <m:r>
          <m:t>​</m:t>
        </m:r>
        <m:r>
          <m:rPr>
            <m:sty m:val="p"/>
          </m:rPr>
          <m:t>×</m:t>
        </m:r>
      </m:oMath>
      <w:r>
        <w:t xml:space="preserve">–</w:t>
      </w:r>
      <m:oMath>
        <m:r>
          <m:t>200</m:t>
        </m:r>
        <m:r>
          <m:t>​</m:t>
        </m:r>
        <m:r>
          <m:rPr>
            <m:sty m:val="p"/>
          </m:rPr>
          <m:t>×</m:t>
        </m:r>
      </m:oMath>
      <w:r>
        <w:t xml:space="preserve"> </w:t>
      </w:r>
      <w:r>
        <w:t xml:space="preserve">faster than cross-encoder rerankers (500+ ms for</w:t>
      </w:r>
      <w:r>
        <w:t xml:space="preserve"> </w:t>
      </w:r>
      <m:oMath>
        <m:r>
          <m:t>N</m:t>
        </m:r>
        <m:r>
          <m:rPr>
            <m:sty m:val="p"/>
          </m:rPr>
          <m:t>=</m:t>
        </m:r>
        <m:r>
          <m:t>30</m:t>
        </m:r>
      </m:oMath>
      <w:r>
        <w:t xml:space="preserve">).</w:t>
      </w:r>
    </w:p>
    <w:p>
      <w:pPr>
        <w:pStyle w:val="BodyText"/>
      </w:pPr>
      <w:r>
        <w:rPr>
          <w:bCs/>
          <w:b/>
        </w:rPr>
        <w:t xml:space="preserve">Optimization trajectory.</w:t>
      </w:r>
      <w:r>
        <w:t xml:space="preserve"> </w:t>
      </w:r>
      <w:r>
        <w:t xml:space="preserve">Over the course of development, we achieved a cumulative</w:t>
      </w:r>
      <w:r>
        <w:t xml:space="preserve"> </w:t>
      </w:r>
      <m:oMath>
        <m:r>
          <m:t>300</m:t>
        </m:r>
        <m:r>
          <m:t>​</m:t>
        </m:r>
        <m:r>
          <m:rPr>
            <m:sty m:val="p"/>
          </m:rPr>
          <m:t>×</m:t>
        </m:r>
      </m:oMath>
      <w:r>
        <w:t xml:space="preserve"> </w:t>
      </w:r>
      <w:r>
        <w:t xml:space="preserve">speedup through five stages of optimization: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Stage</w:t>
            </w:r>
          </w:p>
        </w:tc>
        <w:tc>
          <w:tcPr/>
          <w:p>
            <w:pPr>
              <w:pStyle w:val="Compact"/>
              <w:jc w:val="center"/>
            </w:pPr>
            <w:r>
              <w:t xml:space="preserve">Latency</w:t>
            </w:r>
          </w:p>
        </w:tc>
        <w:tc>
          <w:tcPr/>
          <w:p>
            <w:pPr>
              <w:pStyle w:val="Compact"/>
              <w:jc w:val="left"/>
            </w:pPr>
            <w:r>
              <w:t xml:space="preserve">Optimization</w:t>
            </w:r>
          </w:p>
        </w:tc>
        <w:tc>
          <w:tcPr/>
          <w:p>
            <w:pPr>
              <w:pStyle w:val="Compact"/>
              <w:jc w:val="center"/>
            </w:pPr>
            <w:r>
              <w:t xml:space="preserve">Factor</w:t>
            </w:r>
          </w:p>
        </w:tc>
      </w:tr>
      <w:tr>
        <w:tc>
          <w:tcPr/>
          <w:p>
            <w:pPr>
              <w:pStyle w:val="Compact"/>
              <w:jc w:val="left"/>
            </w:pPr>
            <w:r>
              <w:t xml:space="preserve">v0 (baseline)</w:t>
            </w:r>
          </w:p>
        </w:tc>
        <w:tc>
          <w:tcPr/>
          <w:p>
            <w:pPr>
              <w:pStyle w:val="Compact"/>
              <w:jc w:val="center"/>
            </w:pPr>
            <w:r>
              <w:t xml:space="preserve">450 ms</w:t>
            </w:r>
          </w:p>
        </w:tc>
        <w:tc>
          <w:tcPr/>
          <w:p>
            <w:pPr>
              <w:pStyle w:val="Compact"/>
              <w:jc w:val="left"/>
            </w:pPr>
            <w:r>
              <w:t xml:space="preserve">No optimization</w:t>
            </w:r>
          </w:p>
        </w:tc>
        <w:tc>
          <w:tcPr/>
          <w:p>
            <w:pPr>
              <w:pStyle w:val="Compact"/>
              <w:jc w:val="center"/>
            </w:pPr>
            <w:r>
              <w:t xml:space="preserve">1×</w:t>
            </w:r>
          </w:p>
        </w:tc>
      </w:tr>
      <w:tr>
        <w:tc>
          <w:tcPr/>
          <w:p>
            <w:pPr>
              <w:pStyle w:val="Compact"/>
              <w:jc w:val="left"/>
            </w:pPr>
            <w:r>
              <w:t xml:space="preserve">v1</w:t>
            </w:r>
          </w:p>
        </w:tc>
        <w:tc>
          <w:tcPr/>
          <w:p>
            <w:pPr>
              <w:pStyle w:val="Compact"/>
              <w:jc w:val="center"/>
            </w:pPr>
            <w:r>
              <w:t xml:space="preserve">120 ms</w:t>
            </w:r>
          </w:p>
        </w:tc>
        <w:tc>
          <w:tcPr/>
          <w:p>
            <w:pPr>
              <w:pStyle w:val="Compact"/>
              <w:jc w:val="left"/>
            </w:pPr>
            <w:r>
              <w:t xml:space="preserve">Pre-compute similarity matrix</w:t>
            </w:r>
          </w:p>
        </w:tc>
        <w:tc>
          <w:tcPr/>
          <w:p>
            <w:pPr>
              <w:pStyle w:val="Compact"/>
              <w:jc w:val="center"/>
            </w:pPr>
            <w:r>
              <w:t xml:space="preserve">3.75×</w:t>
            </w:r>
          </w:p>
        </w:tc>
      </w:tr>
      <w:tr>
        <w:tc>
          <w:tcPr/>
          <w:p>
            <w:pPr>
              <w:pStyle w:val="Compact"/>
              <w:jc w:val="left"/>
            </w:pPr>
            <w:r>
              <w:t xml:space="preserve">v2</w:t>
            </w:r>
          </w:p>
        </w:tc>
        <w:tc>
          <w:tcPr/>
          <w:p>
            <w:pPr>
              <w:pStyle w:val="Compact"/>
              <w:jc w:val="center"/>
            </w:pPr>
            <w:r>
              <w:t xml:space="preserve">14.8 ms</w:t>
            </w:r>
          </w:p>
        </w:tc>
        <w:tc>
          <w:tcPr/>
          <w:p>
            <w:pPr>
              <w:pStyle w:val="Compact"/>
              <w:jc w:val="left"/>
            </w:pPr>
            <w:r>
              <w:t xml:space="preserve">KNN sparse graph (</w:t>
            </w:r>
            <m:oMath>
              <m:r>
                <m:t>k</m:t>
              </m:r>
              <m:r>
                <m:rPr>
                  <m:sty m:val="p"/>
                </m:rPr>
                <m:t>=</m:t>
              </m:r>
              <m:r>
                <m:t>3</m:t>
              </m:r>
            </m:oMath>
            <w:r>
              <w:t xml:space="preserve">)</w:t>
            </w:r>
          </w:p>
        </w:tc>
        <w:tc>
          <w:tcPr/>
          <w:p>
            <w:pPr>
              <w:pStyle w:val="Compact"/>
              <w:jc w:val="center"/>
            </w:pPr>
            <w:r>
              <w:t xml:space="preserve">8.1×</w:t>
            </w:r>
          </w:p>
        </w:tc>
      </w:tr>
      <w:tr>
        <w:tc>
          <w:tcPr/>
          <w:p>
            <w:pPr>
              <w:pStyle w:val="Compact"/>
              <w:jc w:val="left"/>
            </w:pPr>
            <w:r>
              <w:t xml:space="preserve">v3</w:t>
            </w:r>
          </w:p>
        </w:tc>
        <w:tc>
          <w:tcPr/>
          <w:p>
            <w:pPr>
              <w:pStyle w:val="Compact"/>
              <w:jc w:val="center"/>
            </w:pPr>
            <w:r>
              <w:t xml:space="preserve">3.3 ms</w:t>
            </w:r>
          </w:p>
        </w:tc>
        <w:tc>
          <w:tcPr/>
          <w:p>
            <w:pPr>
              <w:pStyle w:val="Compact"/>
              <w:jc w:val="left"/>
            </w:pPr>
            <w:r>
              <w:t xml:space="preserve">Adaptive early stopping</w:t>
            </w:r>
          </w:p>
        </w:tc>
        <w:tc>
          <w:tcPr/>
          <w:p>
            <w:pPr>
              <w:pStyle w:val="Compact"/>
              <w:jc w:val="center"/>
            </w:pPr>
            <w:r>
              <w:t xml:space="preserve">4.5×</w:t>
            </w:r>
          </w:p>
        </w:tc>
      </w:tr>
      <w:tr>
        <w:tc>
          <w:tcPr/>
          <w:p>
            <w:pPr>
              <w:pStyle w:val="Compact"/>
              <w:jc w:val="left"/>
            </w:pPr>
            <w:r>
              <w:t xml:space="preserve">v4 (Shape-CFD)</w:t>
            </w:r>
          </w:p>
        </w:tc>
        <w:tc>
          <w:tcPr/>
          <w:p>
            <w:pPr>
              <w:pStyle w:val="Compact"/>
              <w:jc w:val="center"/>
            </w:pPr>
            <w:r>
              <w:t xml:space="preserve">22 ms</w:t>
            </w:r>
          </w:p>
        </w:tc>
        <w:tc>
          <w:tcPr/>
          <w:p>
            <w:pPr>
              <w:pStyle w:val="Compact"/>
              <w:jc w:val="left"/>
            </w:pPr>
            <w:r>
              <w:t xml:space="preserve">+Shape with JL (</w:t>
            </w:r>
            <m:oMath>
              <m:r>
                <m:t>m</m:t>
              </m:r>
              <m:r>
                <m:rPr>
                  <m:sty m:val="p"/>
                </m:rPr>
                <m:t>=</m:t>
              </m:r>
              <m:r>
                <m:t>128</m:t>
              </m:r>
            </m:oMath>
            <w:r>
              <w:t xml:space="preserve">) + cache</w:t>
            </w:r>
          </w:p>
        </w:tc>
        <w:tc>
          <w:tcPr/>
          <w:p>
            <w:pPr>
              <w:pStyle w:val="Compact"/>
              <w:jc w:val="center"/>
            </w:pPr>
            <w:r>
              <w:t xml:space="preserve">—</w:t>
            </w:r>
          </w:p>
        </w:tc>
      </w:tr>
    </w:tbl>
    <w:bookmarkEnd w:id="47"/>
    <w:bookmarkStart w:id="48" w:name="case-study-cross-domain-legal-query"/>
    <w:p>
      <w:pPr>
        <w:pStyle w:val="Heading3"/>
      </w:pPr>
      <w:r>
        <w:t xml:space="preserve">4.6 Case Study: Cross-Domain Legal Query</w:t>
      </w:r>
    </w:p>
    <w:p>
      <w:pPr>
        <w:pStyle w:val="FirstParagraph"/>
      </w:pPr>
      <w:r>
        <w:t xml:space="preserve">We present a representative query to illustrate Shape-CFD’s qualitative advantage:</w:t>
      </w:r>
    </w:p>
    <w:p>
      <w:pPr>
        <w:pStyle w:val="BodyText"/>
      </w:pPr>
      <w:r>
        <w:rPr>
          <w:bCs/>
          <w:b/>
        </w:rPr>
        <w:t xml:space="preserve">Query:</w:t>
      </w:r>
      <w:r>
        <w:t xml:space="preserve"> </w:t>
      </w:r>
      <w:r>
        <w:t xml:space="preserve">“</w:t>
      </w:r>
      <w:r>
        <w:t xml:space="preserve">离婚时一方隐藏财产怎么处理</w:t>
      </w:r>
      <w:r>
        <w:t xml:space="preserve">”</w:t>
      </w:r>
      <w:r>
        <w:t xml:space="preserve"> </w:t>
      </w:r>
      <w:r>
        <w:t xml:space="preserve">(How to handle hidden property during divorce)</w:t>
      </w:r>
    </w:p>
    <w:p>
      <w:pPr>
        <w:pStyle w:val="BodyText"/>
      </w:pPr>
      <w:r>
        <w:t xml:space="preserve">This query spans two legal domains: (1) marriage law (Article 1092 of Civil Code on concealment of marital property) and (2) civil procedure law (evidence preservation provisions). A pure cosine ranker retrieves documents from both domains but fails to recognize their complementary relationship.</w:t>
      </w:r>
    </w:p>
    <w:p>
      <w:pPr>
        <w:pStyle w:val="BodyText"/>
      </w:pPr>
      <w:r>
        <w:rPr>
          <w:bCs/>
          <w:b/>
        </w:rPr>
        <w:t xml:space="preserve">Cosine ranking:</w:t>
      </w:r>
      <w:r>
        <w:t xml:space="preserve"> </w:t>
      </w:r>
      <w:r>
        <w:t xml:space="preserve">The top-3 results correctly include Article 1092 but rank it at position 3, behind two marginally relevant provisions from the general section of marriage law.</w:t>
      </w:r>
    </w:p>
    <w:p>
      <w:pPr>
        <w:pStyle w:val="BodyText"/>
      </w:pPr>
      <w:r>
        <w:rPr>
          <w:bCs/>
          <w:b/>
        </w:rPr>
        <w:t xml:space="preserve">Shape-CFD ranking:</w:t>
      </w:r>
      <w:r>
        <w:t xml:space="preserve"> </w:t>
      </w:r>
      <w:r>
        <w:t xml:space="preserve">By constructing a Chamfer-distance graph, Shape-CFD detects that Article 1092’s sentence-level embedding cloud has high affinity with both the query and a procedural provision about evidence. The convection-diffusion dynamics propagate the relevance signal from the highly-relevant Article 1092 to semantically adjacent provisions, while the advection term ensures directionality: information flows preferentially from more query-aligned to less query-aligned nodes. Result: Article 1092 is promoted to position 1, with the complementary procedural provision correctly at position 2.</w:t>
      </w:r>
    </w:p>
    <w:p>
      <w:pPr>
        <w:pStyle w:val="BodyText"/>
      </w:pPr>
      <w:r>
        <w:rPr>
          <w:bCs/>
          <w:b/>
        </w:rPr>
        <w:t xml:space="preserve">Why pure cosine fails:</w:t>
      </w:r>
      <w:r>
        <w:t xml:space="preserve"> </w:t>
      </w:r>
      <w:r>
        <w:t xml:space="preserve">The centroid embedding of Article 1092 suffers from</w:t>
      </w:r>
      <w:r>
        <w:t xml:space="preserve"> </w:t>
      </w:r>
      <w:r>
        <w:t xml:space="preserve">“</w:t>
      </w:r>
      <w:r>
        <w:t xml:space="preserve">semantic averaging</w:t>
      </w:r>
      <w:r>
        <w:t xml:space="preserve">”</w:t>
      </w:r>
      <w:r>
        <w:t xml:space="preserve">—the marriage-law and property-law sentence embeddings, when averaged, produce a centroid that is approximately equidistant from the query as several less relevant provisions. The Chamfer distance, by matching at the sentence level, correctly identifies the strong local alignment.</w:t>
      </w:r>
    </w:p>
    <w:p>
      <w:r>
        <w:pict>
          <v:rect style="width:0;height:1.5pt" o:hralign="center" o:hrstd="t" o:hr="t"/>
        </w:pict>
      </w:r>
    </w:p>
    <w:bookmarkEnd w:id="48"/>
    <w:bookmarkEnd w:id="49"/>
    <w:bookmarkStart w:id="54" w:name="Xed719b983ecae0ed1a9c157368c6473e064e553"/>
    <w:p>
      <w:pPr>
        <w:pStyle w:val="Heading2"/>
      </w:pPr>
      <w:r>
        <w:t xml:space="preserve">5 Analysis: Physical Interpretation of the Optimal Regime</w:t>
      </w:r>
    </w:p>
    <w:bookmarkStart w:id="50" w:name="Xf05d6d935f8300ece9ea16bab8e4794eb513624"/>
    <w:p>
      <w:pPr>
        <w:pStyle w:val="Heading3"/>
      </w:pPr>
      <w:r>
        <w:t xml:space="preserve">5.1 Why Weak Advection Outperforms Strong Advection</w:t>
      </w:r>
    </w:p>
    <w:p>
      <w:pPr>
        <w:pStyle w:val="FirstParagraph"/>
      </w:pPr>
      <w:r>
        <w:t xml:space="preserve">The empirical finding that</w:t>
      </w:r>
      <w:r>
        <w:t xml:space="preserve"> </w:t>
      </w:r>
      <m:oMath>
        <m:r>
          <m:rPr>
            <m:nor/>
            <m:sty m:val="p"/>
          </m:rPr>
          <m:t>Pe</m:t>
        </m:r>
        <m:r>
          <m:rPr>
            <m:sty m:val="p"/>
          </m:rPr>
          <m:t>≈</m:t>
        </m:r>
        <m:r>
          <m:t>0.065</m:t>
        </m:r>
      </m:oMath>
      <w:r>
        <w:t xml:space="preserve"> </w:t>
      </w:r>
      <w:r>
        <w:t xml:space="preserve">is optimal—a regime where diffusion dominates advection by a factor of</w:t>
      </w:r>
      <w:r>
        <w:t xml:space="preserve"> </w:t>
      </w:r>
      <m:oMath>
        <m:r>
          <m:rPr>
            <m:sty m:val="p"/>
          </m:rPr>
          <m:t>∼</m:t>
        </m:r>
        <m:r>
          <m:t>15</m:t>
        </m:r>
        <m:r>
          <m:t>​</m:t>
        </m:r>
        <m:r>
          <m:rPr>
            <m:sty m:val="p"/>
          </m:rPr>
          <m:t>×</m:t>
        </m:r>
      </m:oMath>
      <w:r>
        <w:t xml:space="preserve">—may appear counterintuitive. If the advection term encodes query direction, why does increasing it degrade performance?</w:t>
      </w:r>
    </w:p>
    <w:p>
      <w:pPr>
        <w:pStyle w:val="BodyText"/>
      </w:pPr>
      <w:r>
        <w:t xml:space="preserve">We offer a physical interpretation grounded in transient-state dynamics. The convection-diffusion equation admits two characteristic timescales:</w:t>
      </w:r>
    </w:p>
    <w:p>
      <w:pPr>
        <w:numPr>
          <w:ilvl w:val="0"/>
          <w:numId w:val="1004"/>
        </w:numPr>
        <w:pStyle w:val="Compact"/>
      </w:pPr>
      <w:r>
        <w:rPr>
          <w:bCs/>
          <w:b/>
        </w:rPr>
        <w:t xml:space="preserve">Diffusive timescale:</w:t>
      </w:r>
      <w:r>
        <w:t xml:space="preserve"> </w:t>
      </w:r>
      <m:oMath>
        <m:sSub>
          <m:e>
            <m:r>
              <m:t>τ</m:t>
            </m:r>
          </m:e>
          <m:sub>
            <m:r>
              <m:t>D</m:t>
            </m:r>
          </m:sub>
        </m:sSub>
        <m:r>
          <m:rPr>
            <m:sty m:val="p"/>
          </m:rPr>
          <m:t>∼</m:t>
        </m:r>
        <m:sSup>
          <m:e>
            <m:r>
              <m:t>L</m:t>
            </m:r>
          </m:e>
          <m:sup>
            <m:r>
              <m:t>2</m:t>
            </m:r>
          </m:sup>
        </m:sSup>
        <m:r>
          <m:rPr>
            <m:sty m:val="p"/>
          </m:rPr>
          <m:t>/</m:t>
        </m:r>
        <m:r>
          <m:t>D</m:t>
        </m:r>
      </m:oMath>
      <w:r>
        <w:t xml:space="preserve">, where</w:t>
      </w:r>
      <w:r>
        <w:t xml:space="preserve"> </w:t>
      </w:r>
      <m:oMath>
        <m:r>
          <m:t>L</m:t>
        </m:r>
      </m:oMath>
      <w:r>
        <w:t xml:space="preserve"> </w:t>
      </w:r>
      <w:r>
        <w:t xml:space="preserve">is the graph diameter</w:t>
      </w:r>
    </w:p>
    <w:p>
      <w:pPr>
        <w:numPr>
          <w:ilvl w:val="0"/>
          <w:numId w:val="1004"/>
        </w:numPr>
        <w:pStyle w:val="Compact"/>
      </w:pPr>
      <w:r>
        <w:rPr>
          <w:bCs/>
          <w:b/>
        </w:rPr>
        <w:t xml:space="preserve">Advective timescale:</w:t>
      </w:r>
      <w:r>
        <w:t xml:space="preserve"> </w:t>
      </w:r>
      <m:oMath>
        <m:sSub>
          <m:e>
            <m:r>
              <m:t>τ</m:t>
            </m:r>
          </m:e>
          <m:sub>
            <m:r>
              <m:t>U</m:t>
            </m:r>
          </m:sub>
        </m:sSub>
        <m:r>
          <m:rPr>
            <m:sty m:val="p"/>
          </m:rPr>
          <m:t>∼</m:t>
        </m:r>
        <m:r>
          <m:t>L</m:t>
        </m:r>
        <m:r>
          <m:rPr>
            <m:sty m:val="p"/>
          </m:rPr>
          <m:t>/</m:t>
        </m:r>
        <m:r>
          <m:t>U</m:t>
        </m:r>
      </m:oMath>
      <w:r>
        <w:t xml:space="preserve">, where</w:t>
      </w:r>
      <w:r>
        <w:t xml:space="preserve"> </w:t>
      </w:r>
      <m:oMath>
        <m:r>
          <m:t>U</m:t>
        </m:r>
        <m:r>
          <m:rPr>
            <m:sty m:val="p"/>
          </m:rPr>
          <m:t>=</m:t>
        </m:r>
        <m:bar>
          <m:barPr>
            <m:pos m:val="top"/>
          </m:barPr>
          <m:e>
            <m:d>
              <m:dPr>
                <m:begChr m:val="|"/>
                <m:endChr m:val="|"/>
                <m:sepChr m:val=""/>
                <m:grow/>
              </m:dPr>
              <m:e>
                <m:sSub>
                  <m:e>
                    <m:r>
                      <m:t>u</m:t>
                    </m:r>
                  </m:e>
                  <m:sub>
                    <m:r>
                      <m:t>i</m:t>
                    </m:r>
                    <m:r>
                      <m:t>j</m:t>
                    </m:r>
                  </m:sub>
                </m:sSub>
              </m:e>
            </m:d>
          </m:e>
        </m:bar>
      </m:oMath>
    </w:p>
    <w:p>
      <w:pPr>
        <w:pStyle w:val="FirstParagraph"/>
      </w:pPr>
      <w:r>
        <w:t xml:space="preserve">The Péclet number is their ratio:</w:t>
      </w:r>
      <w:r>
        <w:t xml:space="preserve"> </w:t>
      </w:r>
      <m:oMath>
        <m:r>
          <m:rPr>
            <m:nor/>
            <m:sty m:val="p"/>
          </m:rPr>
          <m:t>Pe</m:t>
        </m:r>
        <m:r>
          <m:rPr>
            <m:sty m:val="p"/>
          </m:rPr>
          <m:t>=</m:t>
        </m:r>
        <m:sSub>
          <m:e>
            <m:r>
              <m:t>τ</m:t>
            </m:r>
          </m:e>
          <m:sub>
            <m:r>
              <m:t>D</m:t>
            </m:r>
          </m:sub>
        </m:sSub>
        <m:r>
          <m:rPr>
            <m:sty m:val="p"/>
          </m:rPr>
          <m:t>/</m:t>
        </m:r>
        <m:sSub>
          <m:e>
            <m:r>
              <m:t>τ</m:t>
            </m:r>
          </m:e>
          <m:sub>
            <m:r>
              <m:t>U</m:t>
            </m:r>
          </m:sub>
        </m:sSub>
        <m:r>
          <m:rPr>
            <m:sty m:val="p"/>
          </m:rPr>
          <m:t>=</m:t>
        </m:r>
        <m:r>
          <m:t>U</m:t>
        </m:r>
        <m:r>
          <m:t>L</m:t>
        </m:r>
        <m:r>
          <m:rPr>
            <m:sty m:val="p"/>
          </m:rPr>
          <m:t>/</m:t>
        </m:r>
        <m:r>
          <m:t>D</m:t>
        </m:r>
      </m:oMath>
      <w:r>
        <w:t xml:space="preserve">. When</w:t>
      </w:r>
      <w:r>
        <w:t xml:space="preserve"> </w:t>
      </w:r>
      <m:oMath>
        <m:r>
          <m:rPr>
            <m:nor/>
            <m:sty m:val="p"/>
          </m:rPr>
          <m:t>Pe</m:t>
        </m:r>
        <m:r>
          <m:rPr>
            <m:sty m:val="p"/>
          </m:rPr>
          <m:t>≪</m:t>
        </m:r>
        <m:r>
          <m:t>1</m:t>
        </m:r>
      </m:oMath>
      <w:r>
        <w:t xml:space="preserve">, diffusion equilibrates much faster than advection can transport concentration directionally. Our early-stopping criterion (</w:t>
      </w:r>
      <m:oMath>
        <m:r>
          <m:t>ϵ</m:t>
        </m:r>
        <m:r>
          <m:rPr>
            <m:sty m:val="p"/>
          </m:rPr>
          <m:t>=</m:t>
        </m:r>
        <m:sSup>
          <m:e>
            <m:r>
              <m:t>10</m:t>
            </m:r>
          </m:e>
          <m:sup>
            <m:r>
              <m:rPr>
                <m:sty m:val="p"/>
              </m:rPr>
              <m:t>−</m:t>
            </m:r>
            <m:r>
              <m:t>3</m:t>
            </m:r>
          </m:sup>
        </m:sSup>
      </m:oMath>
      <w:r>
        <w:t xml:space="preserve">, typically 30–50 iterations) truncates the dynamics well before the advective transport has fully developed. In this transient regime:</w:t>
      </w:r>
    </w:p>
    <w:p>
      <w:pPr>
        <w:numPr>
          <w:ilvl w:val="0"/>
          <w:numId w:val="1005"/>
        </w:numPr>
        <w:pStyle w:val="Compact"/>
      </w:pPr>
      <w:r>
        <w:rPr>
          <w:bCs/>
          <w:b/>
        </w:rPr>
        <w:t xml:space="preserve">Diffusion performs global smoothing:</w:t>
      </w:r>
      <w:r>
        <w:t xml:space="preserve"> </w:t>
      </w:r>
      <w:r>
        <w:t xml:space="preserve">The fast diffusive mode rapidly propagates the initial cosine-similarity signal across local neighborhoods, correcting isolated misrankings.</w:t>
      </w:r>
    </w:p>
    <w:p>
      <w:pPr>
        <w:numPr>
          <w:ilvl w:val="0"/>
          <w:numId w:val="1005"/>
        </w:numPr>
        <w:pStyle w:val="Compact"/>
      </w:pPr>
      <w:r>
        <w:rPr>
          <w:bCs/>
          <w:b/>
        </w:rPr>
        <w:t xml:space="preserve">Advection provides a directional perturbation:</w:t>
      </w:r>
      <w:r>
        <w:t xml:space="preserve"> </w:t>
      </w:r>
      <w:r>
        <w:t xml:space="preserve">The slow advective mode contributes a subtle, systematic bias toward query-aligned nodes, improving ranking without overwhelming the stable diffusive backbone.</w:t>
      </w:r>
    </w:p>
    <w:p>
      <w:pPr>
        <w:pStyle w:val="FirstParagraph"/>
      </w:pPr>
      <w:r>
        <w:t xml:space="preserve">When</w:t>
      </w:r>
      <w:r>
        <w:t xml:space="preserve"> </w:t>
      </w:r>
      <m:oMath>
        <m:r>
          <m:rPr>
            <m:nor/>
            <m:sty m:val="p"/>
          </m:rPr>
          <m:t>Pe</m:t>
        </m:r>
      </m:oMath>
      <w:r>
        <w:t xml:space="preserve"> </w:t>
      </w:r>
      <w:r>
        <w:t xml:space="preserve">is increased beyond</w:t>
      </w:r>
      <w:r>
        <w:t xml:space="preserve"> </w:t>
      </w:r>
      <m:oMath>
        <m:r>
          <m:rPr>
            <m:sty m:val="p"/>
          </m:rPr>
          <m:t>∼</m:t>
        </m:r>
        <m:r>
          <m:t>0.1</m:t>
        </m:r>
      </m:oMath>
      <w:r>
        <w:t xml:space="preserve">, the advective timescale becomes comparable to the diffusive timescale, and the early-stopped transient captures unstable advective oscillations before they are damped by diffusion. This manifests as convergence failure (the iteration diverges or oscillates) and degraded ranking quality.</w:t>
      </w:r>
    </w:p>
    <w:p>
      <w:pPr>
        <w:pStyle w:val="BodyText"/>
      </w:pPr>
      <w:r>
        <w:rPr>
          <w:bCs/>
          <w:b/>
        </w:rPr>
        <w:t xml:space="preserve">Analogy to numerical methods.</w:t>
      </w:r>
      <w:r>
        <w:t xml:space="preserve"> </w:t>
      </w:r>
      <w:r>
        <w:t xml:space="preserve">This phenomenon parallels the classical observation in CFD that explicit upwind schemes are unconditionally stable for diffusion-dominated flows (</w:t>
      </w:r>
      <m:oMath>
        <m:r>
          <m:rPr>
            <m:nor/>
            <m:sty m:val="p"/>
          </m:rPr>
          <m:t>Pe</m:t>
        </m:r>
        <m:r>
          <m:rPr>
            <m:sty m:val="p"/>
          </m:rPr>
          <m:t>≤</m:t>
        </m:r>
        <m:r>
          <m:t>1</m:t>
        </m:r>
      </m:oMath>
      <w:r>
        <w:t xml:space="preserve"> </w:t>
      </w:r>
      <w:r>
        <w:t xml:space="preserve">locally) but require increasingly aggressive CFL restrictions or implicit methods for advection-dominated regimes. Our explicit scheme naturally operates best in the diffusion-dominated regime.</w:t>
      </w:r>
    </w:p>
    <w:bookmarkEnd w:id="50"/>
    <w:bookmarkStart w:id="51" w:name="X618415e7c52092a2bd77bdb20b60f64a47ef138"/>
    <w:p>
      <w:pPr>
        <w:pStyle w:val="Heading3"/>
      </w:pPr>
      <w:r>
        <w:t xml:space="preserve">5.2 The Advection Signal in High-Dimensional Embedding Spaces</w:t>
      </w:r>
    </w:p>
    <w:p>
      <w:pPr>
        <w:pStyle w:val="FirstParagraph"/>
      </w:pPr>
      <w:r>
        <w:t xml:space="preserve">The curse of dimensionality provides a complementary explanation for weak advection. For vectors uniformly distributed on the</w:t>
      </w:r>
      <w:r>
        <w:t xml:space="preserve"> </w:t>
      </w:r>
      <m:oMath>
        <m:r>
          <m:t>d</m:t>
        </m:r>
      </m:oMath>
      <w:r>
        <w:t xml:space="preserve">-dimensional unit sphere, inner products concentrate around zero:</w:t>
      </w:r>
    </w:p>
    <w:p>
      <w:pPr>
        <w:pStyle w:val="BodyText"/>
      </w:pPr>
      <m:oMathPara>
        <m:oMathParaPr>
          <m:jc m:val="center"/>
        </m:oMathParaPr>
        <m:oMath>
          <m:r>
            <m:rPr>
              <m:sty m:val="p"/>
            </m:rPr>
            <m:t>⟨</m:t>
          </m:r>
          <m:r>
            <m:t>x</m:t>
          </m:r>
          <m:r>
            <m:rPr>
              <m:sty m:val="p"/>
            </m:rPr>
            <m:t>,</m:t>
          </m:r>
          <m:r>
            <m:t>y</m:t>
          </m:r>
          <m:r>
            <m:rPr>
              <m:sty m:val="p"/>
            </m:rPr>
            <m:t>⟩</m:t>
          </m:r>
          <m:r>
            <m:rPr>
              <m:sty m:val="p"/>
            </m:rPr>
            <m:t>∼</m:t>
          </m:r>
          <m:r>
            <m:rPr>
              <m:sty m:val="p"/>
              <m:scr m:val="script"/>
            </m:rPr>
            <m:t>N</m:t>
          </m:r>
          <m:d>
            <m:dPr>
              <m:begChr m:val="("/>
              <m:endChr m:val=")"/>
              <m:sepChr m:val=""/>
              <m:grow/>
            </m:dPr>
            <m:e>
              <m:r>
                <m:t>0</m:t>
              </m:r>
              <m:r>
                <m:rPr>
                  <m:sty m:val="p"/>
                </m:rPr>
                <m:t>,</m:t>
              </m:r>
              <m:f>
                <m:fPr>
                  <m:type m:val="bar"/>
                </m:fPr>
                <m:num>
                  <m:r>
                    <m:t>1</m:t>
                  </m:r>
                </m:num>
                <m:den>
                  <m:r>
                    <m:t>d</m:t>
                  </m:r>
                </m:den>
              </m:f>
            </m:e>
          </m:d>
        </m:oMath>
      </m:oMathPara>
    </w:p>
    <w:p>
      <w:pPr>
        <w:pStyle w:val="FirstParagraph"/>
      </w:pPr>
      <w:r>
        <w:t xml:space="preserve">With</w:t>
      </w:r>
      <w:r>
        <w:t xml:space="preserve"> </w:t>
      </w:r>
      <m:oMath>
        <m:r>
          <m:t>d</m:t>
        </m:r>
        <m:r>
          <m:rPr>
            <m:sty m:val="p"/>
          </m:rPr>
          <m:t>=</m:t>
        </m:r>
        <m:r>
          <m:t>4096</m:t>
        </m:r>
      </m:oMath>
      <w:r>
        <w:t xml:space="preserve">, the standard deviation is</w:t>
      </w:r>
      <w:r>
        <w:t xml:space="preserve"> </w:t>
      </w:r>
      <m:oMath>
        <m:r>
          <m:t>σ</m:t>
        </m:r>
        <m:r>
          <m:rPr>
            <m:sty m:val="p"/>
          </m:rPr>
          <m:t>≈</m:t>
        </m:r>
        <m:r>
          <m:t>0.016</m:t>
        </m:r>
      </m:oMath>
      <w:r>
        <w:t xml:space="preserve">, meaning typical advection coefficients</w:t>
      </w:r>
      <w:r>
        <w:t xml:space="preserve"> </w:t>
      </w:r>
      <m:oMath>
        <m:sSub>
          <m:e>
            <m:r>
              <m:t>u</m:t>
            </m:r>
          </m:e>
          <m:sub>
            <m:r>
              <m:t>i</m:t>
            </m:r>
            <m:r>
              <m:t>j</m:t>
            </m:r>
          </m:sub>
        </m:sSub>
        <m:r>
          <m:rPr>
            <m:sty m:val="p"/>
          </m:rPr>
          <m:t>∈</m:t>
        </m:r>
        <m:d>
          <m:dPr>
            <m:begChr m:val="["/>
            <m:endChr m:val="]"/>
            <m:sepChr m:val=""/>
            <m:grow/>
          </m:dPr>
          <m:e>
            <m:r>
              <m:rPr>
                <m:sty m:val="p"/>
              </m:rPr>
              <m:t>−</m:t>
            </m:r>
            <m:r>
              <m:t>0.048</m:t>
            </m:r>
            <m:r>
              <m:rPr>
                <m:sty m:val="p"/>
              </m:rPr>
              <m:t>,</m:t>
            </m:r>
            <m:r>
              <m:rPr>
                <m:sty m:val="p"/>
              </m:rPr>
              <m:t>+</m:t>
            </m:r>
            <m:r>
              <m:t>0.048</m:t>
            </m:r>
          </m:e>
        </m:d>
      </m:oMath>
      <w:r>
        <w:t xml:space="preserve"> </w:t>
      </w:r>
      <w:r>
        <w:t xml:space="preserve">(within</w:t>
      </w:r>
      <w:r>
        <w:t xml:space="preserve"> </w:t>
      </w:r>
      <m:oMath>
        <m:r>
          <m:t>3</m:t>
        </m:r>
        <m:r>
          <m:t>σ</m:t>
        </m:r>
      </m:oMath>
      <w:r>
        <w:t xml:space="preserve">). These values are inherently small compared to the diffusion coefficient</w:t>
      </w:r>
      <w:r>
        <w:t xml:space="preserve"> </w:t>
      </w:r>
      <m:oMath>
        <m:r>
          <m:t>D</m:t>
        </m:r>
        <m:r>
          <m:rPr>
            <m:sty m:val="p"/>
          </m:rPr>
          <m:t>=</m:t>
        </m:r>
        <m:r>
          <m:t>0.15</m:t>
        </m:r>
      </m:oMath>
      <w:r>
        <w:t xml:space="preserve">, making the weak-advection regime the</w:t>
      </w:r>
      <w:r>
        <w:t xml:space="preserve"> </w:t>
      </w:r>
      <w:r>
        <w:rPr>
          <w:iCs/>
          <w:i/>
        </w:rPr>
        <w:t xml:space="preserve">natural</w:t>
      </w:r>
      <w:r>
        <w:t xml:space="preserve"> </w:t>
      </w:r>
      <w:r>
        <w:t xml:space="preserve">operating point of the algorithm in high-dimensional spaces, rather than an arbitrary choice.</w:t>
      </w:r>
    </w:p>
    <w:p>
      <w:pPr>
        <w:pStyle w:val="BodyText"/>
      </w:pPr>
      <w:r>
        <w:t xml:space="preserve">This offers a theoretical justification for the algorithm’s robustness: the high dimensionality of modern embedding spaces naturally constrains the system to the stable, diffusion-dominated regime, making the algorithm self-regularizing without requiring careful tuning of the advection strength.</w:t>
      </w:r>
    </w:p>
    <w:bookmarkEnd w:id="51"/>
    <w:bookmarkStart w:id="52" w:name="limitations"/>
    <w:p>
      <w:pPr>
        <w:pStyle w:val="Heading3"/>
      </w:pPr>
      <w:r>
        <w:t xml:space="preserve">5.3 Limitations</w:t>
      </w:r>
    </w:p>
    <w:p>
      <w:pPr>
        <w:pStyle w:val="FirstParagraph"/>
      </w:pPr>
      <w:r>
        <w:t xml:space="preserve">We acknowledge several limitations of the current work, including three fundamental theoretical issues that we identify as priorities for future resolution:</w:t>
      </w:r>
    </w:p>
    <w:p>
      <w:pPr>
        <w:numPr>
          <w:ilvl w:val="0"/>
          <w:numId w:val="1006"/>
        </w:numPr>
      </w:pPr>
      <w:r>
        <w:rPr>
          <w:bCs/>
          <w:b/>
        </w:rPr>
        <w:t xml:space="preserve">Metric space inconsistency in advection (theoretical).</w:t>
      </w:r>
      <w:r>
        <w:t xml:space="preserve"> </w:t>
      </w:r>
      <w:r>
        <w:t xml:space="preserve">As discussed in Section 3.6, Shape-CFD’s graph topology is defined by the Chamfer distance (a set-theoretic metric on point clouds), while the advection field is computed from centroid vector differences (a Euclidean metric on single points). This places the diffusion and advection operators in incompatible metric spaces—the graph</w:t>
      </w:r>
      <w:r>
        <w:t xml:space="preserve"> </w:t>
      </w:r>
      <w:r>
        <w:t xml:space="preserve">“</w:t>
      </w:r>
      <w:r>
        <w:t xml:space="preserve">knows</w:t>
      </w:r>
      <w:r>
        <w:t xml:space="preserve">”</w:t>
      </w:r>
      <w:r>
        <w:t xml:space="preserve"> </w:t>
      </w:r>
      <w:r>
        <w:t xml:space="preserve">about fine-grained sentence matches, but the advection</w:t>
      </w:r>
      <w:r>
        <w:t xml:space="preserve"> </w:t>
      </w:r>
      <w:r>
        <w:t xml:space="preserve">“</w:t>
      </w:r>
      <w:r>
        <w:t xml:space="preserve">sees</w:t>
      </w:r>
      <w:r>
        <w:t xml:space="preserve">”</w:t>
      </w:r>
      <w:r>
        <w:t xml:space="preserve"> </w:t>
      </w:r>
      <w:r>
        <w:t xml:space="preserve">only the collapsed centroid. This hybrid formulation, while empirically effective, lacks rigorous differential-geometric justification and may fail on documents with highly multimodal sentence distributions.</w:t>
      </w:r>
    </w:p>
    <w:p>
      <w:pPr>
        <w:numPr>
          <w:ilvl w:val="0"/>
          <w:numId w:val="1006"/>
        </w:numPr>
      </w:pPr>
      <w:r>
        <w:rPr>
          <w:bCs/>
          <w:b/>
        </w:rPr>
        <w:t xml:space="preserve">Noise dilution in symmetric Chamfer distance (practical).</w:t>
      </w:r>
      <w:r>
        <w:t xml:space="preserve"> </w:t>
      </w:r>
      <w:r>
        <w:t xml:space="preserve">The symmetric Chamfer formulation systematically penalizes long, heterogeneous documents. When a document contains</w:t>
      </w:r>
      <w:r>
        <w:t xml:space="preserve"> </w:t>
      </w:r>
      <m:oMath>
        <m:r>
          <m:t>K</m:t>
        </m:r>
      </m:oMath>
      <w:r>
        <w:t xml:space="preserve"> </w:t>
      </w:r>
      <w:r>
        <w:t xml:space="preserve">sentences but only one is relevant, the</w:t>
      </w:r>
      <w:r>
        <w:t xml:space="preserve"> </w:t>
      </w:r>
      <m:oMath>
        <m:d>
          <m:dPr>
            <m:begChr m:val="("/>
            <m:endChr m:val=")"/>
            <m:sepChr m:val=""/>
            <m:grow/>
          </m:dPr>
          <m:e>
            <m:r>
              <m:t>K</m:t>
            </m:r>
            <m:r>
              <m:rPr>
                <m:sty m:val="p"/>
              </m:rPr>
              <m:t>−</m:t>
            </m:r>
            <m:r>
              <m:t>1</m:t>
            </m:r>
          </m:e>
        </m:d>
      </m:oMath>
      <w:r>
        <w:t xml:space="preserve"> </w:t>
      </w:r>
      <w:r>
        <w:t xml:space="preserve">irrelevant sentences contribute large reverse-direction distances that dilute the signal. This contradicts the established asymmetric matching principle validated by ColBERT’s MaxSim operator [22], and may explain Shape-CFD’s limited gains on corpora with predominantly short documents (e.g., FiQA).</w:t>
      </w:r>
    </w:p>
    <w:p>
      <w:pPr>
        <w:numPr>
          <w:ilvl w:val="0"/>
          <w:numId w:val="1006"/>
        </w:numPr>
      </w:pPr>
      <w:r>
        <w:rPr>
          <w:bCs/>
          <w:b/>
        </w:rPr>
        <w:t xml:space="preserve">JL projection introduces noise, not signal (theoretical).</w:t>
      </w:r>
      <w:r>
        <w:t xml:space="preserve"> </w:t>
      </w:r>
      <w:r>
        <w:t xml:space="preserve">The</w:t>
      </w:r>
      <w:r>
        <w:t xml:space="preserve"> </w:t>
      </w:r>
      <m:oMath>
        <m:r>
          <m:t>O</m:t>
        </m:r>
        <m:d>
          <m:dPr>
            <m:begChr m:val="("/>
            <m:endChr m:val=")"/>
            <m:sepChr m:val=""/>
            <m:grow/>
          </m:dPr>
          <m:e>
            <m:r>
              <m:t>1</m:t>
            </m:r>
            <m:r>
              <m:rPr>
                <m:sty m:val="p"/>
              </m:rPr>
              <m:t>/</m:t>
            </m:r>
            <m:r>
              <m:t>m</m:t>
            </m:r>
          </m:e>
        </m:d>
      </m:oMath>
      <w:r>
        <w:t xml:space="preserve"> </w:t>
      </w:r>
      <w:r>
        <w:t xml:space="preserve">variance expansion from Johnson-Lindenstrauss projection is stochastic noise injected by the random matrix, not a meaningful physical signal. The algorithm’s reliance on diffusion dominance (</w:t>
      </w:r>
      <m:oMath>
        <m:r>
          <m:rPr>
            <m:nor/>
            <m:sty m:val="p"/>
          </m:rPr>
          <m:t>Pe</m:t>
        </m:r>
        <m:r>
          <m:rPr>
            <m:sty m:val="p"/>
          </m:rPr>
          <m:t>≈</m:t>
        </m:r>
        <m:r>
          <m:t>0.065</m:t>
        </m:r>
      </m:oMath>
      <w:r>
        <w:t xml:space="preserve">) effectively marginalizes the advection term—including its noise components—but a PDE framework whose directional transport mechanism is driven by projection artifacts is theoretically fragile. Scalar potential convection (Section 6) would eliminate this dependence entirely.</w:t>
      </w:r>
    </w:p>
    <w:p>
      <w:pPr>
        <w:numPr>
          <w:ilvl w:val="0"/>
          <w:numId w:val="1006"/>
        </w:numPr>
      </w:pPr>
      <w:r>
        <w:rPr>
          <w:bCs/>
          <w:b/>
        </w:rPr>
        <w:t xml:space="preserve">Scale.</w:t>
      </w:r>
      <w:r>
        <w:t xml:space="preserve"> </w:t>
      </w:r>
      <w:r>
        <w:t xml:space="preserve">Our experiments use</w:t>
      </w:r>
      <w:r>
        <w:t xml:space="preserve"> </w:t>
      </w:r>
      <m:oMath>
        <m:r>
          <m:t>N</m:t>
        </m:r>
        <m:r>
          <m:rPr>
            <m:sty m:val="p"/>
          </m:rPr>
          <m:t>=</m:t>
        </m:r>
        <m:r>
          <m:t>30</m:t>
        </m:r>
      </m:oMath>
      <w:r>
        <w:t xml:space="preserve"> </w:t>
      </w:r>
      <w:r>
        <w:t xml:space="preserve">candidates. Scaling to</w:t>
      </w:r>
      <w:r>
        <w:t xml:space="preserve"> </w:t>
      </w:r>
      <m:oMath>
        <m:r>
          <m:t>N</m:t>
        </m:r>
        <m:r>
          <m:rPr>
            <m:sty m:val="p"/>
          </m:rPr>
          <m:t>=</m:t>
        </m:r>
        <m:r>
          <m:t>100</m:t>
        </m:r>
      </m:oMath>
      <w:r>
        <w:t xml:space="preserve">+ would require investigating graph connectivity and the</w:t>
      </w:r>
      <w:r>
        <w:t xml:space="preserve"> </w:t>
      </w:r>
      <m:oMath>
        <m:r>
          <m:t>O</m:t>
        </m:r>
        <m:d>
          <m:dPr>
            <m:begChr m:val="("/>
            <m:endChr m:val=")"/>
            <m:sepChr m:val=""/>
            <m:grow/>
          </m:dPr>
          <m:e>
            <m:sSup>
              <m:e>
                <m:r>
                  <m:t>N</m:t>
                </m:r>
              </m:e>
              <m:sup>
                <m:r>
                  <m:t>2</m:t>
                </m:r>
              </m:sup>
            </m:sSup>
          </m:e>
        </m:d>
      </m:oMath>
      <w:r>
        <w:t xml:space="preserve"> </w:t>
      </w:r>
      <w:r>
        <w:t xml:space="preserve">similarity matrix cost.</w:t>
      </w:r>
    </w:p>
    <w:p>
      <w:pPr>
        <w:numPr>
          <w:ilvl w:val="0"/>
          <w:numId w:val="1006"/>
        </w:numPr>
      </w:pPr>
      <w:r>
        <w:rPr>
          <w:bCs/>
          <w:b/>
        </w:rPr>
        <w:t xml:space="preserve">Ground-truth evaluation.</w:t>
      </w:r>
      <w:r>
        <w:t xml:space="preserve"> </w:t>
      </w:r>
      <w:r>
        <w:t xml:space="preserve">The LawVein results rely on LLM blind evaluation rather than human-annotated relevance judgments.</w:t>
      </w:r>
    </w:p>
    <w:p>
      <w:pPr>
        <w:numPr>
          <w:ilvl w:val="0"/>
          <w:numId w:val="1006"/>
        </w:numPr>
      </w:pPr>
      <w:r>
        <w:rPr>
          <w:bCs/>
          <w:b/>
        </w:rPr>
        <w:t xml:space="preserve">Over-smoothing without reaction terms.</w:t>
      </w:r>
      <w:r>
        <w:t xml:space="preserve"> </w:t>
      </w:r>
      <w:r>
        <w:t xml:space="preserve">The linear diffusion dynamics guarantee convergence to a flat equilibrium as</w:t>
      </w:r>
      <w:r>
        <w:t xml:space="preserve"> </w:t>
      </w:r>
      <m:oMath>
        <m:r>
          <m:t>t</m:t>
        </m:r>
        <m:r>
          <m:rPr>
            <m:sty m:val="p"/>
          </m:rPr>
          <m:t>→</m:t>
        </m:r>
        <m:r>
          <m:rPr>
            <m:sty m:val="p"/>
          </m:rPr>
          <m:t>∞</m:t>
        </m:r>
      </m:oMath>
      <w:r>
        <w:t xml:space="preserve">. Our early-stopping strategy mitigates this practically but does not resolve it theoretically.</w:t>
      </w:r>
      <w:r>
        <w:t xml:space="preserve"> </w:t>
      </w:r>
      <w:r>
        <w:rPr>
          <w:bCs/>
          <w:b/>
        </w:rPr>
        <w:t xml:space="preserve">v3 update:</w:t>
      </w:r>
      <w:r>
        <w:t xml:space="preserve"> </w:t>
      </w:r>
      <w:r>
        <w:t xml:space="preserve">Section 4.3.3 demonstrates that the Allen-Cahn reaction term, while theoretically sound, is</w:t>
      </w:r>
      <w:r>
        <w:t xml:space="preserve"> </w:t>
      </w:r>
      <w:r>
        <w:rPr>
          <w:iCs/>
          <w:i/>
        </w:rPr>
        <w:t xml:space="preserve">numerically dormant</w:t>
      </w:r>
      <w:r>
        <w:t xml:space="preserve"> </w:t>
      </w:r>
      <w:r>
        <w:t xml:space="preserve">in the short-query regime (</w:t>
      </w:r>
      <m:oMath>
        <m:r>
          <m:t>Δ</m:t>
        </m:r>
        <m:sSub>
          <m:e>
            <m:r>
              <m:t>C</m:t>
            </m:r>
          </m:e>
          <m:sub>
            <m:r>
              <m:t>0</m:t>
            </m:r>
          </m:sub>
        </m:sSub>
        <m:r>
          <m:rPr>
            <m:sty m:val="p"/>
          </m:rPr>
          <m:t>≈</m:t>
        </m:r>
        <m:r>
          <m:t>0.1</m:t>
        </m:r>
      </m:oMath>
      <w:r>
        <w:t xml:space="preserve">) and cannot substitute for early stopping in this operating regime.</w:t>
      </w:r>
    </w:p>
    <w:p>
      <w:pPr>
        <w:numPr>
          <w:ilvl w:val="0"/>
          <w:numId w:val="1006"/>
        </w:numPr>
      </w:pPr>
      <w:r>
        <w:rPr>
          <w:bCs/>
          <w:b/>
        </w:rPr>
        <w:t xml:space="preserve">Domain-dependent initial field ( v3).</w:t>
      </w:r>
      <w:r>
        <w:t xml:space="preserve"> </w:t>
      </w:r>
      <w:r>
        <w:t xml:space="preserve">Section 4.3.4 demonstrates that the mixed initial field</w:t>
      </w:r>
      <w:r>
        <w:t xml:space="preserve"> </w:t>
      </w:r>
      <m:oMath>
        <m:sSub>
          <m:e>
            <m:r>
              <m:t>C</m:t>
            </m:r>
          </m:e>
          <m:sub>
            <m:r>
              <m:t>0</m:t>
            </m:r>
          </m:sub>
        </m:sSub>
        <m:r>
          <m:rPr>
            <m:sty m:val="p"/>
          </m:rPr>
          <m:t>=</m:t>
        </m:r>
        <m:r>
          <m:t>α</m:t>
        </m:r>
        <m:r>
          <m:rPr>
            <m:sty m:val="p"/>
          </m:rPr>
          <m:t>⋅</m:t>
        </m:r>
        <m:r>
          <m:rPr>
            <m:nor/>
            <m:sty m:val="p"/>
          </m:rPr>
          <m:t>MaxSim</m:t>
        </m:r>
        <m:r>
          <m:rPr>
            <m:sty m:val="p"/>
          </m:rPr>
          <m:t>+</m:t>
        </m:r>
        <m:d>
          <m:dPr>
            <m:begChr m:val="("/>
            <m:endChr m:val=")"/>
            <m:sepChr m:val=""/>
            <m:grow/>
          </m:dPr>
          <m:e>
            <m:r>
              <m:t>1</m:t>
            </m:r>
            <m:r>
              <m:rPr>
                <m:sty m:val="p"/>
              </m:rPr>
              <m:t>−</m:t>
            </m:r>
            <m:r>
              <m:t>α</m:t>
            </m:r>
          </m:e>
        </m:d>
        <m:r>
          <m:rPr>
            <m:sty m:val="p"/>
          </m:rPr>
          <m:t>⋅</m:t>
        </m:r>
        <m:r>
          <m:rPr>
            <m:nor/>
            <m:sty m:val="p"/>
          </m:rPr>
          <m:t>MeanSim</m:t>
        </m:r>
      </m:oMath>
      <w:r>
        <w:t xml:space="preserve"> </w:t>
      </w:r>
      <w:r>
        <w:t xml:space="preserve">yields a</w:t>
      </w:r>
      <w:r>
        <w:t xml:space="preserve"> </w:t>
      </w:r>
      <m:oMath>
        <m:r>
          <m:rPr>
            <m:sty m:val="p"/>
          </m:rPr>
          <m:t>+</m:t>
        </m:r>
        <m:r>
          <m:t>3.2</m:t>
        </m:r>
        <m:r>
          <m:rPr>
            <m:sty m:val="p"/>
          </m:rPr>
          <m:t>%</m:t>
        </m:r>
      </m:oMath>
      <w:r>
        <w:t xml:space="preserve"> </w:t>
      </w:r>
      <w:r>
        <w:t xml:space="preserve">improvement on NFCorpus at</w:t>
      </w:r>
      <w:r>
        <w:t xml:space="preserve"> </w:t>
      </w:r>
      <m:oMath>
        <m:r>
          <m:t>α</m:t>
        </m:r>
        <m:r>
          <m:rPr>
            <m:sty m:val="p"/>
          </m:rPr>
          <m:t>=</m:t>
        </m:r>
        <m:r>
          <m:t>0.7</m:t>
        </m:r>
      </m:oMath>
      <w:r>
        <w:t xml:space="preserve"> </w:t>
      </w:r>
      <w:r>
        <w:t xml:space="preserve">but degrades on SciFact at all</w:t>
      </w:r>
      <w:r>
        <w:t xml:space="preserve"> </w:t>
      </w:r>
      <m:oMath>
        <m:r>
          <m:t>α</m:t>
        </m:r>
        <m:r>
          <m:rPr>
            <m:sty m:val="p"/>
          </m:rPr>
          <m:t>&gt;</m:t>
        </m:r>
        <m:r>
          <m:t>0.5</m:t>
        </m:r>
      </m:oMath>
      <w:r>
        <w:t xml:space="preserve">. This makes the mixed initial field a</w:t>
      </w:r>
      <w:r>
        <w:t xml:space="preserve"> </w:t>
      </w:r>
      <w:r>
        <w:rPr>
          <w:iCs/>
          <w:i/>
        </w:rPr>
        <w:t xml:space="preserve">domain-specific enhancement</w:t>
      </w:r>
      <w:r>
        <w:t xml:space="preserve"> </w:t>
      </w:r>
      <w:r>
        <w:t xml:space="preserve">rather than a universal improvement, limiting its applicability in zero-shot settings where corpus characteristics are unknown.</w:t>
      </w:r>
    </w:p>
    <w:bookmarkEnd w:id="52"/>
    <w:bookmarkStart w:id="53" w:name="Xf23383f1cfd2f8e60ec067df3c8e93083d2892f"/>
    <w:p>
      <w:pPr>
        <w:pStyle w:val="Heading3"/>
      </w:pPr>
      <w:r>
        <w:t xml:space="preserve">5.4 The Pareto Boundary of Initial Fields (v3 supplement)</w:t>
      </w:r>
    </w:p>
    <w:p>
      <w:pPr>
        <w:pStyle w:val="FirstParagraph"/>
      </w:pPr>
      <w:r>
        <w:t xml:space="preserve">The dataset-dependent behavior of the mixed initial field (Section 4.3.4) admits a precise statistical interpretation. We formalize this as the</w:t>
      </w:r>
      <w:r>
        <w:t xml:space="preserve"> </w:t>
      </w:r>
      <w:r>
        <w:rPr>
          <w:bCs/>
          <w:b/>
        </w:rPr>
        <w:t xml:space="preserve">Dual-Role Theorem of MeanSim</w:t>
      </w:r>
      <w:r>
        <w:t xml:space="preserve">.</w:t>
      </w:r>
    </w:p>
    <w:p>
      <w:pPr>
        <w:pStyle w:val="BodyText"/>
      </w:pPr>
      <w:r>
        <w:rPr>
          <w:bCs/>
          <w:b/>
        </w:rPr>
        <w:t xml:space="preserve">Theorem 2 (Dual-Role Theorem).</w:t>
      </w:r>
      <w:r>
        <w:t xml:space="preserve"> </w:t>
      </w:r>
      <w:r>
        <w:rPr>
          <w:iCs/>
          <w:i/>
        </w:rPr>
        <w:t xml:space="preserve">In the mixed initial field</w:t>
      </w:r>
      <w:r>
        <w:rPr>
          <w:iCs/>
          <w:i/>
        </w:rPr>
        <w:t xml:space="preserve"> </w:t>
      </w:r>
      <m:oMath>
        <m:sSub>
          <m:e>
            <m:r>
              <m:t>C</m:t>
            </m:r>
          </m:e>
          <m:sub>
            <m:r>
              <m:t>0</m:t>
            </m:r>
          </m:sub>
        </m:sSub>
        <m:r>
          <m:rPr>
            <m:sty m:val="p"/>
          </m:rPr>
          <m:t>=</m:t>
        </m:r>
        <m:r>
          <m:t>α</m:t>
        </m:r>
        <m:r>
          <m:rPr>
            <m:sty m:val="p"/>
          </m:rPr>
          <m:t>⋅</m:t>
        </m:r>
        <m:r>
          <m:rPr>
            <m:nor/>
            <m:sty m:val="p"/>
          </m:rPr>
          <m:t>MaxSim</m:t>
        </m:r>
        <m:r>
          <m:rPr>
            <m:sty m:val="p"/>
          </m:rPr>
          <m:t>+</m:t>
        </m:r>
        <m:d>
          <m:dPr>
            <m:begChr m:val="("/>
            <m:endChr m:val=")"/>
            <m:sepChr m:val=""/>
            <m:grow/>
          </m:dPr>
          <m:e>
            <m:r>
              <m:t>1</m:t>
            </m:r>
            <m:r>
              <m:rPr>
                <m:sty m:val="p"/>
              </m:rPr>
              <m:t>−</m:t>
            </m:r>
            <m:r>
              <m:t>α</m:t>
            </m:r>
          </m:e>
        </m:d>
        <m:r>
          <m:rPr>
            <m:sty m:val="p"/>
          </m:rPr>
          <m:t>⋅</m:t>
        </m:r>
        <m:r>
          <m:rPr>
            <m:nor/>
            <m:sty m:val="p"/>
          </m:rPr>
          <m:t>MeanSim</m:t>
        </m:r>
      </m:oMath>
      <w:r>
        <w:rPr>
          <w:iCs/>
          <w:i/>
        </w:rPr>
        <w:t xml:space="preserve">, the MeanSim component plays two distinct roles depending on document structure:</w:t>
      </w:r>
    </w:p>
    <w:p>
      <w:pPr>
        <w:pStyle w:val="BodyText"/>
      </w:pPr>
      <w:r>
        <w:rPr>
          <w:iCs/>
          <w:i/>
        </w:rPr>
        <w:t xml:space="preserve">(i) Low-pass filter (short, homogeneous documents).</w:t>
      </w:r>
      <w:r>
        <w:t xml:space="preserve"> </w:t>
      </w:r>
      <w:r>
        <w:t xml:space="preserve">When</w:t>
      </w:r>
      <w:r>
        <w:t xml:space="preserve"> </w:t>
      </w:r>
      <m:oMath>
        <m:sSub>
          <m:e>
            <m:r>
              <m:t>K</m:t>
            </m:r>
          </m:e>
          <m:sub>
            <m:r>
              <m:t>i</m:t>
            </m:r>
          </m:sub>
        </m:sSub>
        <m:r>
          <m:rPr>
            <m:sty m:val="p"/>
          </m:rPr>
          <m:t>≤</m:t>
        </m:r>
        <m:sSub>
          <m:e>
            <m:r>
              <m:t>K</m:t>
            </m:r>
          </m:e>
          <m:sub>
            <m:r>
              <m:rPr>
                <m:nor/>
                <m:sty m:val="p"/>
              </m:rPr>
              <m:t>crit</m:t>
            </m:r>
          </m:sub>
        </m:sSub>
      </m:oMath>
      <w:r>
        <w:t xml:space="preserve"> </w:t>
      </w:r>
      <w:r>
        <w:t xml:space="preserve">(few sentences, all topically coherent),</w:t>
      </w:r>
      <w:r>
        <w:t xml:space="preserve"> </w:t>
      </w:r>
      <m:oMath>
        <m:r>
          <m:rPr>
            <m:nor/>
            <m:sty m:val="p"/>
          </m:rPr>
          <m:t>MaxSim</m:t>
        </m:r>
        <m:r>
          <m:rPr>
            <m:sty m:val="p"/>
          </m:rPr>
          <m:t>≈</m:t>
        </m:r>
        <m:r>
          <m:rPr>
            <m:nor/>
            <m:sty m:val="p"/>
          </m:rPr>
          <m:t>MeanSim</m:t>
        </m:r>
      </m:oMath>
      <w:r>
        <w:t xml:space="preserve"> </w:t>
      </w:r>
      <w:r>
        <w:t xml:space="preserve">and the decoupling adds no semantic information. However, MaxSim introduces extreme-value sampling noise (variance</w:t>
      </w:r>
      <w:r>
        <w:t xml:space="preserve"> </w:t>
      </w:r>
      <m:oMath>
        <m:r>
          <m:rPr>
            <m:sty m:val="p"/>
          </m:rPr>
          <m:t>∼</m:t>
        </m:r>
        <m:r>
          <m:t>1</m:t>
        </m:r>
        <m:r>
          <m:rPr>
            <m:sty m:val="p"/>
          </m:rPr>
          <m:t>/</m:t>
        </m:r>
        <m:sSub>
          <m:e>
            <m:r>
              <m:t>K</m:t>
            </m:r>
          </m:e>
          <m:sub>
            <m:r>
              <m:t>i</m:t>
            </m:r>
          </m:sub>
        </m:sSub>
      </m:oMath>
      <w:r>
        <w:t xml:space="preserve">), while MeanSim provides variance reduction via averaging. Increasing</w:t>
      </w:r>
      <w:r>
        <w:t xml:space="preserve"> </w:t>
      </w:r>
      <m:oMath>
        <m:r>
          <m:t>α</m:t>
        </m:r>
      </m:oMath>
      <w:r>
        <w:t xml:space="preserve"> </w:t>
      </w:r>
      <w:r>
        <w:t xml:space="preserve">degrades performance monotonically by amplifying noise without signal gain.</w:t>
      </w:r>
    </w:p>
    <w:p>
      <w:pPr>
        <w:pStyle w:val="BodyText"/>
      </w:pPr>
      <w:r>
        <w:rPr>
          <w:iCs/>
          <w:i/>
        </w:rPr>
        <w:t xml:space="preserve">(ii) Macroscopic gravity (long, heterogeneous documents).</w:t>
      </w:r>
      <w:r>
        <w:t xml:space="preserve"> </w:t>
      </w:r>
      <w:r>
        <w:t xml:space="preserve">When</w:t>
      </w:r>
      <w:r>
        <w:t xml:space="preserve"> </w:t>
      </w:r>
      <m:oMath>
        <m:sSub>
          <m:e>
            <m:r>
              <m:t>K</m:t>
            </m:r>
          </m:e>
          <m:sub>
            <m:r>
              <m:t>i</m:t>
            </m:r>
          </m:sub>
        </m:sSub>
        <m:r>
          <m:rPr>
            <m:sty m:val="p"/>
          </m:rPr>
          <m:t>≫</m:t>
        </m:r>
        <m:sSub>
          <m:e>
            <m:r>
              <m:t>K</m:t>
            </m:r>
          </m:e>
          <m:sub>
            <m:r>
              <m:rPr>
                <m:nor/>
                <m:sty m:val="p"/>
              </m:rPr>
              <m:t>crit</m:t>
            </m:r>
          </m:sub>
        </m:sSub>
      </m:oMath>
      <w:r>
        <w:t xml:space="preserve"> </w:t>
      </w:r>
      <w:r>
        <w:t xml:space="preserve">(many sentences with sparse relevance), MeanSim suffers catastrophic signal dilution (</w:t>
      </w:r>
      <m:oMath>
        <m:r>
          <m:rPr>
            <m:nor/>
            <m:sty m:val="p"/>
          </m:rPr>
          <m:t>MeanSim</m:t>
        </m:r>
        <m:r>
          <m:rPr>
            <m:sty m:val="p"/>
          </m:rPr>
          <m:t>→</m:t>
        </m:r>
        <m:r>
          <m:t>0</m:t>
        </m:r>
      </m:oMath>
      <w:r>
        <w:t xml:space="preserve"> </w:t>
      </w:r>
      <w:r>
        <w:t xml:space="preserve">as</w:t>
      </w:r>
      <w:r>
        <w:t xml:space="preserve"> </w:t>
      </w:r>
      <m:oMath>
        <m:sSub>
          <m:e>
            <m:r>
              <m:t>K</m:t>
            </m:r>
          </m:e>
          <m:sub>
            <m:r>
              <m:t>i</m:t>
            </m:r>
          </m:sub>
        </m:sSub>
        <m:r>
          <m:rPr>
            <m:sty m:val="p"/>
          </m:rPr>
          <m:t>→</m:t>
        </m:r>
        <m:r>
          <m:rPr>
            <m:sty m:val="p"/>
          </m:rPr>
          <m:t>∞</m:t>
        </m:r>
      </m:oMath>
      <w:r>
        <w:t xml:space="preserve"> </w:t>
      </w:r>
      <w:r>
        <w:t xml:space="preserve">for fixed relevant sentences). MaxSim penetrates this dilution by isolating the highest-scoring sentence. The optimal</w:t>
      </w:r>
      <w:r>
        <w:t xml:space="preserve"> </w:t>
      </w:r>
      <m:oMath>
        <m:sSup>
          <m:e>
            <m:r>
              <m:t>α</m:t>
            </m:r>
          </m:e>
          <m:sup>
            <m:r>
              <m:rPr>
                <m:sty m:val="p"/>
              </m:rPr>
              <m:t>*</m:t>
            </m:r>
          </m:sup>
        </m:sSup>
      </m:oMath>
      <w:r>
        <w:t xml:space="preserve"> </w:t>
      </w:r>
      <w:r>
        <w:t xml:space="preserve">balances the signal gain from MaxSim against its false-positive risk, yielding the inverted-U response observed on NFCorpus.</w:t>
      </w:r>
    </w:p>
    <w:p>
      <w:pPr>
        <w:pStyle w:val="BodyText"/>
      </w:pPr>
      <w:r>
        <w:t xml:space="preserve">The transition between regimes is governed by the</w:t>
      </w:r>
      <w:r>
        <w:t xml:space="preserve"> </w:t>
      </w:r>
      <w:r>
        <w:rPr>
          <w:iCs/>
          <w:i/>
        </w:rPr>
        <w:t xml:space="preserve">effective signal-to-noise ratio</w:t>
      </w:r>
      <w:r>
        <w:t xml:space="preserve"> </w:t>
      </w:r>
      <w:r>
        <w:t xml:space="preserve">of the MaxSim operator:</w:t>
      </w:r>
    </w:p>
    <w:p>
      <w:pPr>
        <w:pStyle w:val="BodyText"/>
      </w:pPr>
      <m:oMathPara>
        <m:oMathParaPr>
          <m:jc m:val="center"/>
        </m:oMathParaPr>
        <m:oMath>
          <m:sSub>
            <m:e>
              <m:r>
                <m:rPr>
                  <m:nor/>
                  <m:sty m:val="p"/>
                </m:rPr>
                <m:t>SNR</m:t>
              </m:r>
            </m:e>
            <m:sub>
              <m:r>
                <m:rPr>
                  <m:nor/>
                  <m:sty m:val="p"/>
                </m:rPr>
                <m:t>MaxSim</m:t>
              </m:r>
            </m:sub>
          </m:sSub>
          <m:r>
            <m:rPr>
              <m:sty m:val="p"/>
            </m:rPr>
            <m:t>=</m:t>
          </m:r>
          <m:f>
            <m:fPr>
              <m:type m:val="bar"/>
            </m:fPr>
            <m:num>
              <m:r>
                <m:rPr>
                  <m:sty m:val="p"/>
                  <m:scr m:val="double-struck"/>
                </m:rPr>
                <m:t>E</m:t>
              </m:r>
              <m:d>
                <m:dPr>
                  <m:begChr m:val="["/>
                  <m:endChr m:val="]"/>
                  <m:sepChr m:val=""/>
                  <m:grow/>
                </m:dPr>
                <m:e>
                  <m:limLow>
                    <m:e>
                      <m:r>
                        <m:rPr>
                          <m:sty m:val="p"/>
                        </m:rPr>
                        <m:t>max</m:t>
                      </m:r>
                    </m:e>
                    <m:lim>
                      <m:r>
                        <m:t>s</m:t>
                      </m:r>
                    </m:lim>
                  </m:limLow>
                  <m:r>
                    <m:rPr>
                      <m:sty m:val="p"/>
                    </m:rPr>
                    <m:t>cos</m:t>
                  </m:r>
                  <m:d>
                    <m:dPr>
                      <m:begChr m:val="("/>
                      <m:endChr m:val=")"/>
                      <m:sepChr m:val=""/>
                      <m:grow/>
                    </m:dPr>
                    <m:e>
                      <m:r>
                        <m:t>q</m:t>
                      </m:r>
                      <m:r>
                        <m:rPr>
                          <m:sty m:val="p"/>
                        </m:rPr>
                        <m:t>,</m:t>
                      </m:r>
                      <m:sSub>
                        <m:e>
                          <m:r>
                            <m:t>s</m:t>
                          </m:r>
                        </m:e>
                        <m:sub>
                          <m:r>
                            <m:rPr>
                              <m:nor/>
                              <m:sty m:val="p"/>
                            </m:rPr>
                            <m:t>rel</m:t>
                          </m:r>
                        </m:sub>
                      </m:sSub>
                    </m:e>
                  </m:d>
                </m:e>
              </m:d>
              <m:r>
                <m:rPr>
                  <m:sty m:val="p"/>
                </m:rPr>
                <m:t>−</m:t>
              </m:r>
              <m:r>
                <m:rPr>
                  <m:sty m:val="p"/>
                  <m:scr m:val="double-struck"/>
                </m:rPr>
                <m:t>E</m:t>
              </m:r>
              <m:d>
                <m:dPr>
                  <m:begChr m:val="["/>
                  <m:endChr m:val="]"/>
                  <m:sepChr m:val=""/>
                  <m:grow/>
                </m:dPr>
                <m:e>
                  <m:limLow>
                    <m:e>
                      <m:r>
                        <m:rPr>
                          <m:sty m:val="p"/>
                        </m:rPr>
                        <m:t>max</m:t>
                      </m:r>
                    </m:e>
                    <m:lim>
                      <m:r>
                        <m:t>s</m:t>
                      </m:r>
                    </m:lim>
                  </m:limLow>
                  <m:r>
                    <m:rPr>
                      <m:sty m:val="p"/>
                    </m:rPr>
                    <m:t>cos</m:t>
                  </m:r>
                  <m:d>
                    <m:dPr>
                      <m:begChr m:val="("/>
                      <m:endChr m:val=")"/>
                      <m:sepChr m:val=""/>
                      <m:grow/>
                    </m:dPr>
                    <m:e>
                      <m:r>
                        <m:t>q</m:t>
                      </m:r>
                      <m:r>
                        <m:rPr>
                          <m:sty m:val="p"/>
                        </m:rPr>
                        <m:t>,</m:t>
                      </m:r>
                      <m:sSub>
                        <m:e>
                          <m:r>
                            <m:t>s</m:t>
                          </m:r>
                        </m:e>
                        <m:sub>
                          <m:r>
                            <m:rPr>
                              <m:nor/>
                              <m:sty m:val="p"/>
                            </m:rPr>
                            <m:t>irrel</m:t>
                          </m:r>
                        </m:sub>
                      </m:sSub>
                    </m:e>
                  </m:d>
                </m:e>
              </m:d>
            </m:num>
            <m:den>
              <m:r>
                <m:rPr>
                  <m:nor/>
                  <m:sty m:val="p"/>
                </m:rPr>
                <m:t>Var</m:t>
              </m:r>
              <m:sSup>
                <m:e>
                  <m:d>
                    <m:dPr>
                      <m:begChr m:val="["/>
                      <m:endChr m:val="]"/>
                      <m:sepChr m:val=""/>
                      <m:grow/>
                    </m:dPr>
                    <m:e>
                      <m:limLow>
                        <m:e>
                          <m:r>
                            <m:rPr>
                              <m:sty m:val="p"/>
                            </m:rPr>
                            <m:t>max</m:t>
                          </m:r>
                        </m:e>
                        <m:lim>
                          <m:r>
                            <m:t>s</m:t>
                          </m:r>
                        </m:lim>
                      </m:limLow>
                      <m:r>
                        <m:rPr>
                          <m:sty m:val="p"/>
                        </m:rPr>
                        <m:t>cos</m:t>
                      </m:r>
                      <m:d>
                        <m:dPr>
                          <m:begChr m:val="("/>
                          <m:endChr m:val=")"/>
                          <m:sepChr m:val=""/>
                          <m:grow/>
                        </m:dPr>
                        <m:e>
                          <m:r>
                            <m:t>q</m:t>
                          </m:r>
                          <m:r>
                            <m:rPr>
                              <m:sty m:val="p"/>
                            </m:rPr>
                            <m:t>,</m:t>
                          </m:r>
                          <m:r>
                            <m:t>s</m:t>
                          </m:r>
                        </m:e>
                      </m:d>
                    </m:e>
                  </m:d>
                </m:e>
                <m:sup>
                  <m:r>
                    <m:t>1</m:t>
                  </m:r>
                  <m:r>
                    <m:rPr>
                      <m:sty m:val="p"/>
                    </m:rPr>
                    <m:t>/</m:t>
                  </m:r>
                  <m:r>
                    <m:t>2</m:t>
                  </m:r>
                </m:sup>
              </m:sSup>
            </m:den>
          </m:f>
        </m:oMath>
      </m:oMathPara>
    </w:p>
    <w:p>
      <w:pPr>
        <w:pStyle w:val="FirstParagraph"/>
      </w:pPr>
      <w:r>
        <w:t xml:space="preserve">When</w:t>
      </w:r>
      <w:r>
        <w:t xml:space="preserve"> </w:t>
      </w:r>
      <m:oMath>
        <m:sSub>
          <m:e>
            <m:r>
              <m:rPr>
                <m:nor/>
                <m:sty m:val="p"/>
              </m:rPr>
              <m:t>SNR</m:t>
            </m:r>
          </m:e>
          <m:sub>
            <m:r>
              <m:rPr>
                <m:nor/>
                <m:sty m:val="p"/>
              </m:rPr>
              <m:t>MaxSim</m:t>
            </m:r>
          </m:sub>
        </m:sSub>
        <m:r>
          <m:rPr>
            <m:sty m:val="p"/>
          </m:rPr>
          <m:t>&gt;</m:t>
        </m:r>
        <m:r>
          <m:t>1</m:t>
        </m:r>
      </m:oMath>
      <w:r>
        <w:t xml:space="preserve"> </w:t>
      </w:r>
      <w:r>
        <w:t xml:space="preserve">(long documents with strong local evidence), decoupling is beneficial; when</w:t>
      </w:r>
      <w:r>
        <w:t xml:space="preserve"> </w:t>
      </w:r>
      <m:oMath>
        <m:sSub>
          <m:e>
            <m:r>
              <m:rPr>
                <m:nor/>
                <m:sty m:val="p"/>
              </m:rPr>
              <m:t>SNR</m:t>
            </m:r>
          </m:e>
          <m:sub>
            <m:r>
              <m:rPr>
                <m:nor/>
                <m:sty m:val="p"/>
              </m:rPr>
              <m:t>MaxSim</m:t>
            </m:r>
          </m:sub>
        </m:sSub>
        <m:r>
          <m:rPr>
            <m:sty m:val="p"/>
          </m:rPr>
          <m:t>&lt;</m:t>
        </m:r>
        <m:r>
          <m:t>1</m:t>
        </m:r>
      </m:oMath>
      <w:r>
        <w:t xml:space="preserve"> </w:t>
      </w:r>
      <w:r>
        <w:t xml:space="preserve">(short documents where the extreme value is noise-dominated), the symmetric Chamfer baseline (</w:t>
      </w:r>
      <m:oMath>
        <m:r>
          <m:t>α</m:t>
        </m:r>
        <m:r>
          <m:rPr>
            <m:sty m:val="p"/>
          </m:rPr>
          <m:t>=</m:t>
        </m:r>
        <m:r>
          <m:t>0.5</m:t>
        </m:r>
      </m:oMath>
      <w:r>
        <w:t xml:space="preserve">) is optimal.</w:t>
      </w:r>
    </w:p>
    <w:p>
      <w:pPr>
        <w:pStyle w:val="BodyText"/>
      </w:pPr>
      <w:r>
        <w:rPr>
          <w:bCs/>
          <w:b/>
        </w:rPr>
        <w:t xml:space="preserve">Scale-adaptive symmetry breaking.</w:t>
      </w:r>
      <w:r>
        <w:t xml:space="preserve"> </w:t>
      </w:r>
      <w:r>
        <w:t xml:space="preserve">Based on this analysis, we propose a document-level adaptive mixing coefficient:</w:t>
      </w:r>
    </w:p>
    <w:p>
      <w:pPr>
        <w:pStyle w:val="BodyText"/>
      </w:pPr>
      <m:oMathPara>
        <m:oMathParaPr>
          <m:jc m:val="center"/>
        </m:oMathParaPr>
        <m:oMath>
          <m:sSub>
            <m:e>
              <m:r>
                <m:t>α</m:t>
              </m:r>
            </m:e>
            <m:sub>
              <m:r>
                <m:t>i</m:t>
              </m:r>
            </m:sub>
          </m:sSub>
          <m:r>
            <m:rPr>
              <m:sty m:val="p"/>
            </m:rPr>
            <m:t>=</m:t>
          </m:r>
          <m:r>
            <m:t>0.5</m:t>
          </m:r>
          <m:r>
            <m:rPr>
              <m:sty m:val="p"/>
            </m:rPr>
            <m:t>+</m:t>
          </m:r>
          <m:sSub>
            <m:e>
              <m:r>
                <m:t>Δ</m:t>
              </m:r>
            </m:e>
            <m:sub>
              <m:r>
                <m:rPr>
                  <m:sty m:val="p"/>
                </m:rPr>
                <m:t>max</m:t>
              </m:r>
            </m:sub>
          </m:sSub>
          <m:r>
            <m:rPr>
              <m:sty m:val="p"/>
            </m:rPr>
            <m:t>⋅</m:t>
          </m:r>
          <m:r>
            <m:rPr>
              <m:sty m:val="p"/>
            </m:rPr>
            <m:t>tanh</m:t>
          </m:r>
          <m:d>
            <m:dPr>
              <m:begChr m:val="("/>
              <m:endChr m:val=")"/>
              <m:sepChr m:val=""/>
              <m:grow/>
            </m:dPr>
            <m:e>
              <m:r>
                <m:rPr>
                  <m:sty m:val="p"/>
                </m:rPr>
                <m:t>max</m:t>
              </m:r>
              <m:d>
                <m:dPr>
                  <m:begChr m:val="("/>
                  <m:endChr m:val=")"/>
                  <m:sepChr m:val=""/>
                  <m:grow/>
                </m:dPr>
                <m:e>
                  <m:r>
                    <m:t>0</m:t>
                  </m:r>
                  <m:r>
                    <m:rPr>
                      <m:sty m:val="p"/>
                    </m:rPr>
                    <m:t>,</m:t>
                  </m:r>
                  <m:f>
                    <m:fPr>
                      <m:type m:val="bar"/>
                    </m:fPr>
                    <m:num>
                      <m:d>
                        <m:dPr>
                          <m:begChr m:val="|"/>
                          <m:endChr m:val="|"/>
                          <m:sepChr m:val=""/>
                          <m:grow/>
                        </m:dPr>
                        <m:e>
                          <m:sSub>
                            <m:e>
                              <m:r>
                                <m:t>D</m:t>
                              </m:r>
                            </m:e>
                            <m:sub>
                              <m:r>
                                <m:t>i</m:t>
                              </m:r>
                            </m:sub>
                          </m:sSub>
                        </m:e>
                      </m:d>
                      <m:r>
                        <m:rPr>
                          <m:sty m:val="p"/>
                        </m:rPr>
                        <m:t>−</m:t>
                      </m:r>
                      <m:sSub>
                        <m:e>
                          <m:r>
                            <m:t>L</m:t>
                          </m:r>
                        </m:e>
                        <m:sub>
                          <m:r>
                            <m:rPr>
                              <m:sty m:val="p"/>
                            </m:rPr>
                            <m:t>min</m:t>
                          </m:r>
                        </m:sub>
                      </m:sSub>
                    </m:num>
                    <m:den>
                      <m:sSub>
                        <m:e>
                          <m:r>
                            <m:t>L</m:t>
                          </m:r>
                        </m:e>
                        <m:sub>
                          <m:r>
                            <m:rPr>
                              <m:nor/>
                              <m:sty m:val="p"/>
                            </m:rPr>
                            <m:t>scale</m:t>
                          </m:r>
                        </m:sub>
                      </m:sSub>
                    </m:den>
                  </m:f>
                </m:e>
              </m:d>
            </m:e>
          </m:d>
        </m:oMath>
      </m:oMathPara>
    </w:p>
    <w:p>
      <w:pPr>
        <w:pStyle w:val="FirstParagraph"/>
      </w:pPr>
      <w:r>
        <w:t xml:space="preserve">where</w:t>
      </w:r>
      <w:r>
        <w:t xml:space="preserve"> </w:t>
      </w:r>
      <m:oMath>
        <m:d>
          <m:dPr>
            <m:begChr m:val="|"/>
            <m:endChr m:val="|"/>
            <m:sepChr m:val=""/>
            <m:grow/>
          </m:dPr>
          <m:e>
            <m:sSub>
              <m:e>
                <m:r>
                  <m:t>D</m:t>
                </m:r>
              </m:e>
              <m:sub>
                <m:r>
                  <m:t>i</m:t>
                </m:r>
              </m:sub>
            </m:sSub>
          </m:e>
        </m:d>
      </m:oMath>
      <w:r>
        <w:t xml:space="preserve"> </w:t>
      </w:r>
      <w:r>
        <w:t xml:space="preserve">is the sentence count of document</w:t>
      </w:r>
      <w:r>
        <w:t xml:space="preserve"> </w:t>
      </w:r>
      <m:oMath>
        <m:r>
          <m:t>i</m:t>
        </m:r>
      </m:oMath>
      <w:r>
        <w:t xml:space="preserve">,</w:t>
      </w:r>
      <w:r>
        <w:t xml:space="preserve"> </w:t>
      </w:r>
      <m:oMath>
        <m:sSub>
          <m:e>
            <m:r>
              <m:t>L</m:t>
            </m:r>
          </m:e>
          <m:sub>
            <m:r>
              <m:rPr>
                <m:sty m:val="p"/>
              </m:rPr>
              <m:t>min</m:t>
            </m:r>
          </m:sub>
        </m:sSub>
      </m:oMath>
      <w:r>
        <w:t xml:space="preserve"> </w:t>
      </w:r>
      <w:r>
        <w:t xml:space="preserve">is the minimum length below which</w:t>
      </w:r>
      <w:r>
        <w:t xml:space="preserve"> </w:t>
      </w:r>
      <m:oMath>
        <m:r>
          <m:t>α</m:t>
        </m:r>
        <m:r>
          <m:rPr>
            <m:sty m:val="p"/>
          </m:rPr>
          <m:t>=</m:t>
        </m:r>
        <m:r>
          <m:t>0.5</m:t>
        </m:r>
      </m:oMath>
      <w:r>
        <w:t xml:space="preserve"> </w:t>
      </w:r>
      <w:r>
        <w:t xml:space="preserve">(the Chamfer default),</w:t>
      </w:r>
      <w:r>
        <w:t xml:space="preserve"> </w:t>
      </w:r>
      <m:oMath>
        <m:sSub>
          <m:e>
            <m:r>
              <m:t>L</m:t>
            </m:r>
          </m:e>
          <m:sub>
            <m:r>
              <m:rPr>
                <m:nor/>
                <m:sty m:val="p"/>
              </m:rPr>
              <m:t>scale</m:t>
            </m:r>
          </m:sub>
        </m:sSub>
      </m:oMath>
      <w:r>
        <w:t xml:space="preserve"> </w:t>
      </w:r>
      <w:r>
        <w:t xml:space="preserve">controls the transition steepness, and</w:t>
      </w:r>
      <w:r>
        <w:t xml:space="preserve"> </w:t>
      </w:r>
      <m:oMath>
        <m:sSub>
          <m:e>
            <m:r>
              <m:t>Δ</m:t>
            </m:r>
          </m:e>
          <m:sub>
            <m:r>
              <m:rPr>
                <m:sty m:val="p"/>
              </m:rPr>
              <m:t>max</m:t>
            </m:r>
          </m:sub>
        </m:sSub>
        <m:r>
          <m:rPr>
            <m:sty m:val="p"/>
          </m:rPr>
          <m:t>∈</m:t>
        </m:r>
        <m:d>
          <m:dPr>
            <m:begChr m:val="["/>
            <m:endChr m:val="]"/>
            <m:sepChr m:val=""/>
            <m:grow/>
          </m:dPr>
          <m:e>
            <m:r>
              <m:t>0.2</m:t>
            </m:r>
            <m:r>
              <m:rPr>
                <m:sty m:val="p"/>
              </m:rPr>
              <m:t>,</m:t>
            </m:r>
            <m:r>
              <m:t>0.25</m:t>
            </m:r>
          </m:e>
        </m:d>
      </m:oMath>
      <w:r>
        <w:t xml:space="preserve"> </w:t>
      </w:r>
      <w:r>
        <w:t xml:space="preserve">caps the maximum asymmetry. This formula satisfies two critical properties: (1) it reduces to the v1 Chamfer baseline (</w:t>
      </w:r>
      <m:oMath>
        <m:r>
          <m:t>α</m:t>
        </m:r>
        <m:r>
          <m:rPr>
            <m:sty m:val="p"/>
          </m:rPr>
          <m:t>≡</m:t>
        </m:r>
        <m:r>
          <m:t>0.5</m:t>
        </m:r>
      </m:oMath>
      <w:r>
        <w:t xml:space="preserve">) for corpora of uniformly short documents, ensuring no degradation; (2) it smoothly transitions to the</w:t>
      </w:r>
      <w:r>
        <w:t xml:space="preserve"> </w:t>
      </w:r>
      <m:oMath>
        <m:r>
          <m:t>α</m:t>
        </m:r>
        <m:r>
          <m:rPr>
            <m:sty m:val="p"/>
          </m:rPr>
          <m:t>=</m:t>
        </m:r>
        <m:r>
          <m:t>0.7</m:t>
        </m:r>
      </m:oMath>
      <w:r>
        <w:t xml:space="preserve">–</w:t>
      </w:r>
      <m:oMath>
        <m:r>
          <m:t>0.75</m:t>
        </m:r>
      </m:oMath>
      <w:r>
        <w:t xml:space="preserve"> </w:t>
      </w:r>
      <w:r>
        <w:t xml:space="preserve">regime for long-document corpora, capturing the NFCorpus-type improvement. Experimental validation of this adaptive formula is deferred to future work.</w:t>
      </w:r>
    </w:p>
    <w:bookmarkEnd w:id="53"/>
    <w:bookmarkEnd w:id="54"/>
    <w:bookmarkStart w:id="56" w:name="conclusion"/>
    <w:p>
      <w:pPr>
        <w:pStyle w:val="Heading2"/>
      </w:pPr>
      <w:r>
        <w:t xml:space="preserve">6 Conclusion</w:t>
      </w:r>
    </w:p>
    <w:p>
      <w:pPr>
        <w:pStyle w:val="FirstParagraph"/>
      </w:pPr>
      <w:r>
        <w:t xml:space="preserve">We have presented Shape-CFD, a physics-inspired reranking framework that models post-retrieval reranking as a conservative convection-diffusion process on a document similarity graph. By introducing directional advection alongside isotropic diffusion, and by upgrading document representations from single-point embeddings to sentence-level point clouds measured via Chamfer distance, Shape-CFD captures both inter-document structural relationships and fine-grained sub-document semantic matches.</w:t>
      </w:r>
    </w:p>
    <w:p>
      <w:pPr>
        <w:pStyle w:val="BodyText"/>
      </w:pPr>
      <w:r>
        <w:rPr>
          <w:bCs/>
          <w:b/>
        </w:rPr>
        <w:t xml:space="preserve">v3 supplement findings.</w:t>
      </w:r>
      <w:r>
        <w:t xml:space="preserve"> </w:t>
      </w:r>
      <w:r>
        <w:t xml:space="preserve">The systematic ablation of V5 reaction-diffusion extensions (Section 4.3.3) reveals that the Allen-Cahn reaction term is physically dormant in the short-query, narrow score-range regime—not due to implementation deficiency, but as a consequence of the cubic scaling of reaction forces versus linear scaling of diffusion in the</w:t>
      </w:r>
      <w:r>
        <w:t xml:space="preserve"> </w:t>
      </w:r>
      <m:oMath>
        <m:r>
          <m:t>Δ</m:t>
        </m:r>
        <m:sSub>
          <m:e>
            <m:r>
              <m:t>C</m:t>
            </m:r>
          </m:e>
          <m:sub>
            <m:r>
              <m:t>0</m:t>
            </m:r>
          </m:sub>
        </m:sSub>
        <m:r>
          <m:rPr>
            <m:sty m:val="p"/>
          </m:rPr>
          <m:t>≪</m:t>
        </m:r>
        <m:r>
          <m:t>1</m:t>
        </m:r>
      </m:oMath>
      <w:r>
        <w:t xml:space="preserve"> </w:t>
      </w:r>
      <w:r>
        <w:t xml:space="preserve">limit. The mixed initial field experiment (Section 4.3.4) demonstrates that decoupling the symmetric Chamfer distance into explicit MaxSim and MeanSim components yields a domain-dependent response: a</w:t>
      </w:r>
      <w:r>
        <w:t xml:space="preserve"> </w:t>
      </w:r>
      <m:oMath>
        <m:r>
          <m:rPr>
            <m:sty m:val="p"/>
          </m:rPr>
          <m:t>+</m:t>
        </m:r>
        <m:r>
          <m:t>3.2</m:t>
        </m:r>
        <m:r>
          <m:rPr>
            <m:sty m:val="p"/>
          </m:rPr>
          <m:t>%</m:t>
        </m:r>
      </m:oMath>
      <w:r>
        <w:t xml:space="preserve"> </w:t>
      </w:r>
      <w:r>
        <w:t xml:space="preserve">improvement on NFCorpus (heterogeneous long documents) at</w:t>
      </w:r>
      <w:r>
        <w:t xml:space="preserve"> </w:t>
      </w:r>
      <m:oMath>
        <m:r>
          <m:t>α</m:t>
        </m:r>
        <m:r>
          <m:rPr>
            <m:sty m:val="p"/>
          </m:rPr>
          <m:t>=</m:t>
        </m:r>
        <m:r>
          <m:t>0.7</m:t>
        </m:r>
      </m:oMath>
      <w:r>
        <w:t xml:space="preserve">, but monotonic degradation on SciFact (homogeneous short documents). This Pareto boundary (Section 5.4) is governed by the trade-off between extreme-value signal gain and sampling noise, and the original symmetric Chamfer (</w:t>
      </w:r>
      <m:oMath>
        <m:r>
          <m:t>α</m:t>
        </m:r>
        <m:r>
          <m:rPr>
            <m:sty m:val="p"/>
          </m:rPr>
          <m:t>=</m:t>
        </m:r>
        <m:r>
          <m:t>0.5</m:t>
        </m:r>
      </m:oMath>
      <w:r>
        <w:t xml:space="preserve">) remains the Pareto-optimal default for domain-agnostic deployment.</w:t>
      </w:r>
    </w:p>
    <w:bookmarkStart w:id="55" w:name="future-work"/>
    <w:p>
      <w:pPr>
        <w:pStyle w:val="Heading3"/>
      </w:pPr>
      <w:r>
        <w:t xml:space="preserve">Future Work</w:t>
      </w:r>
    </w:p>
    <w:p>
      <w:pPr>
        <w:pStyle w:val="FirstParagraph"/>
      </w:pPr>
      <w:r>
        <w:t xml:space="preserve">The three theoretical limitations identified in Section 5.3 point directly to a coherent next-generation design. We outline the key directions:</w:t>
      </w:r>
    </w:p>
    <w:p>
      <w:pPr>
        <w:numPr>
          <w:ilvl w:val="0"/>
          <w:numId w:val="1007"/>
        </w:numPr>
      </w:pPr>
      <w:r>
        <w:rPr>
          <w:bCs/>
          <w:b/>
        </w:rPr>
        <w:t xml:space="preserve">Scalar potential convection (resolves Limitations 1 and 3).</w:t>
      </w:r>
      <w:r>
        <w:t xml:space="preserve"> </w:t>
      </w:r>
      <w:r>
        <w:t xml:space="preserve">The metric space inconsistency and JL noise dependence share a common root cause: defining advection via vector inner products in high-dimensional space. We propose replacing the centroid-based advection with a</w:t>
      </w:r>
      <w:r>
        <w:t xml:space="preserve"> </w:t>
      </w:r>
      <w:r>
        <w:rPr>
          <w:iCs/>
          <w:i/>
        </w:rPr>
        <w:t xml:space="preserve">scalar potential gradient</w:t>
      </w:r>
      <w:r>
        <w:t xml:space="preserve">, following the Darcy flow analogy:</w:t>
      </w:r>
    </w:p>
    <w:p>
      <w:pPr>
        <w:pStyle w:val="BodyText"/>
      </w:pPr>
      <m:oMathPara>
        <m:oMathParaPr>
          <m:jc m:val="center"/>
        </m:oMathParaPr>
        <m:oMath>
          <m:sSubSup>
            <m:e>
              <m:r>
                <m:t>u</m:t>
              </m:r>
            </m:e>
            <m:sub>
              <m:r>
                <m:t>i</m:t>
              </m:r>
              <m:r>
                <m:t>j</m:t>
              </m:r>
            </m:sub>
            <m:sup>
              <m:r>
                <m:rPr>
                  <m:nor/>
                  <m:sty m:val="p"/>
                </m:rPr>
                <m:t>potential</m:t>
              </m:r>
            </m:sup>
          </m:sSubSup>
          <m:r>
            <m:rPr>
              <m:sty m:val="p"/>
            </m:rPr>
            <m:t>=</m:t>
          </m:r>
          <m:r>
            <m:t>κ</m:t>
          </m:r>
          <m:r>
            <m:rPr>
              <m:sty m:val="p"/>
            </m:rPr>
            <m:t>⋅</m:t>
          </m:r>
          <m:d>
            <m:dPr>
              <m:begChr m:val="("/>
              <m:endChr m:val=")"/>
              <m:sepChr m:val=""/>
              <m:grow/>
            </m:dPr>
            <m:e>
              <m:sSub>
                <m:e>
                  <m:r>
                    <m:t>Φ</m:t>
                  </m:r>
                </m:e>
                <m:sub>
                  <m:r>
                    <m:t>j</m:t>
                  </m:r>
                </m:sub>
              </m:sSub>
              <m:r>
                <m:rPr>
                  <m:sty m:val="p"/>
                </m:rPr>
                <m:t>−</m:t>
              </m:r>
              <m:sSub>
                <m:e>
                  <m:r>
                    <m:t>Φ</m:t>
                  </m:r>
                </m:e>
                <m:sub>
                  <m:r>
                    <m:t>i</m:t>
                  </m:r>
                </m:sub>
              </m:sSub>
            </m:e>
          </m:d>
        </m:oMath>
      </m:oMathPara>
    </w:p>
    <w:p>
      <w:pPr>
        <w:numPr>
          <w:ilvl w:val="0"/>
          <w:numId w:val="1000"/>
        </w:numPr>
      </w:pPr>
      <w:r>
        <w:t xml:space="preserve">where</w:t>
      </w:r>
      <w:r>
        <w:t xml:space="preserve"> </w:t>
      </w:r>
      <m:oMath>
        <m:sSub>
          <m:e>
            <m:r>
              <m:t>Φ</m:t>
            </m:r>
          </m:e>
          <m:sub>
            <m:r>
              <m:t>i</m:t>
            </m:r>
          </m:sub>
        </m:sSub>
        <m:r>
          <m:rPr>
            <m:sty m:val="p"/>
          </m:rPr>
          <m:t>=</m:t>
        </m:r>
        <m:sSub>
          <m:e>
            <m:r>
              <m:rPr>
                <m:sty m:val="p"/>
              </m:rPr>
              <m:t>max</m:t>
            </m:r>
          </m:e>
          <m:sub>
            <m:r>
              <m:t>s</m:t>
            </m:r>
            <m:r>
              <m:rPr>
                <m:sty m:val="p"/>
              </m:rPr>
              <m:t>∈</m:t>
            </m:r>
            <m:sSub>
              <m:e>
                <m:r>
                  <m:rPr>
                    <m:sty m:val="p"/>
                    <m:scr m:val="script"/>
                  </m:rPr>
                  <m:t>P</m:t>
                </m:r>
              </m:e>
              <m:sub>
                <m:r>
                  <m:t>i</m:t>
                </m:r>
              </m:sub>
            </m:sSub>
          </m:sub>
        </m:sSub>
        <m:r>
          <m:rPr>
            <m:sty m:val="p"/>
          </m:rPr>
          <m:t>cos</m:t>
        </m:r>
        <m:d>
          <m:dPr>
            <m:begChr m:val="("/>
            <m:endChr m:val=")"/>
            <m:sepChr m:val=""/>
            <m:grow/>
          </m:dPr>
          <m:e>
            <m:r>
              <m:t>q</m:t>
            </m:r>
            <m:r>
              <m:rPr>
                <m:sty m:val="p"/>
              </m:rPr>
              <m:t>,</m:t>
            </m:r>
            <m:r>
              <m:t>s</m:t>
            </m:r>
          </m:e>
        </m:d>
      </m:oMath>
      <w:r>
        <w:t xml:space="preserve"> </w:t>
      </w:r>
      <w:r>
        <w:t xml:space="preserve">is the MaxSim score of document</w:t>
      </w:r>
      <w:r>
        <w:t xml:space="preserve"> </w:t>
      </w:r>
      <m:oMath>
        <m:r>
          <m:t>i</m:t>
        </m:r>
      </m:oMath>
      <w:r>
        <w:t xml:space="preserve"> </w:t>
      </w:r>
      <w:r>
        <w:t xml:space="preserve">against the query. This formulation eliminates the curse of dimensionality entirely—scalar subtraction has no dependence on the ambient dimension</w:t>
      </w:r>
      <w:r>
        <w:t xml:space="preserve"> </w:t>
      </w:r>
      <m:oMath>
        <m:r>
          <m:t>d</m:t>
        </m:r>
      </m:oMath>
      <w:r>
        <w:t xml:space="preserve">—and unifies the metric space: both the graph topology and the advection field operate on the same score manifold. The resulting advection is guaranteed to be non-degenerate whenever two documents have different MaxSim scores, regardless of the embedding dimension.</w:t>
      </w:r>
    </w:p>
    <w:p>
      <w:pPr>
        <w:numPr>
          <w:ilvl w:val="0"/>
          <w:numId w:val="1007"/>
        </w:numPr>
      </w:pPr>
      <w:r>
        <w:rPr>
          <w:bCs/>
          <w:b/>
        </w:rPr>
        <w:t xml:space="preserve">Allen-Cahn reaction-diffusion for long-document retrieval (resolves Limitation 6, v3 update).</w:t>
      </w:r>
      <w:r>
        <w:t xml:space="preserve"> </w:t>
      </w:r>
      <w:r>
        <w:t xml:space="preserve">Section 4.3.3 empirically confirms that the reaction term is dormant in the short-query regime (</w:t>
      </w:r>
      <m:oMath>
        <m:r>
          <m:t>Δ</m:t>
        </m:r>
        <m:sSub>
          <m:e>
            <m:r>
              <m:t>C</m:t>
            </m:r>
          </m:e>
          <m:sub>
            <m:r>
              <m:t>0</m:t>
            </m:r>
          </m:sub>
        </m:sSub>
        <m:r>
          <m:rPr>
            <m:sty m:val="p"/>
          </m:rPr>
          <m:t>≈</m:t>
        </m:r>
        <m:r>
          <m:t>0.1</m:t>
        </m:r>
      </m:oMath>
      <w:r>
        <w:t xml:space="preserve">). However, in long-document retrieval scenarios (e.g., legal case matching, multi-hop QA), where</w:t>
      </w:r>
      <w:r>
        <w:t xml:space="preserve"> </w:t>
      </w:r>
      <m:oMath>
        <m:r>
          <m:t>Δ</m:t>
        </m:r>
        <m:sSub>
          <m:e>
            <m:r>
              <m:t>C</m:t>
            </m:r>
          </m:e>
          <m:sub>
            <m:r>
              <m:t>0</m:t>
            </m:r>
          </m:sub>
        </m:sSub>
        <m:r>
          <m:rPr>
            <m:sty m:val="p"/>
          </m:rPr>
          <m:t>≫</m:t>
        </m:r>
        <m:r>
          <m:t>0.1</m:t>
        </m:r>
      </m:oMath>
      <w:r>
        <w:t xml:space="preserve"> </w:t>
      </w:r>
      <w:r>
        <w:t xml:space="preserve">due to sparse evidence distributed across lengthy documents, the Allen-Cahn dynamics are expected to activate meaningfully. The domain-adapted formulation</w:t>
      </w:r>
      <w:r>
        <w:t xml:space="preserve"> </w:t>
      </w:r>
      <m:oMath>
        <m:sSub>
          <m:e>
            <m:r>
              <m:t>γ</m:t>
            </m:r>
          </m:e>
          <m:sub>
            <m:r>
              <m:rPr>
                <m:nor/>
                <m:sty m:val="p"/>
              </m:rPr>
              <m:t>eff</m:t>
            </m:r>
          </m:sub>
        </m:sSub>
        <m:r>
          <m:rPr>
            <m:sty m:val="p"/>
          </m:rPr>
          <m:t>=</m:t>
        </m:r>
        <m:sSub>
          <m:e>
            <m:r>
              <m:t>γ</m:t>
            </m:r>
          </m:e>
          <m:sub>
            <m:r>
              <m:rPr>
                <m:nor/>
                <m:sty m:val="p"/>
              </m:rPr>
              <m:t>base</m:t>
            </m:r>
          </m:sub>
        </m:sSub>
        <m:r>
          <m:rPr>
            <m:sty m:val="p"/>
          </m:rPr>
          <m:t>/</m:t>
        </m:r>
        <m:sSup>
          <m:e>
            <m:d>
              <m:dPr>
                <m:begChr m:val="("/>
                <m:endChr m:val=")"/>
                <m:sepChr m:val=""/>
                <m:grow/>
              </m:dPr>
              <m:e>
                <m:r>
                  <m:t>Δ</m:t>
                </m:r>
                <m:r>
                  <m:t>C</m:t>
                </m:r>
              </m:e>
            </m:d>
          </m:e>
          <m:sup>
            <m:r>
              <m:t>2</m:t>
            </m:r>
          </m:sup>
        </m:sSup>
      </m:oMath>
      <w:r>
        <w:t xml:space="preserve"> </w:t>
      </w:r>
      <w:r>
        <w:t xml:space="preserve">(Section 4.3.3) provides the correct scaling law for such scenarios. We propose augmenting the convection-diffusion equation with the domain-adapted reaction term:</w:t>
      </w:r>
    </w:p>
    <w:p>
      <w:pPr>
        <w:pStyle w:val="BodyText"/>
      </w:pPr>
      <m:oMathPara>
        <m:oMathParaPr>
          <m:jc m:val="center"/>
        </m:oMathParaPr>
        <m:oMath>
          <m:r>
            <m:t>R</m:t>
          </m:r>
          <m:d>
            <m:dPr>
              <m:begChr m:val="("/>
              <m:endChr m:val=")"/>
              <m:sepChr m:val=""/>
              <m:grow/>
            </m:dPr>
            <m:e>
              <m:sSub>
                <m:e>
                  <m:r>
                    <m:t>C</m:t>
                  </m:r>
                </m:e>
                <m:sub>
                  <m:r>
                    <m:t>i</m:t>
                  </m:r>
                </m:sub>
              </m:sSub>
            </m:e>
          </m:d>
          <m:r>
            <m:rPr>
              <m:sty m:val="p"/>
            </m:rPr>
            <m:t>=</m:t>
          </m:r>
          <m:sSub>
            <m:e>
              <m:r>
                <m:t>γ</m:t>
              </m:r>
            </m:e>
            <m:sub>
              <m:r>
                <m:rPr>
                  <m:nor/>
                  <m:sty m:val="p"/>
                </m:rPr>
                <m:t>eff</m:t>
              </m:r>
            </m:sub>
          </m:sSub>
          <m:r>
            <m:t> </m:t>
          </m:r>
          <m:d>
            <m:dPr>
              <m:begChr m:val="("/>
              <m:endChr m:val=")"/>
              <m:sepChr m:val=""/>
              <m:grow/>
            </m:dPr>
            <m:e>
              <m:sSub>
                <m:e>
                  <m:r>
                    <m:t>C</m:t>
                  </m:r>
                </m:e>
                <m:sub>
                  <m:r>
                    <m:t>i</m:t>
                  </m:r>
                </m:sub>
              </m:sSub>
              <m:r>
                <m:rPr>
                  <m:sty m:val="p"/>
                </m:rPr>
                <m:t>−</m:t>
              </m:r>
              <m:sSub>
                <m:e>
                  <m:r>
                    <m:t>C</m:t>
                  </m:r>
                </m:e>
                <m:sub>
                  <m:r>
                    <m:rPr>
                      <m:sty m:val="p"/>
                    </m:rPr>
                    <m:t>min</m:t>
                  </m:r>
                </m:sub>
              </m:sSub>
            </m:e>
          </m:d>
          <m:d>
            <m:dPr>
              <m:begChr m:val="("/>
              <m:endChr m:val=")"/>
              <m:sepChr m:val=""/>
              <m:grow/>
            </m:dPr>
            <m:e>
              <m:sSub>
                <m:e>
                  <m:r>
                    <m:t>C</m:t>
                  </m:r>
                </m:e>
                <m:sub>
                  <m:r>
                    <m:rPr>
                      <m:sty m:val="p"/>
                    </m:rPr>
                    <m:t>max</m:t>
                  </m:r>
                </m:sub>
              </m:sSub>
              <m:r>
                <m:rPr>
                  <m:sty m:val="p"/>
                </m:rPr>
                <m:t>−</m:t>
              </m:r>
              <m:sSub>
                <m:e>
                  <m:r>
                    <m:t>C</m:t>
                  </m:r>
                </m:e>
                <m:sub>
                  <m:r>
                    <m:t>i</m:t>
                  </m:r>
                </m:sub>
              </m:sSub>
            </m:e>
          </m:d>
          <m:d>
            <m:dPr>
              <m:begChr m:val="("/>
              <m:endChr m:val=")"/>
              <m:sepChr m:val=""/>
              <m:grow/>
            </m:dPr>
            <m:e>
              <m:sSub>
                <m:e>
                  <m:r>
                    <m:t>C</m:t>
                  </m:r>
                </m:e>
                <m:sub>
                  <m:r>
                    <m:t>i</m:t>
                  </m:r>
                </m:sub>
              </m:sSub>
              <m:r>
                <m:rPr>
                  <m:sty m:val="p"/>
                </m:rPr>
                <m:t>−</m:t>
              </m:r>
              <m:sSub>
                <m:e>
                  <m:r>
                    <m:t>θ</m:t>
                  </m:r>
                </m:e>
                <m:sub>
                  <m:r>
                    <m:rPr>
                      <m:nor/>
                      <m:sty m:val="p"/>
                    </m:rPr>
                    <m:t>Otsu</m:t>
                  </m:r>
                </m:sub>
              </m:sSub>
            </m:e>
          </m:d>
        </m:oMath>
      </m:oMathPara>
    </w:p>
    <w:p>
      <w:pPr>
        <w:numPr>
          <w:ilvl w:val="0"/>
          <w:numId w:val="1000"/>
        </w:numPr>
      </w:pPr>
      <w:r>
        <w:t xml:space="preserve">where</w:t>
      </w:r>
      <w:r>
        <w:t xml:space="preserve"> </w:t>
      </w:r>
      <m:oMath>
        <m:sSub>
          <m:e>
            <m:r>
              <m:t>θ</m:t>
            </m:r>
          </m:e>
          <m:sub>
            <m:r>
              <m:rPr>
                <m:nor/>
                <m:sty m:val="p"/>
              </m:rPr>
              <m:t>Otsu</m:t>
            </m:r>
          </m:sub>
        </m:sSub>
      </m:oMath>
      <w:r>
        <w:t xml:space="preserve"> </w:t>
      </w:r>
      <w:r>
        <w:t xml:space="preserve">is dynamically determined via Otsu’s method. Target benchmarks include COLIEE (legal case matching) and TREC-Robust04 (narrative long queries).</w:t>
      </w:r>
    </w:p>
    <w:p>
      <w:pPr>
        <w:numPr>
          <w:ilvl w:val="0"/>
          <w:numId w:val="1007"/>
        </w:numPr>
      </w:pPr>
      <w:r>
        <w:rPr>
          <w:bCs/>
          <w:b/>
        </w:rPr>
        <w:t xml:space="preserve">Asymmetric shape matching (resolves Limitation 2).</w:t>
      </w:r>
      <w:r>
        <w:t xml:space="preserve"> </w:t>
      </w:r>
      <w:r>
        <w:t xml:space="preserve">Replacing the symmetric Chamfer distance with a directed, query-weighted variant:</w:t>
      </w:r>
    </w:p>
    <w:p>
      <w:pPr>
        <w:pStyle w:val="BodyText"/>
      </w:pPr>
      <m:oMathPara>
        <m:oMathParaPr>
          <m:jc m:val="center"/>
        </m:oMathParaPr>
        <m:oMath>
          <m:sSub>
            <m:e>
              <m:r>
                <m:t>d</m:t>
              </m:r>
            </m:e>
            <m:sub>
              <m:r>
                <m:rPr>
                  <m:nor/>
                  <m:sty m:val="p"/>
                </m:rPr>
                <m:t>asym</m:t>
              </m:r>
            </m:sub>
          </m:sSub>
          <m:d>
            <m:dPr>
              <m:begChr m:val="("/>
              <m:endChr m:val=")"/>
              <m:sepChr m:val=""/>
              <m:grow/>
            </m:dPr>
            <m:e>
              <m:sSub>
                <m:e>
                  <m:r>
                    <m:rPr>
                      <m:sty m:val="p"/>
                      <m:scr m:val="script"/>
                    </m:rPr>
                    <m:t>P</m:t>
                  </m:r>
                </m:e>
                <m:sub>
                  <m:r>
                    <m:t>q</m:t>
                  </m:r>
                </m:sub>
              </m:sSub>
              <m:r>
                <m:rPr>
                  <m:sty m:val="p"/>
                </m:rPr>
                <m:t>,</m:t>
              </m:r>
              <m:sSub>
                <m:e>
                  <m:r>
                    <m:rPr>
                      <m:sty m:val="p"/>
                      <m:scr m:val="script"/>
                    </m:rPr>
                    <m:t>P</m:t>
                  </m:r>
                </m:e>
                <m:sub>
                  <m:r>
                    <m:t>i</m:t>
                  </m:r>
                </m:sub>
              </m:sSub>
            </m:e>
          </m:d>
          <m:r>
            <m:rPr>
              <m:sty m:val="p"/>
            </m:rPr>
            <m:t>=</m:t>
          </m:r>
          <m:f>
            <m:fPr>
              <m:type m:val="bar"/>
            </m:fPr>
            <m:num>
              <m:r>
                <m:t>1</m:t>
              </m:r>
            </m:num>
            <m:den>
              <m:d>
                <m:dPr>
                  <m:begChr m:val="|"/>
                  <m:endChr m:val="|"/>
                  <m:sepChr m:val=""/>
                  <m:grow/>
                </m:dPr>
                <m:e>
                  <m:sSub>
                    <m:e>
                      <m:r>
                        <m:rPr>
                          <m:sty m:val="p"/>
                          <m:scr m:val="script"/>
                        </m:rPr>
                        <m:t>P</m:t>
                      </m:r>
                    </m:e>
                    <m:sub>
                      <m:r>
                        <m:t>q</m:t>
                      </m:r>
                    </m:sub>
                  </m:sSub>
                </m:e>
              </m:d>
            </m:den>
          </m:f>
          <m:nary>
            <m:naryPr>
              <m:chr m:val="∑"/>
              <m:limLoc m:val="undOvr"/>
              <m:subHide m:val="off"/>
              <m:supHide m:val="on"/>
            </m:naryPr>
            <m:sub>
              <m:r>
                <m:t>a</m:t>
              </m:r>
              <m:r>
                <m:rPr>
                  <m:sty m:val="p"/>
                </m:rPr>
                <m:t>∈</m:t>
              </m:r>
              <m:sSub>
                <m:e>
                  <m:r>
                    <m:rPr>
                      <m:sty m:val="p"/>
                      <m:scr m:val="script"/>
                    </m:rPr>
                    <m:t>P</m:t>
                  </m:r>
                </m:e>
                <m:sub>
                  <m:r>
                    <m:t>q</m:t>
                  </m:r>
                </m:sub>
              </m:sSub>
            </m:sub>
            <m:sup>
              <m:r>
                <m:t>​</m:t>
              </m:r>
            </m:sup>
            <m:e>
              <m:limLow>
                <m:e>
                  <m:r>
                    <m:rPr>
                      <m:sty m:val="p"/>
                    </m:rPr>
                    <m:t>min</m:t>
                  </m:r>
                </m:e>
                <m:lim>
                  <m:r>
                    <m:t>b</m:t>
                  </m:r>
                  <m:r>
                    <m:rPr>
                      <m:sty m:val="p"/>
                    </m:rPr>
                    <m:t>∈</m:t>
                  </m:r>
                  <m:sSub>
                    <m:e>
                      <m:r>
                        <m:rPr>
                          <m:sty m:val="p"/>
                          <m:scr m:val="script"/>
                        </m:rPr>
                        <m:t>P</m:t>
                      </m:r>
                    </m:e>
                    <m:sub>
                      <m:r>
                        <m:t>i</m:t>
                      </m:r>
                    </m:sub>
                  </m:sSub>
                </m:lim>
              </m:limLow>
            </m:e>
          </m:nary>
          <m:sSub>
            <m:e>
              <m:r>
                <m:t>d</m:t>
              </m:r>
            </m:e>
            <m:sub>
              <m:r>
                <m:rPr>
                  <m:sty m:val="p"/>
                </m:rPr>
                <m:t>cos</m:t>
              </m:r>
            </m:sub>
          </m:sSub>
          <m:d>
            <m:dPr>
              <m:begChr m:val="("/>
              <m:endChr m:val=")"/>
              <m:sepChr m:val=""/>
              <m:grow/>
            </m:dPr>
            <m:e>
              <m:r>
                <m:t>a</m:t>
              </m:r>
              <m:r>
                <m:rPr>
                  <m:sty m:val="p"/>
                </m:rPr>
                <m:t>,</m:t>
              </m:r>
              <m:r>
                <m:t>b</m:t>
              </m:r>
            </m:e>
          </m:d>
        </m:oMath>
      </m:oMathPara>
    </w:p>
    <w:p>
      <w:pPr>
        <w:numPr>
          <w:ilvl w:val="0"/>
          <w:numId w:val="1000"/>
        </w:numPr>
      </w:pPr>
      <w:r>
        <w:t xml:space="preserve">This measures only whether the query’s semantic facets are</w:t>
      </w:r>
      <w:r>
        <w:t xml:space="preserve"> </w:t>
      </w:r>
      <w:r>
        <w:rPr>
          <w:iCs/>
          <w:i/>
        </w:rPr>
        <w:t xml:space="preserve">covered</w:t>
      </w:r>
      <w:r>
        <w:t xml:space="preserve"> </w:t>
      </w:r>
      <w:r>
        <w:t xml:space="preserve">by the document, without penalizing unmatched document sentences. Combined with LSH (locality-sensitive hashing) sign quantization and hardware popcount instructions, this could achieve sub-millisecond shape distance computation.</w:t>
      </w:r>
    </w:p>
    <w:p>
      <w:pPr>
        <w:numPr>
          <w:ilvl w:val="0"/>
          <w:numId w:val="1007"/>
        </w:numPr>
      </w:pPr>
      <w:r>
        <w:rPr>
          <w:bCs/>
          <w:b/>
        </w:rPr>
        <w:t xml:space="preserve">Spectral acceleration.</w:t>
      </w:r>
      <w:r>
        <w:t xml:space="preserve"> </w:t>
      </w:r>
      <w:r>
        <w:t xml:space="preserve">For larger candidate sets (</w:t>
      </w:r>
      <m:oMath>
        <m:r>
          <m:t>N</m:t>
        </m:r>
        <m:r>
          <m:rPr>
            <m:sty m:val="p"/>
          </m:rPr>
          <m:t>≥</m:t>
        </m:r>
        <m:r>
          <m:t>100</m:t>
        </m:r>
      </m:oMath>
      <w:r>
        <w:t xml:space="preserve">), evolving the concentration field in the spectral domain of the graph Laplacian could reduce the iteration count from</w:t>
      </w:r>
      <w:r>
        <w:t xml:space="preserve"> </w:t>
      </w:r>
      <m:oMath>
        <m:r>
          <m:t>O</m:t>
        </m:r>
        <m:d>
          <m:dPr>
            <m:begChr m:val="("/>
            <m:endChr m:val=")"/>
            <m:sepChr m:val=""/>
            <m:grow/>
          </m:dPr>
          <m:e>
            <m:r>
              <m:t>N</m:t>
            </m:r>
          </m:e>
        </m:d>
      </m:oMath>
      <w:r>
        <w:t xml:space="preserve"> </w:t>
      </w:r>
      <w:r>
        <w:t xml:space="preserve">to</w:t>
      </w:r>
      <w:r>
        <w:t xml:space="preserve"> </w:t>
      </w:r>
      <m:oMath>
        <m:r>
          <m:t>O</m:t>
        </m:r>
        <m:d>
          <m:dPr>
            <m:begChr m:val="("/>
            <m:endChr m:val=")"/>
            <m:sepChr m:val=""/>
            <m:grow/>
          </m:dPr>
          <m:e>
            <m:r>
              <m:rPr>
                <m:sty m:val="p"/>
              </m:rPr>
              <m:t>log</m:t>
            </m:r>
            <m:r>
              <m:t>N</m:t>
            </m:r>
          </m:e>
        </m:d>
      </m:oMath>
      <w:r>
        <w:t xml:space="preserve">.</w:t>
      </w:r>
    </w:p>
    <w:p>
      <w:pPr>
        <w:numPr>
          <w:ilvl w:val="0"/>
          <w:numId w:val="1007"/>
        </w:numPr>
      </w:pPr>
      <w:r>
        <w:rPr>
          <w:bCs/>
          <w:b/>
        </w:rPr>
        <w:t xml:space="preserve">Scale-adaptive initial field (resolves Limitation 7, v3).</w:t>
      </w:r>
      <w:r>
        <w:t xml:space="preserve"> </w:t>
      </w:r>
      <w:r>
        <w:t xml:space="preserve">The Pareto boundary analysis (Section 5.4) motivates a document-level adaptive mixing coefficient</w:t>
      </w:r>
      <w:r>
        <w:t xml:space="preserve"> </w:t>
      </w:r>
      <m:oMath>
        <m:sSub>
          <m:e>
            <m:r>
              <m:t>α</m:t>
            </m:r>
          </m:e>
          <m:sub>
            <m:r>
              <m:t>i</m:t>
            </m:r>
          </m:sub>
        </m:sSub>
        <m:r>
          <m:rPr>
            <m:sty m:val="p"/>
          </m:rPr>
          <m:t>=</m:t>
        </m:r>
        <m:r>
          <m:t>0.5</m:t>
        </m:r>
        <m:r>
          <m:rPr>
            <m:sty m:val="p"/>
          </m:rPr>
          <m:t>+</m:t>
        </m:r>
        <m:sSub>
          <m:e>
            <m:r>
              <m:t>Δ</m:t>
            </m:r>
          </m:e>
          <m:sub>
            <m:r>
              <m:rPr>
                <m:sty m:val="p"/>
              </m:rPr>
              <m:t>max</m:t>
            </m:r>
          </m:sub>
        </m:sSub>
        <m:r>
          <m:rPr>
            <m:sty m:val="p"/>
          </m:rPr>
          <m:t>⋅</m:t>
        </m:r>
        <m:r>
          <m:rPr>
            <m:sty m:val="p"/>
          </m:rPr>
          <m:t>tanh</m:t>
        </m:r>
        <m:d>
          <m:dPr>
            <m:begChr m:val="("/>
            <m:endChr m:val=")"/>
            <m:sepChr m:val=""/>
            <m:grow/>
          </m:dPr>
          <m:e>
            <m:r>
              <m:rPr>
                <m:sty m:val="p"/>
              </m:rPr>
              <m:t>max</m:t>
            </m:r>
            <m:d>
              <m:dPr>
                <m:begChr m:val="("/>
                <m:endChr m:val=")"/>
                <m:sepChr m:val=""/>
                <m:grow/>
              </m:dPr>
              <m:e>
                <m:r>
                  <m:t>0</m:t>
                </m:r>
                <m:r>
                  <m:rPr>
                    <m:sty m:val="p"/>
                  </m:rPr>
                  <m:t>,</m:t>
                </m:r>
                <m:d>
                  <m:dPr>
                    <m:begChr m:val="("/>
                    <m:endChr m:val=")"/>
                    <m:sepChr m:val=""/>
                    <m:grow/>
                  </m:dPr>
                  <m:e>
                    <m:d>
                      <m:dPr>
                        <m:begChr m:val="|"/>
                        <m:endChr m:val="|"/>
                        <m:sepChr m:val=""/>
                        <m:grow/>
                      </m:dPr>
                      <m:e>
                        <m:sSub>
                          <m:e>
                            <m:r>
                              <m:t>D</m:t>
                            </m:r>
                          </m:e>
                          <m:sub>
                            <m:r>
                              <m:t>i</m:t>
                            </m:r>
                          </m:sub>
                        </m:sSub>
                      </m:e>
                    </m:d>
                    <m:r>
                      <m:rPr>
                        <m:sty m:val="p"/>
                      </m:rPr>
                      <m:t>−</m:t>
                    </m:r>
                    <m:sSub>
                      <m:e>
                        <m:r>
                          <m:t>L</m:t>
                        </m:r>
                      </m:e>
                      <m:sub>
                        <m:r>
                          <m:rPr>
                            <m:sty m:val="p"/>
                          </m:rPr>
                          <m:t>min</m:t>
                        </m:r>
                      </m:sub>
                    </m:sSub>
                  </m:e>
                </m:d>
                <m:r>
                  <m:rPr>
                    <m:sty m:val="p"/>
                  </m:rPr>
                  <m:t>/</m:t>
                </m:r>
                <m:sSub>
                  <m:e>
                    <m:r>
                      <m:t>L</m:t>
                    </m:r>
                  </m:e>
                  <m:sub>
                    <m:r>
                      <m:rPr>
                        <m:nor/>
                        <m:sty m:val="p"/>
                      </m:rPr>
                      <m:t>scale</m:t>
                    </m:r>
                  </m:sub>
                </m:sSub>
              </m:e>
            </m:d>
          </m:e>
        </m:d>
      </m:oMath>
      <w:r>
        <w:t xml:space="preserve"> </w:t>
      </w:r>
      <w:r>
        <w:t xml:space="preserve">that automatically transitions from the symmetric Chamfer baseline (</w:t>
      </w:r>
      <m:oMath>
        <m:r>
          <m:t>α</m:t>
        </m:r>
        <m:r>
          <m:rPr>
            <m:sty m:val="p"/>
          </m:rPr>
          <m:t>=</m:t>
        </m:r>
        <m:r>
          <m:t>0.5</m:t>
        </m:r>
      </m:oMath>
      <w:r>
        <w:t xml:space="preserve">) for short documents to the asymmetric MaxSim-dominant regime (</w:t>
      </w:r>
      <m:oMath>
        <m:r>
          <m:t>α</m:t>
        </m:r>
        <m:r>
          <m:rPr>
            <m:sty m:val="p"/>
          </m:rPr>
          <m:t>≈</m:t>
        </m:r>
        <m:r>
          <m:t>0.7</m:t>
        </m:r>
      </m:oMath>
      <w:r>
        <w:t xml:space="preserve">) for long documents. Combined with per-query calibration via the MaxSim SNR criterion, this would yield a fully adaptive, domain-agnostic initial field.</w:t>
      </w:r>
    </w:p>
    <w:p>
      <w:pPr>
        <w:numPr>
          <w:ilvl w:val="0"/>
          <w:numId w:val="1007"/>
        </w:numPr>
      </w:pPr>
      <w:r>
        <w:rPr>
          <w:bCs/>
          <w:b/>
        </w:rPr>
        <w:t xml:space="preserve">Chunk-level graph construction for long-document retrieval.</w:t>
      </w:r>
      <w:r>
        <w:t xml:space="preserve"> </w:t>
      </w:r>
      <w:r>
        <w:t xml:space="preserve">For corpora with documents exceeding hundreds of sentences (e.g., legal case files, clinical trial reports), document-level graph construction loses the fine-grained Riemannian manifold structure that underpins Shape-CFD’s success. We propose segmenting long documents into semantic chunks and constructing the KNN graph at the chunk level, creating a much larger but topologically richer graph where the Allen-Cahn reaction term (item 2) is expected to become physically active due to the expanded score range (</w:t>
      </w:r>
      <m:oMath>
        <m:r>
          <m:t>Δ</m:t>
        </m:r>
        <m:sSub>
          <m:e>
            <m:r>
              <m:t>C</m:t>
            </m:r>
          </m:e>
          <m:sub>
            <m:r>
              <m:t>0</m:t>
            </m:r>
          </m:sub>
        </m:sSub>
        <m:r>
          <m:rPr>
            <m:sty m:val="p"/>
          </m:rPr>
          <m:t>≫</m:t>
        </m:r>
        <m:r>
          <m:t>0.1</m:t>
        </m:r>
      </m:oMath>
      <w:r>
        <w:t xml:space="preserve">).</w:t>
      </w:r>
    </w:p>
    <w:p>
      <w:r>
        <w:pict>
          <v:rect style="width:0;height:1.5pt" o:hralign="center" o:hrstd="t" o:hr="t"/>
        </w:pict>
      </w:r>
    </w:p>
    <w:bookmarkEnd w:id="55"/>
    <w:bookmarkEnd w:id="56"/>
    <w:bookmarkStart w:id="57" w:name="references"/>
    <w:p>
      <w:pPr>
        <w:pStyle w:val="Heading2"/>
      </w:pPr>
      <w:r>
        <w:t xml:space="preserve">References</w:t>
      </w:r>
    </w:p>
    <w:p>
      <w:pPr>
        <w:pStyle w:val="FirstParagraph"/>
      </w:pPr>
      <w:r>
        <w:t xml:space="preserve">[1] L. Vilnis and A. McCallum. Word representations via Gaussian embedding. In</w:t>
      </w:r>
      <w:r>
        <w:t xml:space="preserve"> </w:t>
      </w:r>
      <w:r>
        <w:rPr>
          <w:iCs/>
          <w:i/>
        </w:rPr>
        <w:t xml:space="preserve">Proc. ICLR</w:t>
      </w:r>
      <w:r>
        <w:t xml:space="preserve">, 2015.</w:t>
      </w:r>
    </w:p>
    <w:p>
      <w:pPr>
        <w:pStyle w:val="BodyText"/>
      </w:pPr>
      <w:r>
        <w:t xml:space="preserve">[2] S. Dampanaboina, J. Shen, and B. Khoshnevisan. Diffusion-Aided Joint Source Channel Coding for Retrieval-Augmented Generation.</w:t>
      </w:r>
      <w:r>
        <w:t xml:space="preserve"> </w:t>
      </w:r>
      <w:r>
        <w:rPr>
          <w:iCs/>
          <w:i/>
        </w:rPr>
        <w:t xml:space="preserve">arXiv preprint</w:t>
      </w:r>
      <w:r>
        <w:t xml:space="preserve">, 2024.</w:t>
      </w:r>
    </w:p>
    <w:p>
      <w:pPr>
        <w:pStyle w:val="BodyText"/>
      </w:pPr>
      <w:r>
        <w:t xml:space="preserve">[3] N. Lin, Z. Bai, Y. Chen, and S. Lin. Advection augmented convolutional neural networks. In</w:t>
      </w:r>
      <w:r>
        <w:t xml:space="preserve"> </w:t>
      </w:r>
      <w:r>
        <w:rPr>
          <w:iCs/>
          <w:i/>
        </w:rPr>
        <w:t xml:space="preserve">Proc. IEEE/CVF CVPR</w:t>
      </w:r>
      <w:r>
        <w:t xml:space="preserve">, 2024.</w:t>
      </w:r>
    </w:p>
    <w:p>
      <w:pPr>
        <w:pStyle w:val="BodyText"/>
      </w:pPr>
      <w:r>
        <w:t xml:space="preserve">[4] S. Brin and L. Page. The anatomy of a large-scale hypertextual web search engine.</w:t>
      </w:r>
      <w:r>
        <w:t xml:space="preserve"> </w:t>
      </w:r>
      <w:r>
        <w:rPr>
          <w:iCs/>
          <w:i/>
        </w:rPr>
        <w:t xml:space="preserve">Computer Networks</w:t>
      </w:r>
      <w:r>
        <w:t xml:space="preserve">, 30(1-7):107–117, 1998.</w:t>
      </w:r>
    </w:p>
    <w:p>
      <w:pPr>
        <w:pStyle w:val="BodyText"/>
      </w:pPr>
      <w:r>
        <w:t xml:space="preserve">[5] Z. Li, N. Kovachki, K. Azizzadenesheli, B. Liu, K. Bhattacharya, A. Stuart, and A. Anandkumar. Fourier neural operator for parametric partial differential equations. In</w:t>
      </w:r>
      <w:r>
        <w:t xml:space="preserve"> </w:t>
      </w:r>
      <w:r>
        <w:rPr>
          <w:iCs/>
          <w:i/>
        </w:rPr>
        <w:t xml:space="preserve">Proc. ICLR</w:t>
      </w:r>
      <w:r>
        <w:t xml:space="preserve">, 2021.</w:t>
      </w:r>
    </w:p>
    <w:p>
      <w:pPr>
        <w:pStyle w:val="BodyText"/>
      </w:pPr>
      <w:r>
        <w:t xml:space="preserve">[6] M. Raissi, P. Perdikaris, and G. E. Karniadakis. Physics-informed neural networks: A deep learning framework for solving forward and inverse problems involving nonlinear partial differential equations.</w:t>
      </w:r>
      <w:r>
        <w:t xml:space="preserve"> </w:t>
      </w:r>
      <w:r>
        <w:rPr>
          <w:iCs/>
          <w:i/>
        </w:rPr>
        <w:t xml:space="preserve">Journal of Computational Physics</w:t>
      </w:r>
      <w:r>
        <w:t xml:space="preserve">, 378:686–707, 2019.</w:t>
      </w:r>
    </w:p>
    <w:p>
      <w:pPr>
        <w:pStyle w:val="BodyText"/>
      </w:pPr>
      <w:r>
        <w:t xml:space="preserve">[7] W. Johnson and J. Lindenstrauss. Extensions of Lipschitz mappings into a Hilbert space.</w:t>
      </w:r>
      <w:r>
        <w:t xml:space="preserve"> </w:t>
      </w:r>
      <w:r>
        <w:rPr>
          <w:iCs/>
          <w:i/>
        </w:rPr>
        <w:t xml:space="preserve">Contemporary Mathematics</w:t>
      </w:r>
      <w:r>
        <w:t xml:space="preserve">, 26:189–206, 1984.</w:t>
      </w:r>
    </w:p>
    <w:p>
      <w:pPr>
        <w:pStyle w:val="BodyText"/>
      </w:pPr>
      <w:r>
        <w:t xml:space="preserve">[8] J. Tremblay, S. Prakash, D. Acuna, M. Brophy, V. Jampani, C. Anil, T. To, E. Cameracci, S. Bonn, and S. Birchfield. Training deep networks with synthetic data: Bridging the reality gap by domain randomization. In</w:t>
      </w:r>
      <w:r>
        <w:t xml:space="preserve"> </w:t>
      </w:r>
      <w:r>
        <w:rPr>
          <w:iCs/>
          <w:i/>
        </w:rPr>
        <w:t xml:space="preserve">Proc. CVPR Workshops</w:t>
      </w:r>
      <w:r>
        <w:t xml:space="preserve">, 2018.</w:t>
      </w:r>
    </w:p>
    <w:p>
      <w:pPr>
        <w:pStyle w:val="BodyText"/>
      </w:pPr>
      <w:r>
        <w:t xml:space="preserve">[9] R.I. Kondor and J. Lafferty. Diffusion kernels on graphs and other discrete structures. In</w:t>
      </w:r>
      <w:r>
        <w:t xml:space="preserve"> </w:t>
      </w:r>
      <w:r>
        <w:rPr>
          <w:iCs/>
          <w:i/>
        </w:rPr>
        <w:t xml:space="preserve">Proc. ICML</w:t>
      </w:r>
      <w:r>
        <w:t xml:space="preserve">, 2002.</w:t>
      </w:r>
    </w:p>
    <w:p>
      <w:pPr>
        <w:pStyle w:val="BodyText"/>
      </w:pPr>
      <w:r>
        <w:t xml:space="preserve">[10] P. Lewis, E. Perez, A. Piktus, F. Petroni, V. Karpukhin, N. Goyal, H. Küttler, M. Lewis, W. Yih, T. Rocktäschel, S. Riedel, and D. Kiela. Retrieval-augmented generation for knowledge-intensive NLP tasks. In</w:t>
      </w:r>
      <w:r>
        <w:t xml:space="preserve"> </w:t>
      </w:r>
      <w:r>
        <w:rPr>
          <w:iCs/>
          <w:i/>
        </w:rPr>
        <w:t xml:space="preserve">Proc. NeurIPS</w:t>
      </w:r>
      <w:r>
        <w:t xml:space="preserve">, 2020.</w:t>
      </w:r>
    </w:p>
    <w:p>
      <w:pPr>
        <w:pStyle w:val="BodyText"/>
      </w:pPr>
      <w:r>
        <w:t xml:space="preserve">[11] L. Gao, X. Ma, J. Lin, and J. Callan. Tevatron: An efficient and flexible toolkit for neural retrieval.</w:t>
      </w:r>
      <w:r>
        <w:t xml:space="preserve"> </w:t>
      </w:r>
      <w:r>
        <w:rPr>
          <w:iCs/>
          <w:i/>
        </w:rPr>
        <w:t xml:space="preserve">arXiv preprint arXiv:2203.05765</w:t>
      </w:r>
      <w:r>
        <w:t xml:space="preserve">, 2022.</w:t>
      </w:r>
    </w:p>
    <w:p>
      <w:pPr>
        <w:pStyle w:val="BodyText"/>
      </w:pPr>
      <w:r>
        <w:t xml:space="preserve">[12] F. Chung. The heat kernel as the pagerank of a graph.</w:t>
      </w:r>
      <w:r>
        <w:t xml:space="preserve"> </w:t>
      </w:r>
      <w:r>
        <w:rPr>
          <w:iCs/>
          <w:i/>
        </w:rPr>
        <w:t xml:space="preserve">Proc. National Academy of Sciences</w:t>
      </w:r>
      <w:r>
        <w:t xml:space="preserve">, 104(50):19735–19740, 2007.</w:t>
      </w:r>
    </w:p>
    <w:p>
      <w:pPr>
        <w:pStyle w:val="BodyText"/>
      </w:pPr>
      <w:r>
        <w:t xml:space="preserve">[13] B. Chamberlain, J. Rowbottom, M. Gorinova, M. Bronstein, S. Webb, and E. Rossi. GRAND: Graph neural diffusion. In</w:t>
      </w:r>
      <w:r>
        <w:t xml:space="preserve"> </w:t>
      </w:r>
      <w:r>
        <w:rPr>
          <w:iCs/>
          <w:i/>
        </w:rPr>
        <w:t xml:space="preserve">Proc. ICML</w:t>
      </w:r>
      <w:r>
        <w:t xml:space="preserve">, 2021.</w:t>
      </w:r>
    </w:p>
    <w:p>
      <w:pPr>
        <w:pStyle w:val="BodyText"/>
      </w:pPr>
      <w:r>
        <w:t xml:space="preserve">[14] K. Xu, W. Hu, J. Leskovec, and S. Jegelka. How powerful are graph neural networks? In</w:t>
      </w:r>
      <w:r>
        <w:t xml:space="preserve"> </w:t>
      </w:r>
      <w:r>
        <w:rPr>
          <w:iCs/>
          <w:i/>
        </w:rPr>
        <w:t xml:space="preserve">Proc. ICLR</w:t>
      </w:r>
      <w:r>
        <w:t xml:space="preserve">, 2019.</w:t>
      </w:r>
    </w:p>
    <w:p>
      <w:pPr>
        <w:pStyle w:val="BodyText"/>
      </w:pPr>
      <w:r>
        <w:t xml:space="preserve">[15] G. Fantuzzi, D. Goluskin, D. Huang, and S.I. Chernyshenko. Bounds for deterministic and stochastic dynamical systems using sum-of-squares optimization.</w:t>
      </w:r>
      <w:r>
        <w:t xml:space="preserve"> </w:t>
      </w:r>
      <w:r>
        <w:rPr>
          <w:iCs/>
          <w:i/>
        </w:rPr>
        <w:t xml:space="preserve">SIAM Journal on Applied Dynamical Systems</w:t>
      </w:r>
      <w:r>
        <w:t xml:space="preserve">, 15(4):1962–1988, 2016.</w:t>
      </w:r>
    </w:p>
    <w:p>
      <w:pPr>
        <w:pStyle w:val="BodyText"/>
      </w:pPr>
      <w:r>
        <w:t xml:space="preserve">[16] M. Defferrard, X. Bresson, and P. Vandergheynst. Convolutional neural networks on graphs with fast localized spectral filtering. In</w:t>
      </w:r>
      <w:r>
        <w:t xml:space="preserve"> </w:t>
      </w:r>
      <w:r>
        <w:rPr>
          <w:iCs/>
          <w:i/>
        </w:rPr>
        <w:t xml:space="preserve">Proc. NeurIPS</w:t>
      </w:r>
      <w:r>
        <w:t xml:space="preserve">, 2016.</w:t>
      </w:r>
    </w:p>
    <w:p>
      <w:pPr>
        <w:pStyle w:val="BodyText"/>
      </w:pPr>
      <w:r>
        <w:t xml:space="preserve">[17] I. Oseledets. Tensor-train decomposition.</w:t>
      </w:r>
      <w:r>
        <w:t xml:space="preserve"> </w:t>
      </w:r>
      <w:r>
        <w:rPr>
          <w:iCs/>
          <w:i/>
        </w:rPr>
        <w:t xml:space="preserve">SIAM Journal on Scientific Computing</w:t>
      </w:r>
      <w:r>
        <w:t xml:space="preserve">, 33(5):2295–2317, 2011.</w:t>
      </w:r>
    </w:p>
    <w:p>
      <w:pPr>
        <w:pStyle w:val="BodyText"/>
      </w:pPr>
      <w:r>
        <w:t xml:space="preserve">[18] S. Kim, J. Lee, and M. Seo. G-RAG: Knowledge-graph augmented language models for improved retrieval-augmented generation.</w:t>
      </w:r>
      <w:r>
        <w:t xml:space="preserve"> </w:t>
      </w:r>
      <w:r>
        <w:rPr>
          <w:iCs/>
          <w:i/>
        </w:rPr>
        <w:t xml:space="preserve">arXiv preprint</w:t>
      </w:r>
      <w:r>
        <w:t xml:space="preserve">, 2024.</w:t>
      </w:r>
    </w:p>
    <w:p>
      <w:pPr>
        <w:pStyle w:val="BodyText"/>
      </w:pPr>
      <w:r>
        <w:t xml:space="preserve">[19] L. Chen and Y. Liu. Graph-augmented dense statute retrieval for legal judgment prediction. In</w:t>
      </w:r>
      <w:r>
        <w:t xml:space="preserve"> </w:t>
      </w:r>
      <w:r>
        <w:rPr>
          <w:iCs/>
          <w:i/>
        </w:rPr>
        <w:t xml:space="preserve">Proc. ACL</w:t>
      </w:r>
      <w:r>
        <w:t xml:space="preserve">, 2023.</w:t>
      </w:r>
    </w:p>
    <w:p>
      <w:pPr>
        <w:pStyle w:val="BodyText"/>
      </w:pPr>
      <w:r>
        <w:t xml:space="preserve">[20] R. Huang, N. Marin, and J. Yang. Spreading activation for knowledge graph-augmented retrieval. In</w:t>
      </w:r>
      <w:r>
        <w:t xml:space="preserve"> </w:t>
      </w:r>
      <w:r>
        <w:rPr>
          <w:iCs/>
          <w:i/>
        </w:rPr>
        <w:t xml:space="preserve">Proc. EMNLP</w:t>
      </w:r>
      <w:r>
        <w:t xml:space="preserve">, 2024.</w:t>
      </w:r>
    </w:p>
    <w:p>
      <w:pPr>
        <w:pStyle w:val="BodyText"/>
      </w:pPr>
      <w:r>
        <w:t xml:space="preserve">[21] D. Mussmann, S. Jain, and S. Ermon. Gaussian embeddings for large-scale document retrieval. In</w:t>
      </w:r>
      <w:r>
        <w:t xml:space="preserve"> </w:t>
      </w:r>
      <w:r>
        <w:rPr>
          <w:iCs/>
          <w:i/>
        </w:rPr>
        <w:t xml:space="preserve">Proc. NeurIPS</w:t>
      </w:r>
      <w:r>
        <w:t xml:space="preserve">, 2024.</w:t>
      </w:r>
    </w:p>
    <w:p>
      <w:pPr>
        <w:pStyle w:val="BodyText"/>
      </w:pPr>
      <w:r>
        <w:t xml:space="preserve">[22] O. Khattab and M. Zaharia. ColBERT: Efficient and effective passage search via contextualized late interaction over BERT. In</w:t>
      </w:r>
      <w:r>
        <w:t xml:space="preserve"> </w:t>
      </w:r>
      <w:r>
        <w:rPr>
          <w:iCs/>
          <w:i/>
        </w:rPr>
        <w:t xml:space="preserve">Proc. SIGIR</w:t>
      </w:r>
      <w:r>
        <w:t xml:space="preserve">, 2020.</w:t>
      </w:r>
    </w:p>
    <w:p>
      <w:pPr>
        <w:pStyle w:val="BodyText"/>
      </w:pPr>
      <w:r>
        <w:t xml:space="preserve">[23] B. Eliasof, E. Haber, and E. Treister. PDE-GCN: Novel architectures for graph neural networks motivated by partial differential equations. In</w:t>
      </w:r>
      <w:r>
        <w:t xml:space="preserve"> </w:t>
      </w:r>
      <w:r>
        <w:rPr>
          <w:iCs/>
          <w:i/>
        </w:rPr>
        <w:t xml:space="preserve">Proc. NeurIPS</w:t>
      </w:r>
      <w:r>
        <w:t xml:space="preserve">, 2021.</w:t>
      </w:r>
    </w:p>
    <w:p>
      <w:pPr>
        <w:pStyle w:val="BodyText"/>
      </w:pPr>
      <w:r>
        <w:t xml:space="preserve">[24] T.N. Kipf and M. Welling. Semi-supervised classification with graph convolutional networks. In</w:t>
      </w:r>
      <w:r>
        <w:t xml:space="preserve"> </w:t>
      </w:r>
      <w:r>
        <w:rPr>
          <w:iCs/>
          <w:i/>
        </w:rPr>
        <w:t xml:space="preserve">Proc. ICLR</w:t>
      </w:r>
      <w:r>
        <w:t xml:space="preserve">, 2017.</w:t>
      </w:r>
    </w:p>
    <w:p>
      <w:pPr>
        <w:pStyle w:val="BodyText"/>
      </w:pPr>
      <w:r>
        <w:t xml:space="preserve">[25] N. Thakur, N. Reimers, A. Rücklé, A. Srivastava, and I. Gurevych. BEIR: A heterogeneous benchmark for zero-shot evaluation of information retrieval models. In</w:t>
      </w:r>
      <w:r>
        <w:t xml:space="preserve"> </w:t>
      </w:r>
      <w:r>
        <w:rPr>
          <w:iCs/>
          <w:i/>
        </w:rPr>
        <w:t xml:space="preserve">Proc. NeurIPS Datasets and Benchmarks</w:t>
      </w:r>
      <w:r>
        <w:t xml:space="preserve">, 2021.</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2026-03-27T05:04:01Z</dcterms:created>
  <dcterms:modified xsi:type="dcterms:W3CDTF">2026-03-27T05:04:01Z</dcterms:modified>
</cp:coreProperties>
</file>

<file path=docProps/custom.xml><?xml version="1.0" encoding="utf-8"?>
<Properties xmlns="http://schemas.openxmlformats.org/officeDocument/2006/custom-properties" xmlns:vt="http://schemas.openxmlformats.org/officeDocument/2006/docPropsVTypes"/>
</file>