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111111"/>
          <w:sz w:val="32"/>
        </w:rPr>
        <w:t>SafeUndo Technical Brief</w:t>
      </w:r>
    </w:p>
    <w:p>
      <w:pPr>
        <w:spacing w:before="0" w:after="120" w:line="276" w:lineRule="auto"/>
      </w:pPr>
      <w:r>
        <w:rPr>
          <w:rFonts w:ascii="Calibri" w:hAnsi="Calibri"/>
          <w:sz w:val="21"/>
        </w:rPr>
        <w:t>SafeUndo is a prototype protection and reversal-tracking layer built for the M-PESA ecosystem under the AI, Machine Learning and Predictive Analytics track. Today, Hakikisha helps customers confirm the name of the person, till, or PayBill organisation they are paying before entering their PIN, and the 456 SMS flow lets customers request a reversal when a Send Money transfer goes to the wrong person. Two practical gaps remain in everyday usage. First, a customer who is rushing or distracted can still confirm a payment whose amount, timing, or frequency is completely out of character for their account. Second, once a reversal request is submitted, the customer has very little visibility into how long resolution is likely to take, why a PayBill or Buy Goods case takes longer than a person-to-person transfer, or what practical step they should take next. SafeUndo addresses both moments without replacing existing M-PESA controls.</w:t>
      </w:r>
    </w:p>
    <w:p>
      <w:pPr>
        <w:spacing w:before="200" w:after="80"/>
      </w:pPr>
      <w:r>
        <w:rPr>
          <w:rFonts w:ascii="Calibri" w:hAnsi="Calibri"/>
          <w:b/>
          <w:color w:val="1B5E20"/>
          <w:sz w:val="24"/>
        </w:rPr>
        <w:t>System Architecture</w:t>
      </w:r>
    </w:p>
    <w:p>
      <w:pPr>
        <w:spacing w:before="0" w:after="120" w:line="276" w:lineRule="auto"/>
      </w:pPr>
      <w:r>
        <w:rPr>
          <w:rFonts w:ascii="Calibri" w:hAnsi="Calibri"/>
          <w:sz w:val="21"/>
        </w:rPr>
        <w:t>The prototype uses a single backend service shared across two customer channels: a web-based USSD simulator modelled on the *334# menu and an Android application built in Kotlin with Jetpack Compose modelled on My OneApp. Both channels talk to the same FastAPI service over HTTP and read from the same SQLite database. Because all state, scoring, and case management live in the backend rather than inside either client, a payment made or reported on USSD immediately appears in the Android application, and a reversal case opened in the mobile application can be checked seconds later through USSD using its reference number, such as SU-1042.</w:t>
      </w:r>
    </w:p>
    <w:p>
      <w:pPr>
        <w:spacing w:before="0" w:after="120" w:line="276" w:lineRule="auto"/>
      </w:pPr>
      <w:r>
        <w:rPr>
          <w:rFonts w:ascii="Calibri" w:hAnsi="Calibri"/>
          <w:sz w:val="21"/>
        </w:rPr>
        <w:t>During a payment, the channel first resolves the recipient or merchant name through /api/recipients/lookup to mirror Hakikisha name verification across Send Money, Pochi la Biashara, Buy Goods tills, and PayBill business numbers. When the customer enters an amount, the channel sends the draft transaction to /api/protect/score. The backend builds the customer's behavioural profile from their historical transactions, runs the anomaly model, and returns a calibrated risk score between 0 and 100 alongside plain-language explanations and pre-formatted USSD text. If the score crosses the warning threshold of 60, the channel pauses to show the recipient name, the amount, and the specific behavioural reason for the prompt. The customer always retains the choice to continue or cancel.</w:t>
      </w:r>
    </w:p>
    <w:p>
      <w:pPr>
        <w:spacing w:before="0" w:after="120" w:line="276" w:lineRule="auto"/>
      </w:pPr>
      <w:r>
        <w:rPr>
          <w:rFonts w:ascii="Calibri" w:hAnsi="Calibri"/>
          <w:sz w:val="21"/>
        </w:rPr>
        <w:t>When a customer reports a mistake after a transaction completes, /api/cases creates an idempotent case record linked to that transaction, records the initial status in status_history, and attaches transaction-type-specific guidance alongside predictions from the resolution-time models. A demo clock stored in the database metadata allows judges to advance simulated time by four-hour increments through /api/cases/{ref}/simulate-advance so they can watch the status timeline, elapsed time, and remaining-time estimates update live across both channels.</w:t>
      </w:r>
    </w:p>
    <w:p>
      <w:pPr>
        <w:spacing w:before="200" w:after="80"/>
      </w:pPr>
      <w:r>
        <w:rPr>
          <w:rFonts w:ascii="Calibri" w:hAnsi="Calibri"/>
          <w:b/>
          <w:color w:val="1B5E20"/>
          <w:sz w:val="24"/>
        </w:rPr>
        <w:t>Machine Learning Approach</w:t>
      </w:r>
    </w:p>
    <w:p>
      <w:pPr>
        <w:spacing w:before="0" w:after="120" w:line="276" w:lineRule="auto"/>
      </w:pPr>
      <w:r>
        <w:rPr>
          <w:rFonts w:ascii="Calibri" w:hAnsi="Calibri"/>
          <w:sz w:val="21"/>
        </w:rPr>
        <w:t>SafeUndo uses two separate model families in scikit-learn because pre-transaction protection and post-transaction reversal tracking have different supervision structures.</w:t>
      </w:r>
    </w:p>
    <w:p>
      <w:pPr>
        <w:spacing w:before="0" w:after="120" w:line="276" w:lineRule="auto"/>
      </w:pPr>
      <w:r>
        <w:rPr>
          <w:rFonts w:ascii="Calibri" w:hAnsi="Calibri"/>
          <w:sz w:val="21"/>
        </w:rPr>
        <w:t>Pre-transaction protection is framed as unsupervised anomaly detection using an Isolation Forest with 200 trees (max_samples=256). Fraudulent or mistaken payments vary widely, whereas a customer's own routine behaviour is consistent enough to profile. Rather than feeding raw shilling amounts into the model, the feature pipeline computes five customer-relative features for each candidate payment: the log ratio of the payment amount to the customer's historical median amount (ln(1 + amount / median)), whether the recipient token has been paid before, circular time-of-day rarity within a two-hour window in East Africa Time, transaction velocity over the preceding 60 minutes capped at six transactions, and the ratio of the payment amount to the customer's available balance capped at 1.5. Raw Isolation Forest scores are calibrated against held-out validation customers so that the 50th percentile of normal transactions maps to a risk score of 0, the 97th percentile of normal transactions maps to the warning threshold of 60, and the median anomalous transaction maps to 100. On held-out synthetic test customers, this achieves a ROC-AUC of 0.964 and an 89.2 percent recall at a 3.3 percent false-positive rate, compared with a 12.1 percent false-positive rate for a simple rule that flags every new recipient or five-times amount.</w:t>
      </w:r>
    </w:p>
    <w:p>
      <w:pPr>
        <w:spacing w:before="0" w:after="120" w:line="276" w:lineRule="auto"/>
      </w:pPr>
      <w:r>
        <w:rPr>
          <w:rFonts w:ascii="Calibri" w:hAnsi="Calibri"/>
          <w:sz w:val="21"/>
        </w:rPr>
        <w:t>In the user interface, SafeUndo intentionally separates recipient identity from behavioural warnings. Paying a new Buy Goods till or a new phone number happens constantly in normal M-PESA usage, and Hakikisha already handles identity verification by displaying the resolved recipient or merchant name. The warning text shown to the customer therefore focuses on behavioural anomalies such as an unusually large amount for that customer, an unusual hour of night, rapid back-to-back transfers, or a payment that consumes most of the account balance.</w:t>
      </w:r>
    </w:p>
    <w:p>
      <w:pPr>
        <w:spacing w:before="0" w:after="120" w:line="276" w:lineRule="auto"/>
      </w:pPr>
      <w:r>
        <w:rPr>
          <w:rFonts w:ascii="Calibri" w:hAnsi="Calibri"/>
          <w:sz w:val="21"/>
        </w:rPr>
        <w:t>Post-transaction reversal tracking uses two supervised Random Forest models trained on 9,000 synthetic reversal cases split 70/15/15 into training, calibration, and test sets. The feature vector combines one-hot encodings of the transaction type and reversal reason with log1p(amount), submission hour, a weekend indicator, elapsed hours since submission, current status index, and hours spent in the current status. A Random Forest regressor (200 trees, min_samples_leaf=4) predicts log1p(remaining_hours), while the 10th and 90th percentiles of calibration-set log residuals provide an 80 percent prediction interval formatted into human-readable ranges such as 5 to 9 hours or 1 to 2 days. A companion Random Forest classifier estimates the probability that total resolution time will exceed 24 hours, which is mapped into Low, Moderate, or Elevated delay risk. On the synthetic test split, the regressor reduces mean absolute error from 6.10 hours (for a baseline median lookup by transaction type and status) to 2.37 hours with 79.3 percent interval coverage, while the delay-risk classifier reaches a ROC-AUC of 0.986 and a Brier score of 0.043.</w:t>
      </w:r>
    </w:p>
    <w:p>
      <w:pPr>
        <w:spacing w:before="200" w:after="80"/>
      </w:pPr>
      <w:r>
        <w:rPr>
          <w:rFonts w:ascii="Calibri" w:hAnsi="Calibri"/>
          <w:b/>
          <w:color w:val="1B5E20"/>
          <w:sz w:val="24"/>
        </w:rPr>
        <w:t>Technology Choices</w:t>
      </w:r>
    </w:p>
    <w:p>
      <w:pPr>
        <w:spacing w:before="0" w:after="120" w:line="276" w:lineRule="auto"/>
      </w:pPr>
      <w:r>
        <w:rPr>
          <w:rFonts w:ascii="Calibri" w:hAnsi="Calibri"/>
          <w:sz w:val="21"/>
        </w:rPr>
        <w:t>We chose Python and FastAPI for the backend because they let us serve REST endpoints, static USSD assets, Pydantic request validation, and scikit-learn inference inside a single lightweight process with millisecond latency. SQLite was selected for storage so the entire prototype runs locally or inside GitHub Codespaces with zero external database provisioning, while using standard relational tables (customers, transactions, cases, status_history, and meta) that map directly to PostgreSQL in a production deployment.</w:t>
      </w:r>
    </w:p>
    <w:p>
      <w:pPr>
        <w:spacing w:before="0" w:after="120" w:line="276" w:lineRule="auto"/>
      </w:pPr>
      <w:r>
        <w:rPr>
          <w:rFonts w:ascii="Calibri" w:hAnsi="Calibri"/>
          <w:sz w:val="21"/>
        </w:rPr>
        <w:t>For the machine learning layer, scikit-learn tree ensembles were chosen over deep neural networks because tabular behavioural and case features work well with Isolation Forests and Random Forests, training and inference run in seconds on standard CPU hardware without GPUs, and feature thresholds can be translated directly into plain English explanations for customers.</w:t>
      </w:r>
    </w:p>
    <w:p>
      <w:pPr>
        <w:spacing w:before="0" w:after="120" w:line="276" w:lineRule="auto"/>
      </w:pPr>
      <w:r>
        <w:rPr>
          <w:rFonts w:ascii="Calibri" w:hAnsi="Calibri"/>
          <w:sz w:val="21"/>
        </w:rPr>
        <w:t>On the client side, the USSD simulator is written in self-contained HTML, CSS, and vanilla JavaScript served directly by FastAPI at /ussd/ so judges can test *334# flows in any browser alongside a live JSON API inspector. The Android application is written in Kotlin using Jetpack Compose, Material 3, ViewModel state flows, and Retrofit with kotlinx.serialization. A custom OkHttp interceptor in the Android client automatically retries across USB port-forwarding (127.0.0.1), the Android emulator bridge (10.0.2.2), and the host LAN address so live demos remain resilient whether run on a physical handset or a virtual device.</w:t>
      </w:r>
    </w:p>
    <w:p>
      <w:pPr>
        <w:spacing w:before="200" w:after="80"/>
      </w:pPr>
      <w:r>
        <w:rPr>
          <w:rFonts w:ascii="Calibri" w:hAnsi="Calibri"/>
          <w:b/>
          <w:color w:val="1B5E20"/>
          <w:sz w:val="24"/>
        </w:rPr>
        <w:t>Key Assumptions, Privacy, and Guardrails</w:t>
      </w:r>
    </w:p>
    <w:p>
      <w:pPr>
        <w:spacing w:before="0" w:after="120" w:line="276" w:lineRule="auto"/>
      </w:pPr>
      <w:r>
        <w:rPr>
          <w:rFonts w:ascii="Calibri" w:hAnsi="Calibri"/>
          <w:sz w:val="21"/>
        </w:rPr>
        <w:t>All customer profiles, transaction histories, merchant directories, and reversal cases in this repository are synthetic. No real M-PESA customer data or internal Safaricom reversal logs were used. Because the synthetic reversal dataset generates case statuses and elapsed times from a known underlying duration formula, the reversal prediction metrics are naturally optimistic and are presented strictly as proof-of-concept validation rather than real-world production accuracy.</w:t>
      </w:r>
    </w:p>
    <w:p>
      <w:pPr>
        <w:spacing w:before="0" w:after="120" w:line="276" w:lineRule="auto"/>
      </w:pPr>
      <w:r>
        <w:rPr>
          <w:rFonts w:ascii="Calibri" w:hAnsi="Calibri"/>
          <w:sz w:val="21"/>
        </w:rPr>
        <w:t>SafeUndo is designed around strict operational and privacy guardrails. First, recipient identifiers are normalised and hashed with a secret salt (SHA-256) before storage, and phone numbers are masked as 07XX XXX 401 in the database and every API response so raw MSISDNs are never exposed. Second, SafeUndo never blocks a payment and never claims to execute or guarantee a reversal on its own. Third, only the established Send Money reversal procedure (forwarding the confirmation SMS to 456) is presented as a verified method, whereas Pochi la Biashara, PayBill, and Buy Goods guidance explicitly advises the customer to contact the merchant or verify the current procedure through Safaricom's official support channels. When a simulated case transitions to a rejected state during demo fast-forwarding, the system provides a realistic context-specific explanation, such as insufficient balance in the recipient account or a settled merchant transaction, and directs the customer to official support on 100.</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