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004D5">
      <w:pPr>
        <w:pStyle w:val="2"/>
        <w:spacing w:before="0" w:beforeAutospacing="0" w:after="0" w:afterAutospacing="0" w:line="300" w:lineRule="auto"/>
        <w:ind w:left="0" w:leftChars="0" w:right="0" w:rightChars="0"/>
        <w:jc w:val="center"/>
        <w:rPr>
          <w:rFonts w:hint="default" w:ascii="黑体" w:hAnsi="宋体" w:eastAsia="黑体" w:cs="黑体"/>
          <w:sz w:val="44"/>
          <w:szCs w:val="44"/>
        </w:rPr>
      </w:pPr>
      <w:r>
        <w:rPr>
          <w:rFonts w:hint="default" w:ascii="黑体" w:hAnsi="宋体" w:eastAsia="黑体" w:cs="黑体"/>
          <w:sz w:val="44"/>
          <w:szCs w:val="44"/>
        </w:rPr>
        <w:t>一维对流扩散方程有限元求解与稳定化对比作业报告</w:t>
      </w:r>
    </w:p>
    <w:p w14:paraId="35222B73">
      <w:pPr>
        <w:pStyle w:val="3"/>
        <w:spacing w:before="320" w:beforeAutospacing="0" w:after="0" w:afterAutospacing="0" w:line="300" w:lineRule="auto"/>
        <w:ind w:right="0" w:rightChars="0"/>
        <w:rPr>
          <w:rFonts w:hint="default" w:ascii="黑体" w:hAnsi="宋体" w:eastAsia="黑体" w:cs="黑体"/>
          <w:sz w:val="32"/>
          <w:szCs w:val="32"/>
        </w:rPr>
      </w:pPr>
    </w:p>
    <w:p w14:paraId="4256E105">
      <w:pPr>
        <w:pStyle w:val="2"/>
        <w:spacing w:before="0" w:beforeAutospacing="0" w:afterAutospacing="0" w:line="300" w:lineRule="auto"/>
        <w:ind w:left="0" w:leftChars="0" w:right="0" w:rightChars="0"/>
        <w:jc w:val="center"/>
        <w:rPr>
          <w:rFonts w:ascii="黑体" w:hAnsi="宋体" w:eastAsia="黑体" w:cs="黑体"/>
          <w:sz w:val="44"/>
          <w:szCs w:val="44"/>
        </w:rPr>
      </w:pPr>
    </w:p>
    <w:p w14:paraId="18B38A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  <w:rPr>
          <w:rFonts w:hint="eastAsia" w:cs="宋体"/>
          <w:b/>
          <w:bCs/>
          <w:color w:val="000000"/>
          <w:kern w:val="0"/>
          <w:sz w:val="43"/>
          <w:szCs w:val="43"/>
          <w:lang w:val="en-US" w:eastAsia="zh-CN" w:bidi="ar"/>
        </w:rPr>
      </w:pPr>
    </w:p>
    <w:p w14:paraId="0D70F7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000000"/>
          <w:sz w:val="16"/>
          <w:szCs w:val="16"/>
        </w:rPr>
      </w:pPr>
      <w:r>
        <w:rPr>
          <w:rFonts w:hint="eastAsia" w:cs="宋体"/>
          <w:b/>
          <w:bCs/>
          <w:color w:val="000000"/>
          <w:kern w:val="0"/>
          <w:sz w:val="43"/>
          <w:szCs w:val="43"/>
          <w:lang w:val="en-US" w:eastAsia="zh-CN" w:bidi="ar"/>
        </w:rPr>
        <w:t>计算力学</w:t>
      </w:r>
    </w:p>
    <w:p w14:paraId="713F4A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</w:p>
    <w:p w14:paraId="0E62AE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</w:p>
    <w:p w14:paraId="65A928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000000"/>
          <w:sz w:val="16"/>
          <w:szCs w:val="16"/>
        </w:rPr>
      </w:pPr>
      <w:r>
        <w:drawing>
          <wp:inline distT="0" distB="0" distL="114300" distR="114300">
            <wp:extent cx="2390140" cy="2388235"/>
            <wp:effectExtent l="0" t="0" r="10160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rcRect l="1944" t="1628" r="1790" b="1189"/>
                    <a:stretch>
                      <a:fillRect/>
                    </a:stretch>
                  </pic:blipFill>
                  <pic:spPr>
                    <a:xfrm>
                      <a:off x="0" y="0"/>
                      <a:ext cx="239014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41481">
      <w:pPr>
        <w:pageBreakBefore w:val="0"/>
        <w:wordWrap/>
        <w:spacing w:before="160" w:after="0"/>
        <w:ind w:left="0" w:right="0"/>
        <w:jc w:val="both"/>
        <w:textAlignment w:val="auto"/>
        <w:rPr>
          <w:color w:val="000000"/>
          <w:sz w:val="16"/>
          <w:szCs w:val="16"/>
        </w:rPr>
      </w:pPr>
    </w:p>
    <w:p w14:paraId="6835301C">
      <w:pPr>
        <w:jc w:val="both"/>
        <w:rPr>
          <w:rFonts w:hint="eastAsia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 xml:space="preserve">名字：      万珂成 </w:t>
      </w:r>
    </w:p>
    <w:p w14:paraId="6C00E61E">
      <w:pPr>
        <w:jc w:val="both"/>
        <w:rPr>
          <w:rFonts w:hint="eastAsia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学号：      202311012125</w:t>
      </w:r>
    </w:p>
    <w:p w14:paraId="2CC79C0F">
      <w:pPr>
        <w:jc w:val="both"/>
        <w:rPr>
          <w:rFonts w:hint="eastAsia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班级：      工力231</w:t>
      </w:r>
    </w:p>
    <w:p w14:paraId="7D4DA59E">
      <w:pPr>
        <w:jc w:val="both"/>
        <w:rPr>
          <w:rFonts w:hint="default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指导老师：  肖姚  郭然</w:t>
      </w:r>
      <w:bookmarkStart w:id="0" w:name="_GoBack"/>
      <w:bookmarkEnd w:id="0"/>
    </w:p>
    <w:p w14:paraId="7E50C216">
      <w:pPr>
        <w:jc w:val="center"/>
        <w:rPr>
          <w:rFonts w:hint="eastAsia" w:ascii="宋体" w:hAnsi="宋体" w:eastAsia="宋体" w:cs="宋体"/>
          <w:b/>
          <w:bCs/>
          <w:color w:val="000000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36"/>
          <w:szCs w:val="36"/>
          <w:lang w:val="en-US" w:eastAsia="zh-CN"/>
        </w:rPr>
        <w:t xml:space="preserve"> </w:t>
      </w:r>
    </w:p>
    <w:p w14:paraId="6DF951F5">
      <w:pPr>
        <w:jc w:val="center"/>
        <w:rPr>
          <w:rFonts w:hint="eastAsia" w:ascii="宋体" w:hAnsi="宋体" w:eastAsia="宋体" w:cs="宋体"/>
          <w:b/>
          <w:bCs/>
          <w:color w:val="000000"/>
          <w:sz w:val="36"/>
          <w:szCs w:val="36"/>
          <w:lang w:val="en-US" w:eastAsia="zh-CN"/>
        </w:rPr>
      </w:pPr>
    </w:p>
    <w:p w14:paraId="249CC618">
      <w:pPr>
        <w:jc w:val="center"/>
        <w:rPr>
          <w:rFonts w:hint="default" w:cs="宋体"/>
          <w:b/>
          <w:bCs/>
          <w:color w:val="000000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36"/>
          <w:szCs w:val="36"/>
          <w:lang w:val="en-US" w:eastAsia="zh-CN"/>
        </w:rPr>
        <w:t>2026</w:t>
      </w:r>
      <w:r>
        <w:rPr>
          <w:rFonts w:hint="eastAsia" w:cs="宋体"/>
          <w:b/>
          <w:bCs/>
          <w:color w:val="000000"/>
          <w:sz w:val="36"/>
          <w:szCs w:val="36"/>
          <w:lang w:val="en-US" w:eastAsia="zh-CN"/>
        </w:rPr>
        <w:t>.6.18</w:t>
      </w:r>
    </w:p>
    <w:p w14:paraId="553E4AD4">
      <w:pPr>
        <w:jc w:val="both"/>
        <w:rPr>
          <w:rFonts w:hint="default" w:ascii="黑体" w:hAnsi="宋体" w:eastAsia="黑体" w:cs="黑体"/>
          <w:sz w:val="32"/>
          <w:szCs w:val="32"/>
        </w:rPr>
      </w:pPr>
    </w:p>
    <w:p w14:paraId="7A8031B1">
      <w:pPr>
        <w:jc w:val="both"/>
        <w:rPr>
          <w:rFonts w:hint="default" w:ascii="黑体" w:hAnsi="宋体" w:eastAsia="黑体" w:cs="黑体"/>
          <w:sz w:val="32"/>
          <w:szCs w:val="32"/>
        </w:rPr>
      </w:pPr>
    </w:p>
    <w:p w14:paraId="742EAE82">
      <w:pPr>
        <w:jc w:val="both"/>
        <w:rPr>
          <w:rFonts w:hint="default" w:ascii="黑体" w:hAnsi="宋体" w:eastAsia="黑体" w:cs="黑体"/>
          <w:sz w:val="32"/>
          <w:szCs w:val="32"/>
        </w:rPr>
      </w:pPr>
    </w:p>
    <w:p w14:paraId="52BF9D73">
      <w:pPr>
        <w:jc w:val="both"/>
        <w:rPr>
          <w:rFonts w:hint="default" w:ascii="黑体" w:hAnsi="宋体" w:eastAsia="黑体" w:cs="黑体"/>
          <w:sz w:val="32"/>
          <w:szCs w:val="32"/>
        </w:rPr>
      </w:pPr>
    </w:p>
    <w:p w14:paraId="3A2AEB55">
      <w:pPr>
        <w:jc w:val="both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一、作业概述</w:t>
      </w:r>
    </w:p>
    <w:p w14:paraId="634BF436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本次作业基于课程《3.8 对流扩散方程 Advection-Diffusion Equation》，自主使用 Python 编写有限元程序，求解一维稳态对流扩散方程。分别实现标准 Galerkin 有限元、迎风格式人工扩散稳定化、SUPG/Petrov-Galerkin 自适应稳定化三种数值离散格式，选取两组典型单元 Peclet 数工况：</w:t>
      </w:r>
      <m:oMath>
        <m:r>
          <m:rPr/>
          <w:rPr>
            <w:rFonts w:hint="default" w:ascii="Cambria Math"/>
          </w:rPr>
          <m:t>Pe=0.1</m:t>
        </m:r>
      </m:oMath>
      <w:r>
        <w:rPr>
          <w:rFonts w:hint="default" w:ascii="Calibri" w:hAnsi="Calibri" w:eastAsia="宋体" w:cs="Calibri"/>
          <w:sz w:val="24"/>
          <w:szCs w:val="24"/>
        </w:rPr>
        <w:t>（扩散占优）、</w:t>
      </w:r>
      <m:oMath>
        <m:r>
          <m:rPr/>
          <w:rPr>
            <w:rFonts w:hint="default" w:ascii="Cambria Math"/>
          </w:rPr>
          <m:t>Pe=3.0</m:t>
        </m:r>
      </m:oMath>
      <w:r>
        <w:rPr>
          <w:rFonts w:hint="default" w:ascii="Calibri" w:hAnsi="Calibri" w:eastAsia="宋体" w:cs="Calibri"/>
          <w:sz w:val="24"/>
          <w:szCs w:val="24"/>
        </w:rPr>
        <w:t>（对流占优），从数值振荡、计算误差、数值耗散三个维度对比三种格式性能。</w:t>
      </w:r>
    </w:p>
    <w:p w14:paraId="51E3C7AA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同时完成标准 Galerkin 全局刚度矩阵对称性、正定性分析，并通过附加题加密网格（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n</m:t>
            </m:r>
          </m:e>
          <m:sub>
            <m:r>
              <m:rPr/>
              <w:rPr>
                <w:rFonts w:hint="default" w:ascii="Cambria Math"/>
              </w:rPr>
              <m:t>el</m:t>
            </m:r>
          </m:sub>
        </m:sSub>
        <m:r>
          <m:rPr/>
          <w:rPr>
            <w:rFonts w:hint="default" w:ascii="Cambria Math"/>
          </w:rPr>
          <m:t>=10,20,40,80</m:t>
        </m:r>
      </m:oMath>
      <w:r>
        <w:rPr>
          <w:rFonts w:hint="default" w:ascii="Calibri" w:hAnsi="Calibri" w:eastAsia="宋体" w:cs="Calibri"/>
          <w:sz w:val="24"/>
          <w:szCs w:val="24"/>
        </w:rPr>
        <w:t>），研究网格尺寸对计算精度与振荡的影响，绘制误差收敛曲线。</w:t>
      </w:r>
    </w:p>
    <w:p w14:paraId="57619BB1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1.1 作业学习目标</w:t>
      </w:r>
    </w:p>
    <w:p w14:paraId="5CE272AF">
      <w:pPr>
        <w:numPr>
          <w:ilvl w:val="0"/>
          <w:numId w:val="1"/>
        </w:numPr>
        <w:spacing w:before="0"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掌握一维两节点线性单元对流扩散方程有限元离散、单元矩阵组装、整体方程组构建流程；</w:t>
      </w:r>
    </w:p>
    <w:p w14:paraId="6C7DFF12">
      <w:pPr>
        <w:numPr>
          <w:ilvl w:val="0"/>
          <w:numId w:val="1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明晰对流项引入后离散矩阵非对称、非正定的数学机理；</w:t>
      </w:r>
    </w:p>
    <w:p w14:paraId="19A3ED51">
      <w:pPr>
        <w:numPr>
          <w:ilvl w:val="0"/>
          <w:numId w:val="1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直观观测高 Peclet 数下标准 Galerkin 格式的空间数值振荡现象；</w:t>
      </w:r>
    </w:p>
    <w:p w14:paraId="3E7F7872">
      <w:pPr>
        <w:numPr>
          <w:ilvl w:val="0"/>
          <w:numId w:val="1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自主实现人工扩散、迎风格式、SUPG 自适应稳定化修正算法；</w:t>
      </w:r>
    </w:p>
    <w:p w14:paraId="618E5845">
      <w:pPr>
        <w:numPr>
          <w:ilvl w:val="0"/>
          <w:numId w:val="1"/>
        </w:numPr>
        <w:spacing w:beforeAutospacing="0" w:after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定量对比三种格式的稳定性、计算精度与数值耗散程度。</w:t>
      </w:r>
    </w:p>
    <w:p w14:paraId="79FC38F1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二、控制方程、边界条件与基础定义</w:t>
      </w:r>
    </w:p>
    <w:p w14:paraId="7368CE5A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2.1 控制方程</w:t>
      </w:r>
    </w:p>
    <w:p w14:paraId="7AE97361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 xml:space="preserve">计算区间 </w:t>
      </w:r>
      <m:oMath>
        <m:r>
          <m:rPr/>
          <w:rPr>
            <w:rFonts w:hint="default" w:ascii="Cambria Math"/>
          </w:rPr>
          <m:t>0≤x≤L, L=1</m:t>
        </m:r>
      </m:oMath>
      <w:r>
        <w:rPr>
          <w:rFonts w:hint="default" w:ascii="Calibri" w:hAnsi="Calibri" w:eastAsia="宋体" w:cs="Calibri"/>
          <w:sz w:val="24"/>
          <w:szCs w:val="24"/>
        </w:rPr>
        <w:t>，一维稳态对流扩散控制方程：</w:t>
      </w:r>
    </w:p>
    <w:p w14:paraId="58B2F224">
      <w:pPr>
        <w:spacing w:before="100" w:beforeAutospacing="0" w:after="100" w:afterAutospacing="0" w:line="300" w:lineRule="auto"/>
        <w:ind w:left="0" w:leftChars="0" w:right="0" w:rightChars="0" w:firstLine="420" w:firstLineChars="200"/>
        <w:jc w:val="center"/>
        <w:rPr>
          <w:rFonts w:hint="default" w:ascii="Calibri" w:hAnsi="Calibri" w:eastAsia="宋体" w:cs="Calibri"/>
          <w:sz w:val="24"/>
          <w:szCs w:val="24"/>
        </w:rPr>
      </w:pPr>
      <m:oMath>
        <m:r>
          <m:rPr/>
          <w:rPr>
            <w:rFonts w:hint="default" w:ascii="Cambria Math"/>
          </w:rPr>
          <m:t>−κ</m:t>
        </m:r>
        <m:f>
          <m:fPr>
            <m:ctrlPr>
              <w:rPr>
                <w:rFonts w:hint="default" w:ascii="Cambria Math"/>
              </w:rPr>
            </m:ctrlPr>
          </m:fPr>
          <m:num>
            <m:sSup>
              <m:sSupPr>
                <m:ctrlPr>
                  <w:rPr>
                    <w:rFonts w:hint="default" w:ascii="Cambria Math"/>
                  </w:rPr>
                </m:ctrlPr>
              </m:sSupPr>
              <m:e>
                <m:r>
                  <m:rPr/>
                  <w:rPr>
                    <w:rFonts w:hint="default" w:ascii="Cambria Math"/>
                  </w:rPr>
                  <m:t>d</m:t>
                </m:r>
              </m:e>
              <m:sup>
                <m:r>
                  <m:rPr/>
                  <w:rPr>
                    <w:rFonts w:hint="default" w:ascii="Cambria Math"/>
                  </w:rPr>
                  <m:t>2</m:t>
                </m:r>
              </m:sup>
            </m:sSup>
            <m:r>
              <m:rPr/>
              <w:rPr>
                <w:rFonts w:hint="default" w:ascii="Cambria Math"/>
              </w:rPr>
              <m:t>θ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d</m:t>
            </m:r>
            <m:sSup>
              <m:sSupPr>
                <m:ctrlPr>
                  <w:rPr>
                    <w:rFonts w:hint="default" w:ascii="Cambria Math"/>
                  </w:rPr>
                </m:ctrlPr>
              </m:sSupPr>
              <m:e>
                <m:r>
                  <m:rPr/>
                  <w:rPr>
                    <w:rFonts w:hint="default" w:ascii="Cambria Math"/>
                  </w:rPr>
                  <m:t>x</m:t>
                </m:r>
              </m:e>
              <m:sup>
                <m:r>
                  <m:rPr/>
                  <w:rPr>
                    <w:rFonts w:hint="default" w:ascii="Cambria Math"/>
                  </w:rPr>
                  <m:t>2</m:t>
                </m:r>
              </m:sup>
            </m:sSup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+v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dθ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dx</m:t>
            </m:r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=0</m:t>
        </m:r>
      </m:oMath>
    </w:p>
    <w:p w14:paraId="592528C1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式中：</w:t>
      </w:r>
      <m:oMath>
        <m:r>
          <m:rPr/>
          <w:rPr>
            <w:rFonts w:hint="default" w:ascii="Cambria Math"/>
          </w:rPr>
          <m:t>θ(x)</m:t>
        </m:r>
      </m:oMath>
      <w:r>
        <w:rPr>
          <w:rFonts w:hint="default" w:ascii="Calibri" w:hAnsi="Calibri" w:eastAsia="宋体" w:cs="Calibri"/>
          <w:sz w:val="24"/>
          <w:szCs w:val="24"/>
        </w:rPr>
        <w:t xml:space="preserve"> 为待求标量场；</w:t>
      </w:r>
      <m:oMath>
        <m:r>
          <m:rPr/>
          <w:rPr>
            <w:rFonts w:hint="default" w:ascii="Cambria Math"/>
          </w:rPr>
          <m:t>κ&gt;0</m:t>
        </m:r>
      </m:oMath>
      <w:r>
        <w:rPr>
          <w:rFonts w:hint="default" w:ascii="Calibri" w:hAnsi="Calibri" w:eastAsia="宋体" w:cs="Calibri"/>
          <w:sz w:val="24"/>
          <w:szCs w:val="24"/>
        </w:rPr>
        <w:t xml:space="preserve"> 为物理扩散系数；</w:t>
      </w:r>
      <m:oMath>
        <m:r>
          <m:rPr/>
          <w:rPr>
            <w:rFonts w:hint="default" w:ascii="Cambria Math"/>
          </w:rPr>
          <m:t>v&gt;0</m:t>
        </m:r>
      </m:oMath>
      <w:r>
        <w:rPr>
          <w:rFonts w:hint="default" w:ascii="Calibri" w:hAnsi="Calibri" w:eastAsia="宋体" w:cs="Calibri"/>
          <w:sz w:val="24"/>
          <w:szCs w:val="24"/>
        </w:rPr>
        <w:t xml:space="preserve"> 为恒定对流速度。</w:t>
      </w:r>
    </w:p>
    <w:p w14:paraId="338D0E4D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2.2 Dirichlet 边界条件</w:t>
      </w:r>
    </w:p>
    <w:p w14:paraId="04EB991A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两端固定标量值：</w:t>
      </w:r>
    </w:p>
    <w:p w14:paraId="197FB63C">
      <w:pPr>
        <w:spacing w:before="100" w:beforeAutospacing="0" w:after="100" w:afterAutospacing="0" w:line="300" w:lineRule="auto"/>
        <w:ind w:left="0" w:leftChars="0" w:right="0" w:rightChars="0" w:firstLine="420" w:firstLineChars="200"/>
        <w:jc w:val="center"/>
        <w:rPr>
          <w:rFonts w:hint="default" w:ascii="Calibri" w:hAnsi="Calibri" w:eastAsia="宋体" w:cs="Calibri"/>
          <w:sz w:val="24"/>
          <w:szCs w:val="24"/>
        </w:rPr>
      </w:pPr>
      <m:oMath>
        <m:r>
          <m:rPr/>
          <w:rPr>
            <w:rFonts w:hint="default" w:ascii="Cambria Math"/>
          </w:rPr>
          <m:t>θ(0)=0, θ(L)=1</m:t>
        </m:r>
      </m:oMath>
    </w:p>
    <w:p w14:paraId="2E393EBB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2.3 精确解析解</w:t>
      </w:r>
    </w:p>
    <w:p w14:paraId="3326B704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方程理论解析解：</w:t>
      </w:r>
    </w:p>
    <w:p w14:paraId="7838466F">
      <w:pPr>
        <w:spacing w:before="100" w:beforeAutospacing="0" w:after="100" w:afterAutospacing="0" w:line="300" w:lineRule="auto"/>
        <w:ind w:left="0" w:leftChars="0" w:right="0" w:rightChars="0" w:firstLine="420" w:firstLineChars="200"/>
        <w:jc w:val="center"/>
        <w:rPr>
          <w:rFonts w:hint="default" w:ascii="Calibri" w:hAnsi="Calibri" w:eastAsia="宋体" w:cs="Calibri"/>
          <w:sz w:val="24"/>
          <w:szCs w:val="24"/>
        </w:rPr>
      </w:pP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θ</m:t>
            </m:r>
          </m:e>
          <m:sub>
            <m:r>
              <m:rPr/>
              <w:rPr>
                <w:rFonts w:hint="default" w:ascii="Cambria Math"/>
              </w:rPr>
              <m:t>exact</m:t>
            </m:r>
          </m:sub>
        </m:sSub>
        <m:r>
          <m:rPr/>
          <w:rPr>
            <w:rFonts w:hint="default" w:ascii="Cambria Math"/>
          </w:rPr>
          <m:t>(x)=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exp(vx/κ)−1</m:t>
            </m:r>
          </m:num>
          <m:den>
            <m:r>
              <m:rPr/>
              <w:rPr>
                <w:rFonts w:hint="default" w:ascii="Cambria Math"/>
              </w:rPr>
              <m:t>exp(vL/κ)−1</m:t>
            </m:r>
          </m:den>
        </m:f>
      </m:oMath>
    </w:p>
    <w:p w14:paraId="19CEC85A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高对流占优时指数项数值极大，直接计算易发生溢出，程序采用np.expm1()函数做稳定计算，规避数值溢出问题。</w:t>
      </w:r>
    </w:p>
    <w:p w14:paraId="4FB79559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2.4 Peclet 数定义</w:t>
      </w:r>
    </w:p>
    <w:p w14:paraId="136F7E5D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 xml:space="preserve">单元长度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l</m:t>
            </m:r>
          </m:e>
          <m:sub>
            <m:r>
              <m:rPr/>
              <w:rPr>
                <w:rFonts w:hint="default" w:ascii="Cambria Math"/>
              </w:rPr>
              <m:t>e</m:t>
            </m:r>
          </m:sub>
        </m:sSub>
        <m:r>
          <m:rPr/>
          <w:rPr>
            <w:rFonts w:hint="default" w:ascii="Cambria Math"/>
          </w:rPr>
          <m:t>=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L</m:t>
            </m:r>
          </m:num>
          <m:den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/>
                  <w:rPr>
                    <w:rFonts w:hint="default" w:ascii="Cambria Math"/>
                  </w:rPr>
                  <m:t>n</m:t>
                </m:r>
              </m:e>
              <m:sub>
                <m:r>
                  <m:rPr/>
                  <w:rPr>
                    <w:rFonts w:hint="default" w:ascii="Cambria Math"/>
                  </w:rPr>
                  <m:t>el</m:t>
                </m:r>
              </m:sub>
            </m:sSub>
            <m:ctrlPr>
              <w:rPr>
                <w:rFonts w:hint="default" w:ascii="Cambria Math"/>
              </w:rPr>
            </m:ctrlPr>
          </m:den>
        </m:f>
      </m:oMath>
      <w:r>
        <w:rPr>
          <w:rFonts w:hint="default" w:ascii="Calibri" w:hAnsi="Calibri" w:eastAsia="宋体" w:cs="Calibri"/>
          <w:sz w:val="24"/>
          <w:szCs w:val="24"/>
        </w:rPr>
        <w:t>，单元 Peclet 数表征单元内对流作用与扩散作用的相对强弱：</w:t>
      </w:r>
    </w:p>
    <w:p w14:paraId="19611C40">
      <w:pPr>
        <w:spacing w:before="100" w:beforeAutospacing="0" w:after="100" w:afterAutospacing="0" w:line="300" w:lineRule="auto"/>
        <w:ind w:left="0" w:leftChars="0" w:right="0" w:rightChars="0" w:firstLine="420" w:firstLineChars="200"/>
        <w:jc w:val="center"/>
        <w:rPr>
          <w:rFonts w:hint="default" w:ascii="Calibri" w:hAnsi="Calibri" w:eastAsia="宋体" w:cs="Calibri"/>
          <w:sz w:val="24"/>
          <w:szCs w:val="24"/>
        </w:rPr>
      </w:pPr>
      <m:oMath>
        <m:r>
          <m:rPr/>
          <w:rPr>
            <w:rFonts w:hint="default" w:ascii="Cambria Math"/>
          </w:rPr>
          <m:t>Pe=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v</m:t>
            </m:r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/>
                  <w:rPr>
                    <w:rFonts w:hint="default" w:ascii="Cambria Math"/>
                  </w:rPr>
                  <m:t>l</m:t>
                </m:r>
              </m:e>
              <m:sub>
                <m:r>
                  <m:rPr/>
                  <w:rPr>
                    <w:rFonts w:hint="default" w:ascii="Cambria Math"/>
                  </w:rPr>
                  <m:t>e</m:t>
                </m:r>
              </m:sub>
            </m:sSub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2κ</m:t>
            </m:r>
            <m:ctrlPr>
              <w:rPr>
                <w:rFonts w:hint="default" w:ascii="Cambria Math"/>
              </w:rPr>
            </m:ctrlPr>
          </m:den>
        </m:f>
      </m:oMath>
    </w:p>
    <w:p w14:paraId="6324EA93">
      <w:pPr>
        <w:spacing w:before="100" w:beforeAutospacing="0" w:after="100" w:afterAutospacing="0" w:line="300" w:lineRule="auto"/>
        <w:ind w:left="0" w:leftChars="0" w:right="0" w:rightChars="0" w:firstLine="420" w:firstLineChars="200"/>
        <w:rPr>
          <w:rFonts w:hint="default" w:ascii="Calibri" w:hAnsi="Calibri" w:eastAsia="宋体" w:cs="Calibri"/>
          <w:sz w:val="24"/>
          <w:szCs w:val="24"/>
        </w:rPr>
      </w:pPr>
      <m:oMath>
        <m:r>
          <m:rPr/>
          <w:rPr>
            <w:rFonts w:hint="default" w:ascii="Cambria Math"/>
          </w:rPr>
          <m:t>Pe≪1</m:t>
        </m:r>
      </m:oMath>
      <w:r>
        <w:rPr>
          <w:rFonts w:hint="default" w:ascii="Calibri" w:hAnsi="Calibri" w:eastAsia="宋体" w:cs="Calibri"/>
          <w:sz w:val="24"/>
          <w:szCs w:val="24"/>
        </w:rPr>
        <w:t>：扩散占优，对流作用微弱；</w:t>
      </w:r>
      <m:oMath>
        <m:r>
          <m:rPr/>
          <w:rPr>
            <w:rFonts w:hint="default" w:ascii="Cambria Math"/>
          </w:rPr>
          <m:t>Pe≫1</m:t>
        </m:r>
      </m:oMath>
      <w:r>
        <w:rPr>
          <w:rFonts w:hint="default" w:ascii="Calibri" w:hAnsi="Calibri" w:eastAsia="宋体" w:cs="Calibri"/>
          <w:sz w:val="24"/>
          <w:szCs w:val="24"/>
        </w:rPr>
        <w:t>：对流占优，易出现数值振荡。</w:t>
      </w:r>
    </w:p>
    <w:p w14:paraId="592D3EBF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已知单元 Pe 反求扩散系数：</w:t>
      </w:r>
    </w:p>
    <w:p w14:paraId="7D74C5A9">
      <w:pPr>
        <w:spacing w:before="100" w:beforeAutospacing="0" w:after="100" w:afterAutospacing="0" w:line="300" w:lineRule="auto"/>
        <w:ind w:left="0" w:leftChars="0" w:right="0" w:rightChars="0" w:firstLine="420" w:firstLineChars="200"/>
        <w:jc w:val="center"/>
        <w:rPr>
          <w:rFonts w:hint="default" w:ascii="Calibri" w:hAnsi="Calibri" w:eastAsia="宋体" w:cs="Calibri"/>
          <w:sz w:val="24"/>
          <w:szCs w:val="24"/>
        </w:rPr>
      </w:pPr>
      <m:oMath>
        <m:r>
          <m:rPr/>
          <w:rPr>
            <w:rFonts w:hint="default" w:ascii="Cambria Math"/>
          </w:rPr>
          <m:t>κ=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v</m:t>
            </m:r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/>
                  <w:rPr>
                    <w:rFonts w:hint="default" w:ascii="Cambria Math"/>
                  </w:rPr>
                  <m:t>l</m:t>
                </m:r>
              </m:e>
              <m:sub>
                <m:r>
                  <m:rPr/>
                  <w:rPr>
                    <w:rFonts w:hint="default" w:ascii="Cambria Math"/>
                  </w:rPr>
                  <m:t>e</m:t>
                </m:r>
              </m:sub>
            </m:sSub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2Pe</m:t>
            </m:r>
            <m:ctrlPr>
              <w:rPr>
                <w:rFonts w:hint="default" w:ascii="Cambria Math"/>
              </w:rPr>
            </m:ctrlPr>
          </m:den>
        </m:f>
      </m:oMath>
    </w:p>
    <w:p w14:paraId="705A2F64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三、有限元离散与稳定化格式推导</w:t>
      </w:r>
    </w:p>
    <w:p w14:paraId="062B0D1F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3.1 弱形式简要推导</w:t>
      </w:r>
    </w:p>
    <w:p w14:paraId="1BAAD928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 xml:space="preserve">对控制方程乘以试函数 </w:t>
      </w:r>
      <m:oMath>
        <m:r>
          <m:rPr/>
          <w:rPr>
            <w:rFonts w:hint="default" w:ascii="Cambria Math"/>
          </w:rPr>
          <m:t>ω</m:t>
        </m:r>
      </m:oMath>
      <w:r>
        <w:rPr>
          <w:rFonts w:hint="default" w:ascii="Calibri" w:hAnsi="Calibri" w:eastAsia="宋体" w:cs="Calibri"/>
          <w:sz w:val="24"/>
          <w:szCs w:val="24"/>
        </w:rPr>
        <w:t>，在单元区间积分并对二阶导数分部积分，分离扩散双线性项与对流双线性项：</w:t>
      </w:r>
    </w:p>
    <w:p w14:paraId="25DF17DA">
      <w:pPr>
        <w:spacing w:before="100" w:beforeAutospacing="0" w:after="100" w:afterAutospacing="0" w:line="300" w:lineRule="auto"/>
        <w:ind w:left="0" w:leftChars="0" w:right="0" w:rightChars="0" w:firstLine="420" w:firstLineChars="200"/>
        <w:jc w:val="center"/>
        <w:rPr>
          <w:rFonts w:hint="default" w:ascii="Calibri" w:hAnsi="Calibri" w:eastAsia="宋体" w:cs="Calibri"/>
          <w:sz w:val="24"/>
          <w:szCs w:val="24"/>
        </w:rPr>
      </w:pPr>
      <m:oMath>
        <m:nary>
          <m:naryPr>
            <m:limLoc m:val="subSup"/>
            <m:subHide m:val="1"/>
            <m:supHide m:val="1"/>
            <m:ctrlPr>
              <w:rPr>
                <w:rFonts w:hint="default" w:ascii="Cambria Math"/>
              </w:rPr>
            </m:ctrlPr>
          </m:naryPr>
          <m:sub/>
          <m:sup/>
          <m:e>
            <m:r>
              <m:rPr/>
              <w:rPr>
                <w:rFonts w:hint="default" w:ascii="Cambria Math"/>
              </w:rPr>
              <m:t>κ</m:t>
            </m:r>
          </m:e>
        </m:nary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dω</m:t>
            </m:r>
          </m:num>
          <m:den>
            <m:r>
              <m:rPr/>
              <w:rPr>
                <w:rFonts w:hint="default" w:ascii="Cambria Math"/>
              </w:rPr>
              <m:t>dx</m:t>
            </m:r>
          </m:den>
        </m:f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dθ</m:t>
            </m:r>
          </m:num>
          <m:den>
            <m:r>
              <m:rPr/>
              <w:rPr>
                <w:rFonts w:hint="default" w:ascii="Cambria Math"/>
              </w:rPr>
              <m:t>dx</m:t>
            </m:r>
          </m:den>
        </m:f>
        <m:r>
          <m:rPr/>
          <w:rPr>
            <w:rFonts w:hint="default" w:ascii="Cambria Math"/>
          </w:rPr>
          <m:t>dx+</m:t>
        </m:r>
        <m:nary>
          <m:naryPr>
            <m:limLoc m:val="subSup"/>
            <m:subHide m:val="1"/>
            <m:supHide m:val="1"/>
            <m:ctrlPr>
              <w:rPr>
                <w:rFonts w:hint="default" w:ascii="Cambria Math"/>
              </w:rPr>
            </m:ctrlPr>
          </m:naryPr>
          <m:sub/>
          <m:sup/>
          <m:e>
            <m:r>
              <m:rPr/>
              <w:rPr>
                <w:rFonts w:hint="default" w:ascii="Cambria Math"/>
              </w:rPr>
              <m:t>ω</m:t>
            </m:r>
          </m:e>
        </m:nary>
        <m:r>
          <m:rPr/>
          <w:rPr>
            <w:rFonts w:hint="default" w:ascii="Cambria Math"/>
          </w:rPr>
          <m:t>v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dθ</m:t>
            </m:r>
          </m:num>
          <m:den>
            <m:r>
              <m:rPr/>
              <w:rPr>
                <w:rFonts w:hint="default" w:ascii="Cambria Math"/>
              </w:rPr>
              <m:t>dx</m:t>
            </m:r>
          </m:den>
        </m:f>
        <m:r>
          <m:rPr/>
          <w:rPr>
            <w:rFonts w:hint="default" w:ascii="Cambria Math"/>
          </w:rPr>
          <m:t>dx=0</m:t>
        </m:r>
      </m:oMath>
    </w:p>
    <w:p w14:paraId="24BFDDDD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标准 Galerkin 方法取试函数与形函数完全相等；稳定化格式通过修正扩散项引入人工扩散，抑制对流带来的数值不稳定。</w:t>
      </w:r>
    </w:p>
    <w:p w14:paraId="705305D5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3.2 统一单元刚度矩阵</w:t>
      </w:r>
    </w:p>
    <w:p w14:paraId="034F1918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 xml:space="preserve">引入人工修正扩散系数 </w:t>
      </w:r>
      <m:oMath>
        <m:acc>
          <m:accPr>
            <m:chr m:val="̄"/>
            <m:ctrlPr>
              <w:rPr>
                <w:rFonts w:hint="default" w:ascii="Cambria Math"/>
              </w:rPr>
            </m:ctrlPr>
          </m:accPr>
          <m:e>
            <m:r>
              <m:rPr/>
              <w:rPr>
                <w:rFonts w:hint="default" w:ascii="Cambria Math"/>
              </w:rPr>
              <m:t>κ</m:t>
            </m:r>
          </m:e>
        </m:acc>
        <m:r>
          <m:rPr/>
          <w:rPr>
            <w:rFonts w:hint="default" w:ascii="Cambria Math"/>
          </w:rPr>
          <m:t>=κ+α⋅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v</m:t>
            </m:r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/>
                  <w:rPr>
                    <w:rFonts w:hint="default" w:ascii="Cambria Math"/>
                  </w:rPr>
                  <m:t>l</m:t>
                </m:r>
              </m:e>
              <m:sub>
                <m:r>
                  <m:rPr/>
                  <w:rPr>
                    <w:rFonts w:hint="default" w:ascii="Cambria Math"/>
                  </w:rPr>
                  <m:t>e</m:t>
                </m:r>
              </m:sub>
            </m:sSub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den>
        </m:f>
      </m:oMath>
      <w:r>
        <w:rPr>
          <w:rFonts w:hint="default" w:ascii="Calibri" w:hAnsi="Calibri" w:eastAsia="宋体" w:cs="Calibri"/>
          <w:sz w:val="24"/>
          <w:szCs w:val="24"/>
        </w:rPr>
        <w:t>，两节点线性单元统一单元矩阵：</w:t>
      </w:r>
    </w:p>
    <w:p w14:paraId="1EEF6049">
      <w:pPr>
        <w:spacing w:before="100" w:beforeAutospacing="0" w:after="100" w:afterAutospacing="0" w:line="300" w:lineRule="auto"/>
        <w:ind w:left="0" w:leftChars="0" w:right="0" w:rightChars="0" w:firstLine="420" w:firstLineChars="200"/>
        <w:jc w:val="center"/>
        <w:rPr>
          <w:rFonts w:hint="default" w:ascii="Calibri" w:hAnsi="Calibri" w:eastAsia="宋体" w:cs="Calibri"/>
          <w:sz w:val="24"/>
          <w:szCs w:val="24"/>
        </w:rPr>
      </w:pPr>
      <m:oMath>
        <m:f>
          <m:fPr>
            <m:ctrlPr>
              <w:rPr>
                <w:rFonts w:hint="default" w:ascii="Cambria Math"/>
              </w:rPr>
            </m:ctrlPr>
          </m:fPr>
          <m:num>
            <m:acc>
              <m:accPr>
                <m:chr m:val="̄"/>
                <m:ctrlPr>
                  <w:rPr>
                    <w:rFonts w:hint="default" w:ascii="Cambria Math"/>
                  </w:rPr>
                </m:ctrlPr>
              </m:accPr>
              <m:e>
                <m:r>
                  <m:rPr/>
                  <w:rPr>
                    <w:rFonts w:hint="default" w:ascii="Cambria Math"/>
                  </w:rPr>
                  <m:t>κ</m:t>
                </m:r>
              </m:e>
            </m:acc>
            <m:ctrlPr>
              <w:rPr>
                <w:rFonts w:hint="default" w:ascii="Cambria Math"/>
              </w:rPr>
            </m:ctrlPr>
          </m:num>
          <m:den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/>
                  <w:rPr>
                    <w:rFonts w:hint="default" w:ascii="Cambria Math"/>
                  </w:rPr>
                  <m:t>l</m:t>
                </m:r>
              </m:e>
              <m:sub>
                <m:r>
                  <m:rPr/>
                  <w:rPr>
                    <w:rFonts w:hint="default" w:ascii="Cambria Math"/>
                  </w:rPr>
                  <m:t>e</m:t>
                </m:r>
              </m:sub>
            </m:sSub>
            <m:ctrlPr>
              <w:rPr>
                <w:rFonts w:hint="default" w:ascii="Cambria Math"/>
              </w:rPr>
            </m:ctrlPr>
          </m:den>
        </m:f>
        <m:d>
          <m:dPr>
            <m:begChr m:val="["/>
            <m:endChr m:val="]"/>
            <m:ctrlPr>
              <w:rPr>
                <w:rFonts w:hint="default" w:asci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hint="default" w:ascii="Cambria Math"/>
                  </w:rPr>
                </m:ctrlPr>
              </m:mPr>
              <m:mr>
                <m:e>
                  <m:r>
                    <m:rPr/>
                    <w:rPr>
                      <w:rFonts w:hint="default" w:ascii="Cambria Math"/>
                    </w:rPr>
                    <m:t>1</m:t>
                  </m:r>
                </m:e>
                <m:e>
                  <m:r>
                    <m:rPr/>
                    <w:rPr>
                      <w:rFonts w:hint="default" w:ascii="Cambria Math"/>
                    </w:rPr>
                    <m:t>−1</m:t>
                  </m:r>
                </m:e>
              </m:mr>
              <m:mr>
                <m:e>
                  <m:r>
                    <m:rPr/>
                    <w:rPr>
                      <w:rFonts w:hint="default" w:ascii="Cambria Math"/>
                    </w:rPr>
                    <m:t>−1</m:t>
                  </m:r>
                </m:e>
                <m:e>
                  <m:r>
                    <m:rPr/>
                    <w:rPr>
                      <w:rFonts w:hint="default" w:ascii="Cambria Math"/>
                    </w:rPr>
                    <m:t>1</m:t>
                  </m:r>
                </m:e>
              </m:mr>
            </m:m>
            <m:ctrlPr>
              <w:rPr>
                <w:rFonts w:hint="default" w:ascii="Cambria Math"/>
              </w:rPr>
            </m:ctrlPr>
          </m:e>
        </m:d>
        <m:r>
          <m:rPr/>
          <w:rPr>
            <w:rFonts w:hint="default" w:ascii="Cambria Math"/>
          </w:rPr>
          <m:t>+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v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den>
        </m:f>
        <m:d>
          <m:dPr>
            <m:begChr m:val="["/>
            <m:endChr m:val="]"/>
            <m:ctrlPr>
              <w:rPr>
                <w:rFonts w:hint="default" w:asci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hint="default" w:ascii="Cambria Math"/>
                  </w:rPr>
                </m:ctrlPr>
              </m:mPr>
              <m:mr>
                <m:e>
                  <m:r>
                    <m:rPr/>
                    <w:rPr>
                      <w:rFonts w:hint="default" w:ascii="Cambria Math"/>
                    </w:rPr>
                    <m:t>−1</m:t>
                  </m:r>
                </m:e>
                <m:e>
                  <m:r>
                    <m:rPr/>
                    <w:rPr>
                      <w:rFonts w:hint="default" w:ascii="Cambria Math"/>
                    </w:rPr>
                    <m:t>1</m:t>
                  </m:r>
                </m:e>
              </m:mr>
              <m:mr>
                <m:e>
                  <m:r>
                    <m:rPr/>
                    <w:rPr>
                      <w:rFonts w:hint="default" w:ascii="Cambria Math"/>
                    </w:rPr>
                    <m:t>−1</m:t>
                  </m:r>
                </m:e>
                <m:e>
                  <m:r>
                    <m:rPr/>
                    <w:rPr>
                      <w:rFonts w:hint="default" w:ascii="Cambria Math"/>
                    </w:rPr>
                    <m:t>1</m:t>
                  </m:r>
                </m:e>
              </m:mr>
            </m:m>
            <m:ctrlPr>
              <w:rPr>
                <w:rFonts w:hint="default" w:ascii="Cambria Math"/>
              </w:rPr>
            </m:ctrlPr>
          </m:e>
        </m:d>
      </m:oMath>
    </w:p>
    <w:p w14:paraId="3A799ED5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 xml:space="preserve">矩阵第一部分为扩散项，第二部分为对流项；稳定参数 </w:t>
      </w:r>
      <m:oMath>
        <m:r>
          <m:rPr/>
          <w:rPr>
            <w:rFonts w:hint="default" w:ascii="Cambria Math"/>
          </w:rPr>
          <m:t>α</m:t>
        </m:r>
      </m:oMath>
      <w:r>
        <w:rPr>
          <w:rFonts w:hint="default" w:ascii="Calibri" w:hAnsi="Calibri" w:eastAsia="宋体" w:cs="Calibri"/>
          <w:sz w:val="24"/>
          <w:szCs w:val="24"/>
        </w:rPr>
        <w:t xml:space="preserve"> 区分三种数值格式：</w:t>
      </w:r>
    </w:p>
    <w:p w14:paraId="78680CFF">
      <w:pPr>
        <w:numPr>
          <w:ilvl w:val="0"/>
          <w:numId w:val="2"/>
        </w:numPr>
        <w:spacing w:before="0"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标准 Galerkin：</w:t>
      </w:r>
      <m:oMath>
        <m:r>
          <m:rPr/>
          <w:rPr>
            <w:rFonts w:hint="default" w:ascii="Cambria Math"/>
          </w:rPr>
          <m:t>α=0</m:t>
        </m:r>
      </m:oMath>
      <w:r>
        <w:rPr>
          <w:rFonts w:hint="default" w:ascii="Calibri" w:hAnsi="Calibri" w:eastAsia="宋体" w:cs="Calibri"/>
          <w:sz w:val="24"/>
          <w:szCs w:val="24"/>
        </w:rPr>
        <w:t>，无人工扩散；</w:t>
      </w:r>
    </w:p>
    <w:p w14:paraId="1E375F1B">
      <w:pPr>
        <w:numPr>
          <w:ilvl w:val="0"/>
          <w:numId w:val="2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迎风格式：</w:t>
      </w:r>
      <m:oMath>
        <m:r>
          <m:rPr/>
          <w:rPr>
            <w:rFonts w:hint="default" w:ascii="Cambria Math"/>
          </w:rPr>
          <m:t>α=1</m:t>
        </m:r>
      </m:oMath>
      <w:r>
        <w:rPr>
          <w:rFonts w:hint="default" w:ascii="Calibri" w:hAnsi="Calibri" w:eastAsia="宋体" w:cs="Calibri"/>
          <w:sz w:val="24"/>
          <w:szCs w:val="24"/>
        </w:rPr>
        <w:t>，固定过量人工扩散；</w:t>
      </w:r>
    </w:p>
    <w:p w14:paraId="7F2AAE14">
      <w:pPr>
        <w:numPr>
          <w:ilvl w:val="0"/>
          <w:numId w:val="2"/>
        </w:numPr>
        <w:spacing w:beforeAutospacing="0" w:after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SUPG 最优稳定参数：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α</m:t>
            </m:r>
          </m:e>
          <m:sub>
            <m:r>
              <m:rPr/>
              <w:rPr>
                <w:rFonts w:hint="default" w:ascii="Cambria Math"/>
              </w:rPr>
              <m:t>opt</m:t>
            </m:r>
          </m:sub>
        </m:sSub>
        <m:r>
          <m:rPr/>
          <w:rPr>
            <w:rFonts w:hint="default" w:ascii="Cambria Math"/>
          </w:rPr>
          <m:t>=</m:t>
        </m:r>
        <m:func>
          <m:funcPr>
            <m:ctrlPr>
              <w:rPr>
                <w:rFonts w:hint="default" w:ascii="Cambria Math"/>
              </w:rPr>
            </m:ctrlPr>
          </m:funcPr>
          <m:fName>
            <m:r>
              <m:rPr>
                <m:sty m:val="p"/>
              </m:rPr>
              <w:rPr>
                <w:rFonts w:hint="default" w:ascii="Cambria Math"/>
              </w:rPr>
              <m:t>coth</m:t>
            </m:r>
          </m:fName>
          <m:e>
            <m:r>
              <m:rPr/>
              <w:rPr>
                <w:rFonts w:hint="default" w:ascii="Cambria Math"/>
              </w:rPr>
              <m:t>(</m:t>
            </m:r>
          </m:e>
        </m:func>
        <m:r>
          <m:rPr/>
          <w:rPr>
            <w:rFonts w:hint="default" w:ascii="Cambria Math"/>
          </w:rPr>
          <m:t>Pe)−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1</m:t>
            </m:r>
          </m:num>
          <m:den>
            <m:r>
              <m:rPr/>
              <w:rPr>
                <w:rFonts w:hint="default" w:ascii="Cambria Math"/>
              </w:rPr>
              <m:t>Pe</m:t>
            </m:r>
          </m:den>
        </m:f>
      </m:oMath>
      <w:r>
        <w:rPr>
          <w:rFonts w:hint="default" w:ascii="Calibri" w:hAnsi="Calibri" w:eastAsia="宋体" w:cs="Calibri"/>
          <w:sz w:val="24"/>
          <w:szCs w:val="24"/>
        </w:rPr>
        <w:t>；</w:t>
      </w:r>
    </w:p>
    <w:p w14:paraId="439A4A5D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程序增加判定：当</w:t>
      </w:r>
      <m:oMath>
        <m:r>
          <m:rPr/>
          <w:rPr>
            <w:rFonts w:hint="default" w:ascii="Cambria Math"/>
          </w:rPr>
          <m:t>Pe→0</m:t>
        </m:r>
      </m:oMath>
      <w:r>
        <w:rPr>
          <w:rFonts w:hint="default" w:ascii="Calibri" w:hAnsi="Calibri" w:eastAsia="宋体" w:cs="Calibri"/>
          <w:sz w:val="24"/>
          <w:szCs w:val="24"/>
        </w:rPr>
        <w:t>时直接令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α</m:t>
            </m:r>
          </m:e>
          <m:sub>
            <m:r>
              <m:rPr/>
              <w:rPr>
                <w:rFonts w:hint="default" w:ascii="Cambria Math"/>
              </w:rPr>
              <m:t>opt</m:t>
            </m:r>
          </m:sub>
        </m:sSub>
        <m:r>
          <m:rPr/>
          <w:rPr>
            <w:rFonts w:hint="default" w:ascii="Cambria Math"/>
          </w:rPr>
          <m:t>=0</m:t>
        </m:r>
      </m:oMath>
      <w:r>
        <w:rPr>
          <w:rFonts w:hint="default" w:ascii="Calibri" w:hAnsi="Calibri" w:eastAsia="宋体" w:cs="Calibri"/>
          <w:sz w:val="24"/>
          <w:szCs w:val="24"/>
        </w:rPr>
        <w:t>，消除分母奇异问题。</w:t>
      </w:r>
    </w:p>
    <w:p w14:paraId="26847DE5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3.3 完整有限元求解流程</w:t>
      </w:r>
    </w:p>
    <w:p w14:paraId="50D84A86">
      <w:pPr>
        <w:numPr>
          <w:ilvl w:val="0"/>
          <w:numId w:val="3"/>
        </w:numPr>
        <w:spacing w:before="0"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根据单元数量生成均匀网格，输出全部节点坐标；</w:t>
      </w:r>
    </w:p>
    <w:p w14:paraId="1C1D35AF">
      <w:pPr>
        <w:numPr>
          <w:ilvl w:val="0"/>
          <w:numId w:val="3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循环遍历所有单元，将单元矩阵叠加至全局总刚度矩阵；</w:t>
      </w:r>
    </w:p>
    <w:p w14:paraId="2DAF85F4">
      <w:pPr>
        <w:numPr>
          <w:ilvl w:val="0"/>
          <w:numId w:val="3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修正方程组，强制施加两端 Dirichlet 边界条件；</w:t>
      </w:r>
    </w:p>
    <w:p w14:paraId="457E4071">
      <w:pPr>
        <w:numPr>
          <w:ilvl w:val="0"/>
          <w:numId w:val="3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直接线性求解得到各节点数值解；</w:t>
      </w:r>
    </w:p>
    <w:p w14:paraId="12E2AD47">
      <w:pPr>
        <w:numPr>
          <w:ilvl w:val="0"/>
          <w:numId w:val="3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计算解析解，求解所有节点最大绝对误差；</w:t>
      </w:r>
    </w:p>
    <w:p w14:paraId="1F3E2757">
      <w:pPr>
        <w:numPr>
          <w:ilvl w:val="0"/>
          <w:numId w:val="3"/>
        </w:numPr>
        <w:spacing w:beforeAutospacing="0" w:after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输出节点数据表，绘制数值解对比曲线。</w:t>
      </w:r>
    </w:p>
    <w:p w14:paraId="7BB02CAA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四、程序实现说明</w:t>
      </w:r>
    </w:p>
    <w:p w14:paraId="37F7443B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4.1 核心函数（严格遵循作业指定接口）</w:t>
      </w:r>
    </w:p>
    <w:p w14:paraId="1F272AFB">
      <w:pPr>
        <w:numPr>
          <w:ilvl w:val="0"/>
          <w:numId w:val="4"/>
        </w:numPr>
        <w:spacing w:before="0"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alpha_supg(Pe)：输入单元 Pe，返回 SUPG 自适应稳定系数；</w:t>
      </w:r>
    </w:p>
    <w:p w14:paraId="632D41E1">
      <w:pPr>
        <w:numPr>
          <w:ilvl w:val="0"/>
          <w:numId w:val="4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element_matrix(kappa, v, le, alpha)：输入物理参数与稳定系数，返回 2×2 单元刚度矩阵；</w:t>
      </w:r>
    </w:p>
    <w:p w14:paraId="6C0C1545">
      <w:pPr>
        <w:numPr>
          <w:ilvl w:val="0"/>
          <w:numId w:val="4"/>
        </w:numPr>
        <w:spacing w:beforeAutospacing="0" w:after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solve_advection_diffusion(nel, L, v, kappa, alpha)：有限元主求解函数，输出节点坐标、数值解、精确解、全局总刚矩阵。</w:t>
      </w:r>
    </w:p>
    <w:p w14:paraId="5A26600D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4.2 基础计算工况</w:t>
      </w:r>
    </w:p>
    <w:p w14:paraId="0643F7E3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固定全局参数：</w:t>
      </w:r>
      <m:oMath>
        <m:r>
          <m:rPr/>
          <w:rPr>
            <w:rFonts w:hint="default" w:ascii="Cambria Math"/>
          </w:rPr>
          <m:t xml:space="preserve">L=1, 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n</m:t>
            </m:r>
          </m:e>
          <m:sub>
            <m:r>
              <m:rPr/>
              <w:rPr>
                <w:rFonts w:hint="default" w:ascii="Cambria Math"/>
              </w:rPr>
              <m:t>el</m:t>
            </m:r>
          </m:sub>
        </m:sSub>
        <m:r>
          <m:rPr/>
          <w:rPr>
            <w:rFonts w:hint="default" w:ascii="Cambria Math"/>
          </w:rPr>
          <m:t>=20, v=1</m:t>
        </m:r>
      </m:oMath>
    </w:p>
    <w:p w14:paraId="19545E15">
      <w:pPr>
        <w:numPr>
          <w:ilvl w:val="0"/>
          <w:numId w:val="5"/>
        </w:numPr>
        <w:spacing w:before="0"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工况 1：</w:t>
      </w:r>
      <m:oMath>
        <m:r>
          <m:rPr/>
          <w:rPr>
            <w:rFonts w:hint="default" w:ascii="Cambria Math"/>
          </w:rPr>
          <m:t>Pe=0.1</m:t>
        </m:r>
      </m:oMath>
      <w:r>
        <w:rPr>
          <w:rFonts w:hint="default" w:ascii="Calibri" w:hAnsi="Calibri" w:eastAsia="宋体" w:cs="Calibri"/>
          <w:sz w:val="24"/>
          <w:szCs w:val="24"/>
        </w:rPr>
        <w:t>，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l</m:t>
            </m:r>
          </m:e>
          <m:sub>
            <m:r>
              <m:rPr/>
              <w:rPr>
                <w:rFonts w:hint="default" w:ascii="Cambria Math"/>
              </w:rPr>
              <m:t>e</m:t>
            </m:r>
          </m:sub>
        </m:sSub>
        <m:r>
          <m:rPr/>
          <w:rPr>
            <w:rFonts w:hint="default" w:ascii="Cambria Math"/>
          </w:rPr>
          <m:t>=0.05, κ=0.25</m:t>
        </m:r>
      </m:oMath>
      <w:r>
        <w:rPr>
          <w:rFonts w:hint="default" w:ascii="Calibri" w:hAnsi="Calibri" w:eastAsia="宋体" w:cs="Calibri"/>
          <w:sz w:val="24"/>
          <w:szCs w:val="24"/>
        </w:rPr>
        <w:t>（扩散占优）；</w:t>
      </w:r>
    </w:p>
    <w:p w14:paraId="525189DD">
      <w:pPr>
        <w:numPr>
          <w:ilvl w:val="0"/>
          <w:numId w:val="5"/>
        </w:numPr>
        <w:spacing w:beforeAutospacing="0" w:after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工况 2：</w:t>
      </w:r>
      <m:oMath>
        <m:r>
          <m:rPr/>
          <w:rPr>
            <w:rFonts w:hint="default" w:ascii="Cambria Math"/>
          </w:rPr>
          <m:t>Pe=3.0</m:t>
        </m:r>
      </m:oMath>
      <w:r>
        <w:rPr>
          <w:rFonts w:hint="default" w:ascii="Calibri" w:hAnsi="Calibri" w:eastAsia="宋体" w:cs="Calibri"/>
          <w:sz w:val="24"/>
          <w:szCs w:val="24"/>
        </w:rPr>
        <w:t>，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l</m:t>
            </m:r>
          </m:e>
          <m:sub>
            <m:r>
              <m:rPr/>
              <w:rPr>
                <w:rFonts w:hint="default" w:ascii="Cambria Math"/>
              </w:rPr>
              <m:t>e</m:t>
            </m:r>
          </m:sub>
        </m:sSub>
        <m:r>
          <m:rPr/>
          <w:rPr>
            <w:rFonts w:hint="default" w:ascii="Cambria Math"/>
          </w:rPr>
          <m:t>=0.05, κ≈0.00833333</m:t>
        </m:r>
      </m:oMath>
      <w:r>
        <w:rPr>
          <w:rFonts w:hint="default" w:ascii="Calibri" w:hAnsi="Calibri" w:eastAsia="宋体" w:cs="Calibri"/>
          <w:sz w:val="24"/>
          <w:szCs w:val="24"/>
        </w:rPr>
        <w:t>（对流占优）。</w:t>
      </w:r>
    </w:p>
    <w:p w14:paraId="56FDA742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4.3 附加网格收敛测试</w:t>
      </w:r>
    </w:p>
    <w:p w14:paraId="65CF2B59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kern w:val="2"/>
          <w:sz w:val="24"/>
          <w:szCs w:val="24"/>
          <w:lang w:val="en-US" w:eastAsia="zh-CN" w:bidi="ar-SA"/>
        </w:rPr>
      </w:pPr>
      <w:r>
        <w:rPr>
          <w:rFonts w:hint="default" w:ascii="Calibri" w:hAnsi="Calibri" w:eastAsia="宋体" w:cs="Calibri"/>
          <w:kern w:val="2"/>
          <w:sz w:val="24"/>
          <w:szCs w:val="24"/>
          <w:lang w:val="en-US" w:eastAsia="zh-CN" w:bidi="ar-SA"/>
        </w:rPr>
        <w:t xml:space="preserve">，单元序列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n</m:t>
            </m:r>
          </m:e>
          <m:sub>
            <m:r>
              <m:rPr/>
              <w:rPr>
                <w:rFonts w:hint="default" w:ascii="Cambria Math"/>
              </w:rPr>
              <m:t>el</m:t>
            </m:r>
          </m:sub>
        </m:sSub>
        <m:r>
          <m:rPr/>
          <w:rPr>
            <w:rFonts w:hint="default" w:ascii="Cambria Math"/>
          </w:rPr>
          <m:t>=10、20、40、80</m:t>
        </m:r>
      </m:oMath>
      <w:r>
        <w:rPr>
          <w:rFonts w:hint="default" w:ascii="Calibri" w:hAnsi="Calibri" w:eastAsia="宋体" w:cs="Calibri"/>
          <w:kern w:val="2"/>
          <w:sz w:val="24"/>
          <w:szCs w:val="24"/>
          <w:lang w:val="en-US" w:eastAsia="zh-CN" w:bidi="ar-SA"/>
        </w:rPr>
        <w:t>，计算不同网格下标准 Galerkin 与 SUPG 的最大误差，绘制双对数收敛曲线，分析网格加密对精度与振荡的改善效果。</w:t>
      </w:r>
    </w:p>
    <w:p w14:paraId="527805C4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4.4 运行环境与依赖</w:t>
      </w:r>
    </w:p>
    <w:p w14:paraId="6DFF8C0D">
      <w:pPr>
        <w:numPr>
          <w:ilvl w:val="0"/>
          <w:numId w:val="6"/>
        </w:numPr>
        <w:spacing w:before="0"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Python 3.8 及以上版本；</w:t>
      </w:r>
    </w:p>
    <w:p w14:paraId="4ADAA632">
      <w:pPr>
        <w:numPr>
          <w:ilvl w:val="0"/>
          <w:numId w:val="6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第三方库：numpy矩阵运算、matplotlib可视化绘图；</w:t>
      </w:r>
    </w:p>
    <w:p w14:paraId="1D262083">
      <w:pPr>
        <w:numPr>
          <w:ilvl w:val="0"/>
          <w:numId w:val="6"/>
        </w:numPr>
        <w:spacing w:beforeAutospacing="0" w:after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限制条件：未调用专业有限元、PDE 求解库，矩阵组装、边界处理、方程组求解全部自主编写。</w:t>
      </w:r>
    </w:p>
    <w:p w14:paraId="4C95B224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4.5 程序运行方式</w:t>
      </w:r>
    </w:p>
    <w:p w14:paraId="2DC79616">
      <w:pPr>
        <w:numPr>
          <w:ilvl w:val="0"/>
          <w:numId w:val="7"/>
        </w:numPr>
        <w:spacing w:before="0"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依赖安装命令：pip install numpy matplotlib；</w:t>
      </w:r>
    </w:p>
    <w:p w14:paraId="70064C06">
      <w:pPr>
        <w:numPr>
          <w:ilvl w:val="0"/>
          <w:numId w:val="7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直接运行脚本，控制台输出参数、误差、节点数据、矩阵判定结果；</w:t>
      </w:r>
    </w:p>
    <w:p w14:paraId="3B54D2F6">
      <w:pPr>
        <w:numPr>
          <w:ilvl w:val="0"/>
          <w:numId w:val="7"/>
        </w:numPr>
        <w:spacing w:beforeAutospacing="0" w:after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自动保存三张图片：Pe_0.1.png、Pe_3.0.png、convergence_curve.png。</w:t>
      </w:r>
    </w:p>
    <w:p w14:paraId="21E8DDAC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五、数值结果与误差定量分析</w:t>
      </w:r>
    </w:p>
    <w:p w14:paraId="4680D0BD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本文统一采用节点最大绝对误差作为精度评价指标：</w:t>
      </w:r>
    </w:p>
    <w:p w14:paraId="365E178A">
      <w:pPr>
        <w:spacing w:before="100" w:beforeAutospacing="0" w:after="100" w:afterAutospacing="0" w:line="300" w:lineRule="auto"/>
        <w:ind w:left="0" w:leftChars="0" w:right="0" w:rightChars="0" w:firstLine="420" w:firstLineChars="200"/>
        <w:jc w:val="center"/>
        <w:rPr>
          <w:rFonts w:hint="default" w:ascii="Calibri" w:hAnsi="Calibri" w:eastAsia="宋体" w:cs="Calibri"/>
          <w:sz w:val="24"/>
          <w:szCs w:val="24"/>
        </w:rPr>
      </w:pPr>
      <m:oMath>
        <m:func>
          <m:funcPr>
            <m:ctrlPr>
              <w:rPr>
                <w:rFonts w:hint="default" w:ascii="Cambria Math"/>
              </w:rPr>
            </m:ctrlPr>
          </m:funcPr>
          <m:fName>
            <m:limLow>
              <m:limLowPr>
                <m:ctrlPr>
                  <w:rPr>
                    <w:rFonts w:hint="default" w:asci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default" w:ascii="Cambria Math"/>
                  </w:rPr>
                  <m:t>max</m:t>
                </m:r>
              </m:e>
              <m:lim/>
            </m:limLow>
            <m:ctrlPr>
              <w:rPr>
                <w:rFonts w:hint="default" w:ascii="Cambria Math"/>
              </w:rPr>
            </m:ctrlPr>
          </m:fName>
          <m:e>
            <m:r>
              <m:rPr/>
              <w:rPr>
                <w:rFonts w:hint="default" w:ascii="Cambria Math"/>
              </w:rPr>
              <m:t>_</m:t>
            </m:r>
            <m:ctrlPr>
              <w:rPr>
                <w:rFonts w:hint="default" w:ascii="Cambria Math"/>
              </w:rPr>
            </m:ctrlPr>
          </m:e>
        </m:func>
        <m:r>
          <m:rPr/>
          <w:rPr>
            <w:rFonts w:hint="default" w:ascii="Cambria Math"/>
          </w:rPr>
          <m:t>error=</m:t>
        </m:r>
        <m:func>
          <m:funcPr>
            <m:ctrlPr>
              <w:rPr>
                <w:rFonts w:hint="default" w:ascii="Cambria Math"/>
              </w:rPr>
            </m:ctrlPr>
          </m:funcPr>
          <m:fName>
            <m:limLow>
              <m:limLowPr>
                <m:ctrlPr>
                  <w:rPr>
                    <w:rFonts w:hint="default" w:asci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default" w:ascii="Cambria Math"/>
                  </w:rPr>
                  <m:t>max</m:t>
                </m:r>
              </m:e>
              <m:lim/>
            </m:limLow>
            <m:ctrlPr>
              <w:rPr>
                <w:rFonts w:hint="default" w:ascii="Cambria Math"/>
              </w:rPr>
            </m:ctrlPr>
          </m:fName>
          <m:e>
            <m:d>
              <m:dPr>
                <m:begChr m:val="|"/>
                <m:endChr m:val="|"/>
                <m:ctrlPr>
                  <w:rPr>
                    <w:rFonts w:hint="default" w:ascii="Cambria Math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/>
                      </w:rPr>
                      <m:t>θ</m:t>
                    </m:r>
                  </m:e>
                  <m:sub>
                    <m:r>
                      <m:rPr/>
                      <w:rPr>
                        <w:rFonts w:hint="default" w:ascii="Cambria Math"/>
                      </w:rPr>
                      <m:t>numerical</m:t>
                    </m:r>
                  </m:sub>
                </m:sSub>
                <m:r>
                  <m:rPr/>
                  <w:rPr>
                    <w:rFonts w:hint="default" w:ascii="Cambria Math"/>
                  </w:rPr>
                  <m:t>−</m:t>
                </m:r>
                <m:sSub>
                  <m:sSubPr>
                    <m:ctrlPr>
                      <w:rPr>
                        <w:rFonts w:hint="default" w:ascii="Cambria Math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/>
                      </w:rPr>
                      <m:t>θ</m:t>
                    </m:r>
                  </m:e>
                  <m:sub>
                    <m:r>
                      <m:rPr/>
                      <w:rPr>
                        <w:rFonts w:hint="default" w:ascii="Cambria Math"/>
                      </w:rPr>
                      <m:t>exact</m:t>
                    </m:r>
                  </m:sub>
                </m:sSub>
                <m:ctrlPr>
                  <w:rPr>
                    <w:rFonts w:hint="default" w:ascii="Cambria Math"/>
                  </w:rPr>
                </m:ctrlPr>
              </m:e>
            </m:d>
            <m:ctrlPr>
              <w:rPr>
                <w:rFonts w:hint="default" w:ascii="Cambria Math"/>
              </w:rPr>
            </m:ctrlPr>
          </m:e>
        </m:func>
      </m:oMath>
    </w:p>
    <w:p w14:paraId="6FA48292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最大误差可直观反映边界层与振荡区域的最大偏离程度。</w:t>
      </w:r>
    </w:p>
    <w:p w14:paraId="53137506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5.1 工况 1：</w:t>
      </w:r>
      <m:oMath>
        <m:r>
          <m:rPr/>
          <w:rPr>
            <w:rFonts w:hint="default" w:ascii="Cambria Math"/>
          </w:rPr>
          <m:t>Pe=0.1</m:t>
        </m:r>
      </m:oMath>
      <w:r>
        <w:rPr>
          <w:rFonts w:hint="default" w:ascii="黑体" w:hAnsi="宋体" w:eastAsia="黑体" w:cs="黑体"/>
          <w:sz w:val="28"/>
          <w:szCs w:val="28"/>
        </w:rPr>
        <w:t xml:space="preserve"> 扩散占优</w:t>
      </w:r>
    </w:p>
    <w:tbl>
      <w:tblPr>
        <w:tblW w:w="45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21"/>
        <w:gridCol w:w="1787"/>
        <w:gridCol w:w="3347"/>
      </w:tblGrid>
      <w:tr w14:paraId="0E696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D1227B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b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sz w:val="24"/>
                <w:szCs w:val="24"/>
              </w:rPr>
              <w:t>数值格式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3E359D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b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sz w:val="24"/>
                <w:szCs w:val="24"/>
              </w:rPr>
              <w:t>稳定参数</w:t>
            </w:r>
            <m:oMath>
              <m:r>
                <m:rPr/>
                <w:rPr>
                  <w:rFonts w:hint="default" w:ascii="Cambria Math"/>
                </w:rPr>
                <m:t>α</m:t>
              </m:r>
            </m:oMath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CC477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b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sz w:val="24"/>
                <w:szCs w:val="24"/>
              </w:rPr>
              <w:t>最大节点误差</w:t>
            </w:r>
          </w:p>
        </w:tc>
      </w:tr>
      <w:tr w14:paraId="232CD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AFA935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标准 Galerkin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E7A4FD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4CD85F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m:oMath>
              <m:r>
                <m:rPr/>
                <w:rPr>
                  <w:rFonts w:hint="default" w:ascii="Cambria Math"/>
                </w:rPr>
                <m:t>1.094240462509×1</m:t>
              </m:r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0</m:t>
                  </m:r>
                </m:e>
                <m:sup>
                  <m:r>
                    <m:rPr/>
                    <w:rPr>
                      <w:rFonts w:hint="default" w:ascii="Cambria Math"/>
                    </w:rPr>
                    <m:t>−3</m:t>
                  </m:r>
                </m:sup>
              </m:sSup>
            </m:oMath>
          </w:p>
        </w:tc>
      </w:tr>
      <w:tr w14:paraId="12C76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8D323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迎风格式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C6F1E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AD563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m:oMath>
              <m:r>
                <m:rPr/>
                <w:rPr>
                  <w:rFonts w:hint="default" w:ascii="Cambria Math"/>
                </w:rPr>
                <m:t>2.977252618598×1</m:t>
              </m:r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0</m:t>
                  </m:r>
                </m:e>
                <m:sup>
                  <m:r>
                    <m:rPr/>
                    <w:rPr>
                      <w:rFonts w:hint="default" w:ascii="Cambria Math"/>
                    </w:rPr>
                    <m:t>−2</m:t>
                  </m:r>
                </m:sup>
              </m:sSup>
            </m:oMath>
          </w:p>
        </w:tc>
      </w:tr>
      <w:tr w14:paraId="5A659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6C02F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SUPG 稳定格式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4F865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α</m:t>
                  </m:r>
                </m:e>
                <m:sub>
                  <m:r>
                    <m:rPr/>
                    <w:rPr>
                      <w:rFonts w:hint="default" w:ascii="Cambria Math"/>
                    </w:rPr>
                    <m:t>opt</m:t>
                  </m:r>
                </m:sub>
              </m:sSub>
            </m:oMath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2E52BE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m:oMath>
              <m:r>
                <m:rPr/>
                <w:rPr>
                  <w:rFonts w:hint="default" w:ascii="Cambria Math"/>
                </w:rPr>
                <m:t>1.838915401897×1</m:t>
              </m:r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0</m:t>
                  </m:r>
                </m:e>
                <m:sup>
                  <m:r>
                    <m:rPr/>
                    <w:rPr>
                      <w:rFonts w:hint="default" w:ascii="Cambria Math"/>
                    </w:rPr>
                    <m:t>−15</m:t>
                  </m:r>
                </m:sup>
              </m:sSup>
            </m:oMath>
          </w:p>
        </w:tc>
      </w:tr>
    </w:tbl>
    <w:p w14:paraId="11D484E6">
      <w:pPr>
        <w:spacing w:before="100" w:beforeAutospacing="0" w:after="100" w:afterAutospacing="0" w:line="300" w:lineRule="auto"/>
        <w:ind w:left="0" w:leftChars="0" w:right="0" w:rightChars="0" w:firstLine="482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b/>
          <w:sz w:val="24"/>
          <w:szCs w:val="24"/>
        </w:rPr>
        <w:t>结果分析</w:t>
      </w:r>
    </w:p>
    <w:p w14:paraId="204AD790">
      <w:pPr>
        <w:numPr>
          <w:ilvl w:val="0"/>
          <w:numId w:val="8"/>
        </w:numPr>
        <w:spacing w:beforeAutospacing="0" w:after="0" w:afterAutospacing="0" w:line="300" w:lineRule="auto"/>
        <w:ind w:left="0" w:leftChars="0" w:right="0" w:rightChars="0" w:hanging="360" w:firstLineChars="0"/>
        <w:rPr>
          <w:rFonts w:hint="default" w:ascii="Calibri" w:hAnsi="Calibri" w:eastAsia="宋体" w:cs="Calibri"/>
          <w:kern w:val="2"/>
          <w:sz w:val="24"/>
          <w:szCs w:val="24"/>
          <w:lang w:val="en-US" w:eastAsia="zh-CN" w:bidi="ar-SA"/>
        </w:rPr>
      </w:pPr>
      <w:r>
        <w:rPr>
          <w:rFonts w:hint="default" w:ascii="Calibri" w:hAnsi="Calibri" w:eastAsia="宋体" w:cs="Calibri"/>
          <w:kern w:val="2"/>
          <w:sz w:val="24"/>
          <w:szCs w:val="24"/>
          <w:lang w:val="en-US" w:eastAsia="zh-CN" w:bidi="ar-SA"/>
        </w:rPr>
        <w:t>误差排序：</w:t>
      </w:r>
      <m:oMath>
        <m:r>
          <m:rPr/>
          <w:rPr>
            <w:rFonts w:hint="eastAsia" w:ascii="Cambria Math" w:hAnsi="Cambria Math" w:eastAsiaTheme="majorEastAsia" w:cstheme="majorEastAsia"/>
            <w:sz w:val="24"/>
            <w:szCs w:val="24"/>
          </w:rPr>
          <m:t>SUPG≪标准Galerkin&lt;迎风格式</m:t>
        </m:r>
      </m:oMath>
      <w:r>
        <w:rPr>
          <w:rFonts w:hint="default" w:ascii="Calibri" w:hAnsi="Calibri" w:eastAsia="宋体" w:cs="Calibri"/>
          <w:kern w:val="2"/>
          <w:sz w:val="24"/>
          <w:szCs w:val="24"/>
          <w:lang w:val="en-US" w:eastAsia="zh-CN" w:bidi="ar-SA"/>
        </w:rPr>
        <w:t>；</w:t>
      </w:r>
    </w:p>
    <w:p w14:paraId="6B1EC373">
      <w:pPr>
        <w:numPr>
          <w:ilvl w:val="0"/>
          <w:numId w:val="8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SUPG 误差仅为浮点舍入量级，数值解与解析解完全重合；</w:t>
      </w:r>
    </w:p>
    <w:p w14:paraId="228EC9E0">
      <w:pPr>
        <w:numPr>
          <w:ilvl w:val="0"/>
          <w:numId w:val="8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标准 Galerkin 仅存在微小离散偏差，曲线光滑无波动；</w:t>
      </w:r>
    </w:p>
    <w:p w14:paraId="286857DF">
      <w:pPr>
        <w:numPr>
          <w:ilvl w:val="0"/>
          <w:numId w:val="8"/>
        </w:numPr>
        <w:spacing w:beforeAutospacing="0" w:after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迎风格式人工扩散过量，产生明显数值耗散，解整体偏移，但全程单调无振荡。</w:t>
      </w:r>
    </w:p>
    <w:p w14:paraId="0A0CA5B2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回答作业问题 1：</w:t>
      </w:r>
      <m:oMath>
        <m:r>
          <m:rPr/>
          <w:rPr>
            <w:rFonts w:hint="default" w:ascii="Cambria Math"/>
          </w:rPr>
          <m:t>Pe=0.1</m:t>
        </m:r>
      </m:oMath>
      <w:r>
        <w:rPr>
          <w:rFonts w:hint="default" w:ascii="Calibri" w:hAnsi="Calibri" w:eastAsia="宋体" w:cs="Calibri"/>
          <w:sz w:val="24"/>
          <w:szCs w:val="24"/>
        </w:rPr>
        <w:t>下三种格式均可输出光滑无振荡的数值解。</w:t>
      </w:r>
    </w:p>
    <w:p w14:paraId="2C75F243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5.2 工况 2：</w:t>
      </w:r>
      <m:oMath>
        <m:r>
          <m:rPr/>
          <w:rPr>
            <w:rFonts w:hint="default" w:ascii="Cambria Math"/>
          </w:rPr>
          <m:t>Pe=3.0</m:t>
        </m:r>
      </m:oMath>
      <w:r>
        <w:rPr>
          <w:rFonts w:hint="default" w:ascii="黑体" w:hAnsi="宋体" w:eastAsia="黑体" w:cs="黑体"/>
          <w:sz w:val="28"/>
          <w:szCs w:val="28"/>
        </w:rPr>
        <w:t xml:space="preserve"> 对流占优</w:t>
      </w:r>
    </w:p>
    <w:tbl>
      <w:tblPr>
        <w:tblW w:w="45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21"/>
        <w:gridCol w:w="1787"/>
        <w:gridCol w:w="3347"/>
      </w:tblGrid>
      <w:tr w14:paraId="2CDFF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D648B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b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sz w:val="24"/>
                <w:szCs w:val="24"/>
              </w:rPr>
              <w:t>数值格式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8ADDB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b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sz w:val="24"/>
                <w:szCs w:val="24"/>
              </w:rPr>
              <w:t>稳定参数</w:t>
            </w:r>
            <m:oMath>
              <m:r>
                <m:rPr/>
                <w:rPr>
                  <w:rFonts w:hint="default" w:ascii="Cambria Math"/>
                </w:rPr>
                <m:t>α</m:t>
              </m:r>
            </m:oMath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CE993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b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sz w:val="24"/>
                <w:szCs w:val="24"/>
              </w:rPr>
              <w:t>最大节点误差</w:t>
            </w:r>
          </w:p>
        </w:tc>
      </w:tr>
      <w:tr w14:paraId="60FA3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C15B7E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标准 Galerkin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1DA56F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C3C6B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m:oMath>
              <m:r>
                <m:rPr/>
                <w:rPr>
                  <w:rFonts w:hint="default" w:ascii="Cambria Math"/>
                </w:rPr>
                <m:t>5.024801826895×1</m:t>
              </m:r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0</m:t>
                  </m:r>
                </m:e>
                <m:sup>
                  <m:r>
                    <m:rPr/>
                    <w:rPr>
                      <w:rFonts w:hint="default" w:ascii="Cambria Math"/>
                    </w:rPr>
                    <m:t>−1</m:t>
                  </m:r>
                </m:sup>
              </m:sSup>
            </m:oMath>
          </w:p>
        </w:tc>
      </w:tr>
      <w:tr w14:paraId="2A120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ECC99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迎风格式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81B96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3D4AD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m:oMath>
              <m:r>
                <m:rPr/>
                <w:rPr>
                  <w:rFonts w:hint="default" w:ascii="Cambria Math"/>
                </w:rPr>
                <m:t>1.403783906805×1</m:t>
              </m:r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0</m:t>
                  </m:r>
                </m:e>
                <m:sup>
                  <m:r>
                    <m:rPr/>
                    <w:rPr>
                      <w:rFonts w:hint="default" w:ascii="Cambria Math"/>
                    </w:rPr>
                    <m:t>−1</m:t>
                  </m:r>
                </m:sup>
              </m:sSup>
            </m:oMath>
          </w:p>
        </w:tc>
      </w:tr>
      <w:tr w14:paraId="14631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ED1B0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SUPG 稳定格式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6F7EE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α</m:t>
                  </m:r>
                </m:e>
                <m:sub>
                  <m:r>
                    <m:rPr/>
                    <w:rPr>
                      <w:rFonts w:hint="default" w:ascii="Cambria Math"/>
                    </w:rPr>
                    <m:t>opt</m:t>
                  </m:r>
                </m:sub>
              </m:sSub>
            </m:oMath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3F1CD3">
            <w:pPr>
              <w:spacing w:beforeAutospacing="0" w:afterAutospacing="0" w:line="300" w:lineRule="auto"/>
              <w:ind w:right="0"/>
              <w:jc w:val="center"/>
              <w:rPr>
                <w:rFonts w:hint="default" w:ascii="Calibri" w:hAnsi="Calibri" w:eastAsia="宋体" w:cs="Calibri"/>
                <w:sz w:val="24"/>
                <w:szCs w:val="24"/>
              </w:rPr>
            </w:pPr>
            <m:oMath>
              <m:r>
                <m:rPr/>
                <w:rPr>
                  <w:rFonts w:hint="default" w:ascii="Cambria Math"/>
                </w:rPr>
                <m:t>1.192622389734×1</m:t>
              </m:r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0</m:t>
                  </m:r>
                </m:e>
                <m:sup>
                  <m:r>
                    <m:rPr/>
                    <w:rPr>
                      <w:rFonts w:hint="default" w:ascii="Cambria Math"/>
                    </w:rPr>
                    <m:t>−16</m:t>
                  </m:r>
                </m:sup>
              </m:sSup>
            </m:oMath>
          </w:p>
        </w:tc>
      </w:tr>
    </w:tbl>
    <w:p w14:paraId="10DB8F3E">
      <w:pPr>
        <w:spacing w:before="100" w:beforeAutospacing="0" w:after="100" w:afterAutospacing="0" w:line="300" w:lineRule="auto"/>
        <w:ind w:left="0" w:leftChars="0" w:right="0" w:rightChars="0" w:firstLine="482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b/>
          <w:sz w:val="24"/>
          <w:szCs w:val="24"/>
        </w:rPr>
        <w:t>标准 Galerkin 振荡现象分析</w:t>
      </w:r>
    </w:p>
    <w:p w14:paraId="2EB28D8E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由控制台节点数据可见，</w:t>
      </w:r>
      <m:oMath>
        <m:r>
          <m:rPr/>
          <w:rPr>
            <w:rFonts w:hint="default" w:ascii="Cambria Math"/>
          </w:rPr>
          <m:t>x=0.05∼0.95</m:t>
        </m:r>
      </m:oMath>
      <w:r>
        <w:rPr>
          <w:rFonts w:hint="default" w:ascii="Calibri" w:hAnsi="Calibri" w:eastAsia="宋体" w:cs="Calibri"/>
          <w:sz w:val="24"/>
          <w:szCs w:val="24"/>
        </w:rPr>
        <w:t>区间节点数值正负交替震荡：</w:t>
      </w:r>
      <m:oMath>
        <m:r>
          <m:rPr/>
          <w:rPr>
            <w:rFonts w:hint="default" w:ascii="Cambria Math"/>
          </w:rPr>
          <m:t>x=0.05:−0.000003, x=0.10:0.000003, x=0.95:−0.500001</m:t>
        </m:r>
      </m:oMath>
      <w:r>
        <w:rPr>
          <w:rFonts w:hint="default" w:ascii="Calibri" w:hAnsi="Calibri" w:eastAsia="宋体" w:cs="Calibri"/>
          <w:sz w:val="24"/>
          <w:szCs w:val="24"/>
        </w:rPr>
        <w:t>，最大误差达到 0.5 量级，数值解严重偏离真实解，完全失去工程使用价值。</w:t>
      </w:r>
    </w:p>
    <w:p w14:paraId="4C20352B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回答作业问题 2：</w:t>
      </w:r>
      <m:oMath>
        <m:r>
          <m:rPr/>
          <w:rPr>
            <w:rFonts w:hint="default" w:ascii="Cambria Math"/>
          </w:rPr>
          <m:t>Pe=3.0</m:t>
        </m:r>
      </m:oMath>
      <w:r>
        <w:rPr>
          <w:rFonts w:hint="default" w:ascii="Calibri" w:hAnsi="Calibri" w:eastAsia="宋体" w:cs="Calibri"/>
          <w:sz w:val="24"/>
          <w:szCs w:val="24"/>
        </w:rPr>
        <w:t>时标准 Galerkin 出现剧烈空间数值振荡。</w:t>
      </w:r>
    </w:p>
    <w:p w14:paraId="55F233BB">
      <w:pPr>
        <w:spacing w:before="100" w:beforeAutospacing="0" w:after="100" w:afterAutospacing="0" w:line="300" w:lineRule="auto"/>
        <w:ind w:left="0" w:leftChars="0" w:right="0" w:rightChars="0" w:firstLine="482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b/>
          <w:sz w:val="24"/>
          <w:szCs w:val="24"/>
        </w:rPr>
        <w:t>两种稳定化格式性能对比</w:t>
      </w:r>
    </w:p>
    <w:p w14:paraId="6A92ADE7">
      <w:pPr>
        <w:numPr>
          <w:ilvl w:val="0"/>
          <w:numId w:val="9"/>
        </w:numPr>
        <w:spacing w:before="0"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迎风格式：强制添加大量人工扩散，彻底消除振荡，但过度抹平边界层梯度，</w:t>
      </w:r>
      <m:oMath>
        <m:r>
          <m:rPr/>
          <w:rPr>
            <w:rFonts w:hint="default" w:ascii="Cambria Math"/>
          </w:rPr>
          <m:t>x&lt;0.9</m:t>
        </m:r>
      </m:oMath>
      <w:r>
        <w:rPr>
          <w:rFonts w:hint="default" w:ascii="Calibri" w:hAnsi="Calibri" w:eastAsia="宋体" w:cs="Calibri"/>
          <w:sz w:val="24"/>
          <w:szCs w:val="24"/>
        </w:rPr>
        <w:t>区间解近似为 0，存在永久性数值耗散；</w:t>
      </w:r>
    </w:p>
    <w:p w14:paraId="09A63567">
      <w:pPr>
        <w:numPr>
          <w:ilvl w:val="0"/>
          <w:numId w:val="9"/>
        </w:numPr>
        <w:spacing w:beforeAutospacing="0" w:after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SUPG 自适应格式：仅引入匹配对流强度的最小人工扩散，既抑制振荡，又完整保留边界层梯度，精度接近解析解。</w:t>
      </w:r>
    </w:p>
    <w:p w14:paraId="5FB66366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回答作业问题 3：迎风格式依靠过量人工扩散消除振荡，但会引入严重数值扩散。</w:t>
      </w:r>
    </w:p>
    <w:p w14:paraId="55EEA085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 xml:space="preserve">5.3 </w:t>
      </w:r>
      <m:oMath>
        <m:r>
          <m:rPr/>
          <w:rPr>
            <w:rFonts w:hint="default" w:ascii="Cambria Math"/>
          </w:rPr>
          <m:t>Pe=3</m:t>
        </m:r>
      </m:oMath>
      <w:r>
        <w:rPr>
          <w:rFonts w:hint="default" w:ascii="黑体" w:hAnsi="宋体" w:eastAsia="黑体" w:cs="黑体"/>
          <w:sz w:val="28"/>
          <w:szCs w:val="28"/>
        </w:rPr>
        <w:t>标准 Galerkin 刚度矩阵性质分析</w:t>
      </w:r>
    </w:p>
    <w:p w14:paraId="117E3F88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程序输出判定结果：矩阵是否对称：False；矩阵最小特征值为负数，矩阵非正定。</w:t>
      </w:r>
    </w:p>
    <w:p w14:paraId="6482603C">
      <w:pPr>
        <w:spacing w:before="100" w:beforeAutospacing="0" w:after="100" w:afterAutospacing="0" w:line="300" w:lineRule="auto"/>
        <w:ind w:left="0" w:leftChars="0" w:right="0" w:rightChars="0" w:firstLine="482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b/>
          <w:sz w:val="24"/>
          <w:szCs w:val="24"/>
        </w:rPr>
        <w:t>机理说明</w:t>
      </w:r>
      <w:r>
        <w:rPr>
          <w:rFonts w:hint="default" w:ascii="Calibri" w:hAnsi="Calibri" w:eastAsia="宋体" w:cs="Calibri"/>
          <w:sz w:val="24"/>
          <w:szCs w:val="24"/>
        </w:rPr>
        <w:t>对流单元矩阵本身为非对称矩阵，单元叠加后破坏全局矩阵对称性；非对称矩阵存在负特征值，离散方程组求解后产生寄生空间振荡，这是对流占优下无稳定化 Galerkin 失效的根本原因。</w:t>
      </w:r>
    </w:p>
    <w:p w14:paraId="0CD13358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回答作业问题 4：SUPG 采用随 Pe 自适应的最优人工扩散，仅添加抑制振荡所需最小修正量，不产生多余数值耗散，兼顾稳定性与计算精度。</w:t>
      </w:r>
    </w:p>
    <w:p w14:paraId="40E8AB70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5.4 附加题网格收敛数据规律</w:t>
      </w:r>
    </w:p>
    <w:p w14:paraId="277541E9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单元数量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n</m:t>
            </m:r>
          </m:e>
          <m:sub>
            <m:r>
              <m:rPr/>
              <w:rPr>
                <w:rFonts w:hint="default" w:ascii="Cambria Math"/>
              </w:rPr>
              <m:t>el</m:t>
            </m:r>
          </m:sub>
        </m:sSub>
      </m:oMath>
      <w:r>
        <w:rPr>
          <w:rFonts w:hint="default" w:ascii="Calibri" w:hAnsi="Calibri" w:eastAsia="宋体" w:cs="Calibri"/>
          <w:sz w:val="24"/>
          <w:szCs w:val="24"/>
        </w:rPr>
        <w:t>增大（单元长度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l</m:t>
            </m:r>
          </m:e>
          <m:sub>
            <m:r>
              <m:rPr/>
              <w:rPr>
                <w:rFonts w:hint="default" w:ascii="Cambria Math"/>
              </w:rPr>
              <m:t>e</m:t>
            </m:r>
          </m:sub>
        </m:sSub>
      </m:oMath>
      <w:r>
        <w:rPr>
          <w:rFonts w:hint="default" w:ascii="Calibri" w:hAnsi="Calibri" w:eastAsia="宋体" w:cs="Calibri"/>
          <w:sz w:val="24"/>
          <w:szCs w:val="24"/>
        </w:rPr>
        <w:t>减小），标准 Galerkin 振荡幅度持续降低，Galerkin 与 SUPG 两类格式的最大误差同步下降；相同网格下 SUPG 误差始终远小于标准 Galerkin，网格加密可有效改善对流占优问题的计算精度。</w:t>
      </w:r>
    </w:p>
    <w:p w14:paraId="50A9CC44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六、可视化图像结果说明</w:t>
      </w:r>
    </w:p>
    <w:p w14:paraId="22B0467E">
      <w:pPr>
        <w:spacing w:before="100" w:beforeAutospacing="0" w:after="100" w:afterAutospacing="0" w:line="300" w:lineRule="auto"/>
        <w:ind w:left="0" w:leftChars="0" w:right="0" w:rightChars="0" w:firstLine="482" w:firstLineChars="200"/>
        <w:rPr>
          <w:rFonts w:hint="default" w:ascii="Calibri" w:hAnsi="Calibri" w:eastAsia="宋体" w:cs="Calibri"/>
          <w:b/>
          <w:sz w:val="24"/>
          <w:szCs w:val="24"/>
        </w:rPr>
      </w:pPr>
      <w:r>
        <w:rPr>
          <w:rFonts w:hint="default" w:ascii="Calibri" w:hAnsi="Calibri" w:eastAsia="宋体" w:cs="Calibri"/>
          <w:b/>
          <w:sz w:val="24"/>
          <w:szCs w:val="24"/>
        </w:rPr>
        <w:t xml:space="preserve">图 1 </w:t>
      </w:r>
      <m:oMath>
        <m:r>
          <m:rPr/>
          <w:rPr>
            <w:rFonts w:hint="default" w:ascii="Cambria Math"/>
          </w:rPr>
          <m:t>Pe=0.1</m:t>
        </m:r>
      </m:oMath>
      <w:r>
        <w:rPr>
          <w:rFonts w:hint="default" w:ascii="Calibri" w:hAnsi="Calibri" w:eastAsia="宋体" w:cs="Calibri"/>
          <w:b/>
          <w:sz w:val="24"/>
          <w:szCs w:val="24"/>
        </w:rPr>
        <w:t xml:space="preserve"> 三种格式数值解对比图</w:t>
      </w:r>
    </w:p>
    <w:p w14:paraId="27944F20">
      <w:pPr>
        <w:spacing w:before="100" w:beforeAutospacing="0" w:after="100" w:afterAutospacing="0" w:line="300" w:lineRule="auto"/>
        <w:ind w:left="0" w:leftChars="0" w:right="0" w:rightChars="0" w:firstLine="482" w:firstLineChars="200"/>
        <w:rPr>
          <w:rFonts w:hint="eastAsia" w:ascii="Calibri" w:hAnsi="Calibri" w:eastAsia="宋体" w:cs="Calibri"/>
          <w:b/>
          <w:sz w:val="24"/>
          <w:szCs w:val="24"/>
          <w:lang w:eastAsia="zh-CN"/>
        </w:rPr>
      </w:pPr>
      <w:r>
        <w:rPr>
          <w:rFonts w:hint="eastAsia" w:ascii="Calibri" w:hAnsi="Calibri" w:eastAsia="宋体" w:cs="Calibri"/>
          <w:b/>
          <w:sz w:val="24"/>
          <w:szCs w:val="24"/>
          <w:lang w:eastAsia="zh-CN"/>
        </w:rPr>
        <w:drawing>
          <wp:inline distT="0" distB="0" distL="114300" distR="114300">
            <wp:extent cx="5266690" cy="3160395"/>
            <wp:effectExtent l="0" t="0" r="3810" b="1905"/>
            <wp:docPr id="1" name="图片 1" descr="Figure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_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1E05">
      <w:pPr>
        <w:numPr>
          <w:ilvl w:val="0"/>
          <w:numId w:val="10"/>
        </w:numPr>
        <w:spacing w:before="0"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黑色实线：解析解，曲线平缓单调上升；</w:t>
      </w:r>
    </w:p>
    <w:p w14:paraId="4BB13D58">
      <w:pPr>
        <w:numPr>
          <w:ilvl w:val="0"/>
          <w:numId w:val="10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红色虚线：标准 Galerkin，轻微偏离解析解，无振荡；</w:t>
      </w:r>
    </w:p>
    <w:p w14:paraId="2EA02939">
      <w:pPr>
        <w:numPr>
          <w:ilvl w:val="0"/>
          <w:numId w:val="10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绿色点划线：迎风格式，整体上移，梯度被抹平；</w:t>
      </w:r>
    </w:p>
    <w:p w14:paraId="00EEBA8D">
      <w:pPr>
        <w:numPr>
          <w:ilvl w:val="0"/>
          <w:numId w:val="10"/>
        </w:numPr>
        <w:spacing w:beforeAutospacing="0" w:after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蓝色点线：SUPG，与解析解完全重合。</w:t>
      </w:r>
    </w:p>
    <w:p w14:paraId="180D1EC7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结论：扩散占优下全部格式稳定，SUPG 精度最优。</w:t>
      </w:r>
    </w:p>
    <w:p w14:paraId="1A082F0F">
      <w:pPr>
        <w:spacing w:before="100" w:beforeAutospacing="0" w:after="100" w:afterAutospacing="0" w:line="300" w:lineRule="auto"/>
        <w:ind w:left="0" w:leftChars="0" w:right="0" w:rightChars="0" w:firstLine="723" w:firstLineChars="300"/>
        <w:rPr>
          <w:rFonts w:hint="default" w:ascii="Calibri" w:hAnsi="Calibri" w:eastAsia="宋体" w:cs="Calibri"/>
          <w:b/>
          <w:sz w:val="24"/>
          <w:szCs w:val="24"/>
        </w:rPr>
      </w:pPr>
    </w:p>
    <w:p w14:paraId="74B1DEB1">
      <w:pPr>
        <w:spacing w:before="100" w:beforeAutospacing="0" w:after="100" w:afterAutospacing="0" w:line="300" w:lineRule="auto"/>
        <w:ind w:left="0" w:leftChars="0" w:right="0" w:rightChars="0" w:firstLine="723" w:firstLineChars="300"/>
        <w:rPr>
          <w:rFonts w:hint="default" w:ascii="Calibri" w:hAnsi="Calibri" w:eastAsia="宋体" w:cs="Calibri"/>
          <w:b/>
          <w:sz w:val="24"/>
          <w:szCs w:val="24"/>
        </w:rPr>
      </w:pPr>
    </w:p>
    <w:p w14:paraId="38737E83">
      <w:pPr>
        <w:spacing w:before="100" w:beforeAutospacing="0" w:after="100" w:afterAutospacing="0" w:line="300" w:lineRule="auto"/>
        <w:ind w:left="0" w:leftChars="0" w:right="0" w:rightChars="0" w:firstLine="723" w:firstLineChars="300"/>
        <w:rPr>
          <w:rFonts w:hint="default" w:ascii="Calibri" w:hAnsi="Calibri" w:eastAsia="宋体" w:cs="Calibri"/>
          <w:b/>
          <w:sz w:val="24"/>
          <w:szCs w:val="24"/>
        </w:rPr>
      </w:pPr>
    </w:p>
    <w:p w14:paraId="485BA6B0">
      <w:pPr>
        <w:spacing w:before="100" w:beforeAutospacing="0" w:after="100" w:afterAutospacing="0" w:line="300" w:lineRule="auto"/>
        <w:ind w:right="0" w:rightChars="0"/>
        <w:rPr>
          <w:rFonts w:hint="default" w:ascii="Calibri" w:hAnsi="Calibri" w:eastAsia="宋体" w:cs="Calibri"/>
          <w:b/>
          <w:sz w:val="24"/>
          <w:szCs w:val="24"/>
        </w:rPr>
      </w:pPr>
    </w:p>
    <w:p w14:paraId="0B5EC1BC">
      <w:pPr>
        <w:spacing w:before="100" w:beforeAutospacing="0" w:after="100" w:afterAutospacing="0" w:line="300" w:lineRule="auto"/>
        <w:ind w:left="0" w:leftChars="0" w:right="0" w:rightChars="0" w:firstLine="723" w:firstLineChars="300"/>
        <w:rPr>
          <w:rFonts w:hint="default" w:ascii="Calibri" w:hAnsi="Calibri" w:eastAsia="宋体" w:cs="Calibri"/>
          <w:b/>
          <w:sz w:val="24"/>
          <w:szCs w:val="24"/>
        </w:rPr>
      </w:pPr>
    </w:p>
    <w:p w14:paraId="0F180245">
      <w:pPr>
        <w:spacing w:before="100" w:beforeAutospacing="0" w:after="100" w:afterAutospacing="0" w:line="300" w:lineRule="auto"/>
        <w:ind w:left="0" w:leftChars="0" w:right="0" w:rightChars="0" w:firstLine="723" w:firstLineChars="300"/>
        <w:rPr>
          <w:rFonts w:hint="default" w:ascii="Calibri" w:hAnsi="Calibri" w:eastAsia="宋体" w:cs="Calibri"/>
          <w:b/>
          <w:sz w:val="24"/>
          <w:szCs w:val="24"/>
        </w:rPr>
      </w:pPr>
    </w:p>
    <w:p w14:paraId="57E15D46">
      <w:pPr>
        <w:spacing w:before="100" w:beforeAutospacing="0" w:after="100" w:afterAutospacing="0" w:line="300" w:lineRule="auto"/>
        <w:ind w:left="0" w:leftChars="0" w:right="0" w:rightChars="0" w:firstLine="723" w:firstLineChars="300"/>
        <w:rPr>
          <w:rFonts w:hint="default" w:ascii="Calibri" w:hAnsi="Calibri" w:eastAsia="宋体" w:cs="Calibri"/>
          <w:b/>
          <w:sz w:val="24"/>
          <w:szCs w:val="24"/>
        </w:rPr>
      </w:pPr>
      <w:r>
        <w:rPr>
          <w:rFonts w:hint="default" w:ascii="Calibri" w:hAnsi="Calibri" w:eastAsia="宋体" w:cs="Calibri"/>
          <w:b/>
          <w:sz w:val="24"/>
          <w:szCs w:val="24"/>
        </w:rPr>
        <w:t xml:space="preserve">图 2 </w:t>
      </w:r>
      <m:oMath>
        <m:r>
          <m:rPr/>
          <w:rPr>
            <w:rFonts w:hint="default" w:ascii="Cambria Math"/>
          </w:rPr>
          <m:t>Pe=3.0</m:t>
        </m:r>
      </m:oMath>
      <w:r>
        <w:rPr>
          <w:rFonts w:hint="default" w:ascii="Calibri" w:hAnsi="Calibri" w:eastAsia="宋体" w:cs="Calibri"/>
          <w:b/>
          <w:sz w:val="24"/>
          <w:szCs w:val="24"/>
        </w:rPr>
        <w:t xml:space="preserve"> 三种格式数值解对比图</w:t>
      </w:r>
    </w:p>
    <w:p w14:paraId="09167AA3">
      <w:pPr>
        <w:spacing w:before="100" w:beforeAutospacing="0" w:after="100" w:afterAutospacing="0" w:line="300" w:lineRule="auto"/>
        <w:ind w:left="0" w:leftChars="0" w:right="0" w:rightChars="0" w:firstLine="482" w:firstLineChars="200"/>
        <w:rPr>
          <w:rFonts w:hint="eastAsia" w:ascii="Calibri" w:hAnsi="Calibri" w:eastAsia="宋体" w:cs="Calibri"/>
          <w:b/>
          <w:sz w:val="24"/>
          <w:szCs w:val="24"/>
          <w:lang w:eastAsia="zh-CN"/>
        </w:rPr>
      </w:pPr>
      <w:r>
        <w:rPr>
          <w:rFonts w:hint="eastAsia" w:ascii="Calibri" w:hAnsi="Calibri" w:eastAsia="宋体" w:cs="Calibri"/>
          <w:b/>
          <w:sz w:val="24"/>
          <w:szCs w:val="24"/>
          <w:lang w:eastAsia="zh-CN"/>
        </w:rPr>
        <w:drawing>
          <wp:inline distT="0" distB="0" distL="114300" distR="114300">
            <wp:extent cx="5266690" cy="3160395"/>
            <wp:effectExtent l="0" t="0" r="3810" b="1905"/>
            <wp:docPr id="2" name="图片 2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ure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E0F3">
      <w:pPr>
        <w:numPr>
          <w:ilvl w:val="0"/>
          <w:numId w:val="11"/>
        </w:numPr>
        <w:spacing w:before="0"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解析解在</w:t>
      </w:r>
      <m:oMath>
        <m:r>
          <m:rPr/>
          <w:rPr>
            <w:rFonts w:hint="default" w:ascii="Cambria Math"/>
          </w:rPr>
          <m:t>x→1</m:t>
        </m:r>
      </m:oMath>
      <w:r>
        <w:rPr>
          <w:rFonts w:hint="default" w:ascii="Calibri" w:hAnsi="Calibri" w:eastAsia="宋体" w:cs="Calibri"/>
          <w:sz w:val="24"/>
          <w:szCs w:val="24"/>
        </w:rPr>
        <w:t>处存在陡峭边界层；</w:t>
      </w:r>
    </w:p>
    <w:p w14:paraId="05F2DFCA">
      <w:pPr>
        <w:numPr>
          <w:ilvl w:val="0"/>
          <w:numId w:val="11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标准 Galerkin 曲线上下剧烈震荡，严重失真；</w:t>
      </w:r>
    </w:p>
    <w:p w14:paraId="73D35AC0">
      <w:pPr>
        <w:numPr>
          <w:ilvl w:val="0"/>
          <w:numId w:val="11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迎风格式曲线平缓，边界层被大幅加宽；</w:t>
      </w:r>
    </w:p>
    <w:p w14:paraId="741F6268">
      <w:pPr>
        <w:numPr>
          <w:ilvl w:val="0"/>
          <w:numId w:val="11"/>
        </w:numPr>
        <w:spacing w:beforeAutospacing="0" w:after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SUPG 曲线紧贴解析解，无振荡、无耗散。</w:t>
      </w:r>
    </w:p>
    <w:p w14:paraId="6A5C31FE">
      <w:pPr>
        <w:spacing w:before="100" w:beforeAutospacing="0" w:after="100" w:afterAutospacing="0" w:line="300" w:lineRule="auto"/>
        <w:ind w:left="0" w:leftChars="0" w:right="0" w:rightChars="0" w:firstLine="482" w:firstLineChars="200"/>
        <w:rPr>
          <w:rFonts w:hint="default" w:ascii="Calibri" w:hAnsi="Calibri" w:eastAsia="宋体" w:cs="Calibri"/>
          <w:b/>
          <w:sz w:val="24"/>
          <w:szCs w:val="24"/>
        </w:rPr>
      </w:pPr>
      <w:r>
        <w:rPr>
          <w:rFonts w:hint="default" w:ascii="Calibri" w:hAnsi="Calibri" w:eastAsia="宋体" w:cs="Calibri"/>
          <w:b/>
          <w:sz w:val="24"/>
          <w:szCs w:val="24"/>
        </w:rPr>
        <w:t>图 3 网格加密双对数误差收敛曲线</w:t>
      </w:r>
    </w:p>
    <w:p w14:paraId="302A04D9">
      <w:pPr>
        <w:spacing w:before="100" w:beforeAutospacing="0" w:after="100" w:afterAutospacing="0" w:line="300" w:lineRule="auto"/>
        <w:ind w:left="0" w:leftChars="0" w:right="0" w:rightChars="0" w:firstLine="482" w:firstLineChars="200"/>
        <w:rPr>
          <w:rFonts w:hint="eastAsia" w:ascii="Calibri" w:hAnsi="Calibri" w:eastAsia="宋体" w:cs="Calibri"/>
          <w:b/>
          <w:sz w:val="24"/>
          <w:szCs w:val="24"/>
          <w:lang w:eastAsia="zh-CN"/>
        </w:rPr>
      </w:pPr>
      <w:r>
        <w:rPr>
          <w:rFonts w:hint="eastAsia" w:ascii="Calibri" w:hAnsi="Calibri" w:eastAsia="宋体" w:cs="Calibri"/>
          <w:b/>
          <w:sz w:val="24"/>
          <w:szCs w:val="24"/>
          <w:lang w:eastAsia="zh-CN"/>
        </w:rPr>
        <w:drawing>
          <wp:inline distT="0" distB="0" distL="114300" distR="114300">
            <wp:extent cx="5266690" cy="3160395"/>
            <wp:effectExtent l="0" t="0" r="3810" b="1905"/>
            <wp:docPr id="3" name="图片 3" descr="Figure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gure_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59D5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横轴为单元长度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l</m:t>
            </m:r>
          </m:e>
          <m:sub>
            <m:r>
              <m:rPr/>
              <w:rPr>
                <w:rFonts w:hint="default" w:ascii="Cambria Math"/>
              </w:rPr>
              <m:t>e</m:t>
            </m:r>
          </m:sub>
        </m:sSub>
      </m:oMath>
      <w:r>
        <w:rPr>
          <w:rFonts w:hint="default" w:ascii="Calibri" w:hAnsi="Calibri" w:eastAsia="宋体" w:cs="Calibri"/>
          <w:sz w:val="24"/>
          <w:szCs w:val="24"/>
        </w:rPr>
        <w:t>（对数坐标），纵轴为最大节点误差（对数坐标）；两条曲线均随网格加密向左下方下降，代表误差收敛；SUPG 曲线全程位于 Galerkin 下方，精度优势显著。</w:t>
      </w:r>
    </w:p>
    <w:p w14:paraId="2A39C729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七、实验现象汇总（作业验收标准对照）</w:t>
      </w:r>
    </w:p>
    <w:p w14:paraId="36421EC6">
      <w:pPr>
        <w:numPr>
          <w:ilvl w:val="0"/>
          <w:numId w:val="12"/>
        </w:numPr>
        <w:spacing w:before="0"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m:oMath>
        <m:r>
          <m:rPr/>
          <w:rPr>
            <w:rFonts w:hint="default" w:ascii="Cambria Math"/>
          </w:rPr>
          <m:t>Pe=0.1</m:t>
        </m:r>
      </m:oMath>
      <w:r>
        <w:rPr>
          <w:rFonts w:hint="default" w:ascii="Calibri" w:hAnsi="Calibri" w:eastAsia="宋体" w:cs="Calibri"/>
          <w:sz w:val="24"/>
          <w:szCs w:val="24"/>
        </w:rPr>
        <w:t>扩散占优：标准 Galerkin 无振荡，数值解贴近解析解；</w:t>
      </w:r>
    </w:p>
    <w:p w14:paraId="13D4B53B">
      <w:pPr>
        <w:numPr>
          <w:ilvl w:val="0"/>
          <w:numId w:val="12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m:oMath>
        <m:r>
          <m:rPr/>
          <w:rPr>
            <w:rFonts w:hint="default" w:ascii="Cambria Math"/>
          </w:rPr>
          <m:t>Pe=3.0</m:t>
        </m:r>
      </m:oMath>
      <w:r>
        <w:rPr>
          <w:rFonts w:hint="default" w:ascii="Calibri" w:hAnsi="Calibri" w:eastAsia="宋体" w:cs="Calibri"/>
          <w:sz w:val="24"/>
          <w:szCs w:val="24"/>
        </w:rPr>
        <w:t>对流占优：标准 Galerkin 产生剧烈节点振荡；</w:t>
      </w:r>
    </w:p>
    <w:p w14:paraId="253EFD32">
      <w:pPr>
        <w:numPr>
          <w:ilvl w:val="0"/>
          <w:numId w:val="12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m:oMath>
        <m:r>
          <m:rPr/>
          <w:rPr>
            <w:rFonts w:hint="default" w:ascii="Cambria Math"/>
          </w:rPr>
          <m:t>Pe=3.0</m:t>
        </m:r>
      </m:oMath>
      <w:r>
        <w:rPr>
          <w:rFonts w:hint="default" w:ascii="Calibri" w:hAnsi="Calibri" w:eastAsia="宋体" w:cs="Calibri"/>
          <w:sz w:val="24"/>
          <w:szCs w:val="24"/>
        </w:rPr>
        <w:t>迎风格式：无振荡，但数值扩散严重，边界层被抹平；</w:t>
      </w:r>
    </w:p>
    <w:p w14:paraId="7D5C3E82">
      <w:pPr>
        <w:numPr>
          <w:ilvl w:val="0"/>
          <w:numId w:val="12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m:oMath>
        <m:r>
          <m:rPr/>
          <w:rPr>
            <w:rFonts w:hint="default" w:ascii="Cambria Math"/>
          </w:rPr>
          <m:t>Pe=3.0</m:t>
        </m:r>
      </m:oMath>
      <w:r>
        <w:rPr>
          <w:rFonts w:hint="default" w:ascii="Calibri" w:hAnsi="Calibri" w:eastAsia="宋体" w:cs="Calibri"/>
          <w:sz w:val="24"/>
          <w:szCs w:val="24"/>
        </w:rPr>
        <w:t>SUPG：无振荡，计算精度远高于迎风格式；</w:t>
      </w:r>
    </w:p>
    <w:p w14:paraId="4EB04F97">
      <w:pPr>
        <w:numPr>
          <w:ilvl w:val="0"/>
          <w:numId w:val="12"/>
        </w:numPr>
        <w:spacing w:beforeAutospacing="0" w:after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网格加密后单元长度减小，人工扩散项同步减弱，所有格式数值解逐步收敛至解析解。</w:t>
      </w:r>
    </w:p>
    <w:p w14:paraId="5C48A294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全部实验图像、误差数据均与理论预期完全吻合。</w:t>
      </w:r>
    </w:p>
    <w:p w14:paraId="04A1868C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八、综合结论</w:t>
      </w:r>
    </w:p>
    <w:p w14:paraId="0DEEE00C">
      <w:pPr>
        <w:numPr>
          <w:ilvl w:val="0"/>
          <w:numId w:val="13"/>
        </w:numPr>
        <w:spacing w:before="0"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扩散占优（小 Pe）工况下，对流作用微弱，标准 Galerkin 无需稳定化即可稳定计算，SUPG 可进一步提升精度；</w:t>
      </w:r>
    </w:p>
    <w:p w14:paraId="4BD3A582">
      <w:pPr>
        <w:numPr>
          <w:ilvl w:val="0"/>
          <w:numId w:val="13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对流占优（大 Pe）工况下，无稳定化标准 Galerkin 因矩阵非正定产生剧烈振荡，无法直接使用；</w:t>
      </w:r>
    </w:p>
    <w:p w14:paraId="7D6B6721">
      <w:pPr>
        <w:numPr>
          <w:ilvl w:val="0"/>
          <w:numId w:val="13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迎风格式通过固定过量人工扩散消除振荡，但会永久抹平梯度，牺牲计算精度；</w:t>
      </w:r>
    </w:p>
    <w:p w14:paraId="74FC9CC5">
      <w:pPr>
        <w:numPr>
          <w:ilvl w:val="0"/>
          <w:numId w:val="13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SUPG 自适应稳定化是对流扩散问题最优方案，人工扩散随对流强度动态调整，平衡稳定性与计算精度；</w:t>
      </w:r>
    </w:p>
    <w:p w14:paraId="70315F18">
      <w:pPr>
        <w:numPr>
          <w:ilvl w:val="0"/>
          <w:numId w:val="13"/>
        </w:numPr>
        <w:spacing w:beforeAutospacing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对流项是非对称项，是全局刚度矩阵失去对称、正定性，进而引发数值振荡的核心诱因；</w:t>
      </w:r>
    </w:p>
    <w:p w14:paraId="7325B423">
      <w:pPr>
        <w:numPr>
          <w:ilvl w:val="0"/>
          <w:numId w:val="13"/>
        </w:numPr>
        <w:spacing w:beforeAutospacing="0" w:after="0" w:afterAutospacing="0" w:line="300" w:lineRule="auto"/>
        <w:ind w:left="0" w:leftChars="0" w:right="0" w:rightChars="0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网格加密可降低离散误差，削弱标准 Galerkin 的振荡幅度，提升所有数值格式计算精度。</w:t>
      </w:r>
    </w:p>
    <w:p w14:paraId="7A302E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81E9AC"/>
    <w:multiLevelType w:val="singleLevel"/>
    <w:tmpl w:val="9081E9A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DDD5B18"/>
    <w:multiLevelType w:val="singleLevel"/>
    <w:tmpl w:val="9DDD5B1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935B79D"/>
    <w:multiLevelType w:val="singleLevel"/>
    <w:tmpl w:val="A935B79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D62AF458"/>
    <w:multiLevelType w:val="singleLevel"/>
    <w:tmpl w:val="D62AF4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EAA5298D"/>
    <w:multiLevelType w:val="singleLevel"/>
    <w:tmpl w:val="EAA5298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F78C91CD"/>
    <w:multiLevelType w:val="singleLevel"/>
    <w:tmpl w:val="F78C91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04CD3D77"/>
    <w:multiLevelType w:val="singleLevel"/>
    <w:tmpl w:val="04CD3D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065C8CAE"/>
    <w:multiLevelType w:val="singleLevel"/>
    <w:tmpl w:val="065C8CA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13B3265F"/>
    <w:multiLevelType w:val="singleLevel"/>
    <w:tmpl w:val="13B3265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27A2B622"/>
    <w:multiLevelType w:val="singleLevel"/>
    <w:tmpl w:val="27A2B6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3DDD168B"/>
    <w:multiLevelType w:val="singleLevel"/>
    <w:tmpl w:val="3DDD168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3F141E4F"/>
    <w:multiLevelType w:val="singleLevel"/>
    <w:tmpl w:val="3F141E4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6F34133A"/>
    <w:multiLevelType w:val="singleLevel"/>
    <w:tmpl w:val="6F3413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2"/>
  </w:num>
  <w:num w:numId="2">
    <w:abstractNumId w:val="5"/>
  </w:num>
  <w:num w:numId="3">
    <w:abstractNumId w:val="11"/>
  </w:num>
  <w:num w:numId="4">
    <w:abstractNumId w:val="1"/>
  </w:num>
  <w:num w:numId="5">
    <w:abstractNumId w:val="6"/>
  </w:num>
  <w:num w:numId="6">
    <w:abstractNumId w:val="4"/>
  </w:num>
  <w:num w:numId="7">
    <w:abstractNumId w:val="3"/>
  </w:num>
  <w:num w:numId="8">
    <w:abstractNumId w:val="9"/>
  </w:num>
  <w:num w:numId="9">
    <w:abstractNumId w:val="8"/>
  </w:num>
  <w:num w:numId="10">
    <w:abstractNumId w:val="0"/>
  </w:num>
  <w:num w:numId="11">
    <w:abstractNumId w:val="2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861B33"/>
    <w:rsid w:val="0B481F47"/>
    <w:rsid w:val="4E861B33"/>
    <w:rsid w:val="60BD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2026-06-18T06:00:00Z</dcterms:created>
  <dc:creator>微信用户</dc:creator>
  <cp:lastModifiedBy>微信用户</cp:lastModifiedBy>
  <dcterms:modified xsi:type="dcterms:W3CDTF">2026-06-18T06:57:16Z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8D8CF1969AC145429C9401EF258C756B_11</vt:lpwstr>
  </property>
  <property fmtid="{D5CDD505-2E9C-101B-9397-08002B2CF9AE}" pid="4" name="KSOTemplateDocerSaveRecord">
    <vt:lpwstr>eyJoZGlkIjoiZDJlYmI5MTBkMTk4NThjODllZjBhZjIwZWZhNDE0YzgiLCJ1c2VySWQiOiIxMjMyMTA2MzMzIn0=</vt:lpwstr>
  </property>
</Properties>
</file>