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7754A919" w:rsidR="002B6F8E" w:rsidRDefault="002B6F8E">
      <w:r w:rsidRPr="00AE261C">
        <w:rPr>
          <w:b/>
          <w:bCs/>
        </w:rPr>
        <w:t>Name</w:t>
      </w:r>
      <w:r w:rsidR="00D44CAC">
        <w:t>:</w:t>
      </w:r>
      <w:r w:rsidR="00BC4FCB">
        <w:t xml:space="preserve"> </w:t>
      </w:r>
      <w:r w:rsidR="009154F4">
        <w:t>Obesity</w:t>
      </w:r>
    </w:p>
    <w:p w14:paraId="0D41E867" w14:textId="77777777" w:rsidR="00AA5AB9" w:rsidRDefault="00AA5AB9"/>
    <w:p w14:paraId="7D90F153" w14:textId="05E81F31" w:rsidR="00113225" w:rsidRDefault="002B6F8E" w:rsidP="00113225">
      <w:r w:rsidRPr="00AE261C">
        <w:rPr>
          <w:b/>
          <w:bCs/>
        </w:rPr>
        <w:t>Short Description</w:t>
      </w:r>
      <w:r w:rsidR="00D44CAC">
        <w:t>:</w:t>
      </w:r>
      <w:r w:rsidR="00DF12A7">
        <w:t xml:space="preserve"> </w:t>
      </w:r>
      <w:r w:rsidR="00113225">
        <w:t xml:space="preserve">Percent of adults who </w:t>
      </w:r>
      <w:r w:rsidR="00851E4B">
        <w:t xml:space="preserve">have a body mass index </w:t>
      </w:r>
      <w:r w:rsidR="00851E4B" w:rsidRPr="00851E4B">
        <w:t xml:space="preserve">≥30.0 kg/m² </w:t>
      </w:r>
      <w:r w:rsidR="007A1627">
        <w:t>(</w:t>
      </w:r>
      <w:r w:rsidR="00851E4B" w:rsidRPr="00851E4B">
        <w:t>calculated from self-reported weight and height</w:t>
      </w:r>
      <w:r w:rsidR="007A1627">
        <w:t xml:space="preserve"> as a crude prevalence)</w:t>
      </w:r>
      <w:r w:rsidR="00113225">
        <w:t xml:space="preserve">. 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6448F1CC" w14:textId="77777777" w:rsidR="00956BEA" w:rsidRDefault="00956BEA" w:rsidP="00956BEA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5D710247" w14:textId="77777777" w:rsidR="00956BEA" w:rsidRPr="00433CEA" w:rsidRDefault="00956BEA" w:rsidP="00956BEA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9098AE3" w14:textId="4E21EED8" w:rsidR="002B6F8E" w:rsidRPr="00724D3D" w:rsidRDefault="002B6F8E" w:rsidP="00724D3D">
      <w:pPr>
        <w:rPr>
          <w:b/>
          <w:bCs/>
        </w:rPr>
      </w:pPr>
    </w:p>
    <w:p w14:paraId="06D4C025" w14:textId="1AD42318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20582A">
        <w:t>2018</w:t>
      </w:r>
    </w:p>
    <w:p w14:paraId="169D6C46" w14:textId="2812697E" w:rsidR="002B6F8E" w:rsidRDefault="002B6F8E"/>
    <w:p w14:paraId="17DDA767" w14:textId="289DE8E2" w:rsidR="00C63158" w:rsidRDefault="00D85E1C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20582A">
        <w:t xml:space="preserve"> </w:t>
      </w:r>
      <w:r w:rsidR="00757526">
        <w:t>Zip Code Tabulation Area (</w:t>
      </w:r>
      <w:r w:rsidR="0020582A">
        <w:t>Z</w:t>
      </w:r>
      <w:r w:rsidR="00C63158">
        <w:t>CTA</w:t>
      </w:r>
      <w:r w:rsidR="00757526">
        <w:t>)</w:t>
      </w:r>
    </w:p>
    <w:p w14:paraId="0E6F1E88" w14:textId="77777777" w:rsidR="0020582A" w:rsidRDefault="0020582A">
      <w:pPr>
        <w:rPr>
          <w:b/>
          <w:bCs/>
        </w:rPr>
      </w:pPr>
    </w:p>
    <w:p w14:paraId="5DC54832" w14:textId="676FD788" w:rsidR="003D1192" w:rsidRPr="00F8197B" w:rsidRDefault="004604C3">
      <w:r>
        <w:rPr>
          <w:b/>
          <w:bCs/>
        </w:rPr>
        <w:t>Stratification</w:t>
      </w:r>
      <w:r w:rsidR="00F8197B">
        <w:t>:</w:t>
      </w:r>
      <w:r w:rsidR="0020582A">
        <w:t xml:space="preserve"> No</w:t>
      </w:r>
      <w:r w:rsidR="00724D3D">
        <w:t>t available</w:t>
      </w:r>
    </w:p>
    <w:p w14:paraId="76226322" w14:textId="3B492108" w:rsidR="002B6F8E" w:rsidRDefault="002B6F8E"/>
    <w:p w14:paraId="4F7874F1" w14:textId="20ECD81D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915665">
        <w:t xml:space="preserve">Obesity </w:t>
      </w:r>
      <w:r w:rsidR="002351B7">
        <w:t>is</w:t>
      </w:r>
      <w:r w:rsidR="00AE786A">
        <w:t xml:space="preserve"> linked to mental </w:t>
      </w:r>
      <w:r w:rsidR="00927A40">
        <w:t>wellness</w:t>
      </w:r>
      <w:r w:rsidR="00AE786A">
        <w:t xml:space="preserve"> in various ways</w:t>
      </w:r>
      <w:r w:rsidR="002518EC">
        <w:t>:</w:t>
      </w:r>
      <w:r w:rsidR="00707024">
        <w:t xml:space="preserve"> </w:t>
      </w:r>
      <w:r w:rsidR="00ED6E8D">
        <w:t xml:space="preserve">obesity can be a marker of poor environment, </w:t>
      </w:r>
      <w:r w:rsidR="0059722A">
        <w:t xml:space="preserve">experiencing </w:t>
      </w:r>
      <w:r w:rsidR="00707024">
        <w:t xml:space="preserve">trauma can </w:t>
      </w:r>
      <w:r w:rsidR="007138F5">
        <w:t>increase</w:t>
      </w:r>
      <w:r w:rsidR="002351B7">
        <w:t xml:space="preserve"> likelihood of developing</w:t>
      </w:r>
      <w:r w:rsidR="00707024">
        <w:t xml:space="preserve"> obesity</w:t>
      </w:r>
      <w:r w:rsidR="00ED6E8D">
        <w:t xml:space="preserve">, </w:t>
      </w:r>
      <w:r w:rsidR="00FC577C">
        <w:t>social stigma associated with being overweight</w:t>
      </w:r>
      <w:r w:rsidR="003C708F">
        <w:t xml:space="preserve"> can take a mental toll on individuals, </w:t>
      </w:r>
      <w:r w:rsidR="00ED6E8D">
        <w:t xml:space="preserve">and </w:t>
      </w:r>
      <w:r w:rsidR="00707024">
        <w:t xml:space="preserve">often medications used to treat mental health </w:t>
      </w:r>
      <w:r w:rsidR="00ED6E8D">
        <w:t>issues can lead to obesity.</w:t>
      </w:r>
      <w:r w:rsidR="008D3F53">
        <w:rPr>
          <w:rStyle w:val="FootnoteReference"/>
        </w:rPr>
        <w:footnoteReference w:id="2"/>
      </w:r>
      <w:r w:rsidR="00ED6E8D">
        <w:t xml:space="preserve">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11F8B658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3380B136" w:rsidR="006B19EB" w:rsidRDefault="006942C1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>]</w:t>
      </w:r>
      <w:r w:rsidR="002C7469">
        <w:rPr>
          <w:bCs/>
        </w:rPr>
        <w:t xml:space="preserve"> Obesity is associated with higher odds of </w:t>
      </w:r>
      <w:r w:rsidR="00EF61EE">
        <w:rPr>
          <w:bCs/>
        </w:rPr>
        <w:t>mood and anxiety disorders, as well as significant psychosocial burden that may impact self-esteem, quality of life, and body image.</w:t>
      </w:r>
      <w:r w:rsidR="009872B1">
        <w:rPr>
          <w:rStyle w:val="FootnoteReference"/>
          <w:bCs/>
        </w:rPr>
        <w:footnoteReference w:id="3"/>
      </w:r>
      <w:r w:rsidR="000A115C" w:rsidRPr="004D74F5">
        <w:rPr>
          <w:bCs/>
          <w:vertAlign w:val="superscript"/>
        </w:rPr>
        <w:t>,</w:t>
      </w:r>
      <w:r w:rsidR="00694B97">
        <w:rPr>
          <w:rStyle w:val="FootnoteReference"/>
          <w:bCs/>
        </w:rPr>
        <w:footnoteReference w:id="4"/>
      </w:r>
      <w:r w:rsidR="00EF61EE">
        <w:rPr>
          <w:bCs/>
        </w:rPr>
        <w:t xml:space="preserve"> </w:t>
      </w:r>
    </w:p>
    <w:p w14:paraId="15004AE6" w14:textId="77777777" w:rsidR="004B0813" w:rsidRPr="0063182C" w:rsidRDefault="004B0813" w:rsidP="004B0813">
      <w:pPr>
        <w:pStyle w:val="ListParagraph"/>
        <w:numPr>
          <w:ilvl w:val="1"/>
          <w:numId w:val="14"/>
        </w:numPr>
        <w:rPr>
          <w:i/>
          <w:iCs/>
        </w:rPr>
      </w:pPr>
      <w:r w:rsidRPr="00B87EF5">
        <w:t>[</w:t>
      </w:r>
      <w:r w:rsidRPr="0063182C">
        <w:rPr>
          <w:i/>
          <w:iCs/>
        </w:rPr>
        <w:t>Feasibility</w:t>
      </w:r>
      <w:r w:rsidRPr="00B87EF5">
        <w:t>]</w:t>
      </w:r>
      <w:r w:rsidRPr="0063182C">
        <w:rPr>
          <w:i/>
          <w:iCs/>
        </w:rPr>
        <w:t xml:space="preserve"> </w:t>
      </w:r>
      <w:r>
        <w:rPr>
          <w:bCs/>
        </w:rPr>
        <w:t>T</w:t>
      </w:r>
      <w:r w:rsidRPr="0063182C">
        <w:rPr>
          <w:bCs/>
        </w:rPr>
        <w:t xml:space="preserve">he data </w:t>
      </w:r>
      <w:r>
        <w:rPr>
          <w:bCs/>
        </w:rPr>
        <w:t>are</w:t>
      </w:r>
      <w:r w:rsidRPr="0063182C">
        <w:rPr>
          <w:bCs/>
        </w:rPr>
        <w:t xml:space="preserve"> easily downloadable from PLACES and maintained by the CDC Division of Population Health, Epidemiology and Surveillance Branch.</w:t>
      </w:r>
    </w:p>
    <w:p w14:paraId="6A30961A" w14:textId="77777777" w:rsidR="009158E4" w:rsidRPr="00616E8F" w:rsidRDefault="009158E4" w:rsidP="009158E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523D01">
        <w:rPr>
          <w:i/>
          <w:iCs/>
        </w:rPr>
        <w:t>Scientific Soundness</w:t>
      </w:r>
      <w:r w:rsidRPr="001E7882">
        <w:t xml:space="preserve">]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>. CDC’s internal and external 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5"/>
      </w:r>
      <w:r w:rsidRPr="00F871F2">
        <w:rPr>
          <w:bCs/>
        </w:rPr>
        <w:t xml:space="preserve"> </w:t>
      </w:r>
    </w:p>
    <w:p w14:paraId="030EF04F" w14:textId="6226AAE6" w:rsidR="006942C1" w:rsidRPr="006B19EB" w:rsidRDefault="004279B6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lastRenderedPageBreak/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="00FE7F58">
        <w:rPr>
          <w:bCs/>
        </w:rPr>
        <w:t xml:space="preserve"> This measure is easily understandable, and information on obesity levels can be used to inform </w:t>
      </w:r>
      <w:r w:rsidR="005639A9">
        <w:rPr>
          <w:bCs/>
        </w:rPr>
        <w:t xml:space="preserve">decisions about </w:t>
      </w:r>
      <w:r w:rsidR="00FE7F58">
        <w:rPr>
          <w:bCs/>
        </w:rPr>
        <w:t>where to focus</w:t>
      </w:r>
      <w:r w:rsidR="00153757">
        <w:rPr>
          <w:bCs/>
        </w:rPr>
        <w:t xml:space="preserve"> </w:t>
      </w:r>
      <w:r w:rsidR="002F08B3">
        <w:rPr>
          <w:bCs/>
        </w:rPr>
        <w:t>efforts to address the impacts of obesity</w:t>
      </w:r>
      <w:r w:rsidR="003B7BD5">
        <w:rPr>
          <w:bCs/>
        </w:rPr>
        <w:t xml:space="preserve"> at the community level</w:t>
      </w:r>
      <w:r w:rsidR="004F6196">
        <w:rPr>
          <w:bCs/>
        </w:rPr>
        <w:t xml:space="preserve"> </w:t>
      </w:r>
      <w:r w:rsidR="00F850BB">
        <w:rPr>
          <w:bCs/>
        </w:rPr>
        <w:t xml:space="preserve">(noting the importance of </w:t>
      </w:r>
      <w:r w:rsidR="00C84B06">
        <w:rPr>
          <w:bCs/>
        </w:rPr>
        <w:t xml:space="preserve">ensuring healthcare providers are equipped to </w:t>
      </w:r>
      <w:r w:rsidR="00245F3D">
        <w:rPr>
          <w:bCs/>
        </w:rPr>
        <w:t>prevent</w:t>
      </w:r>
      <w:r w:rsidR="000D30B5">
        <w:rPr>
          <w:bCs/>
        </w:rPr>
        <w:t xml:space="preserve"> stigmatiz</w:t>
      </w:r>
      <w:r w:rsidR="009D0FF1">
        <w:rPr>
          <w:bCs/>
        </w:rPr>
        <w:t>ation of</w:t>
      </w:r>
      <w:r w:rsidR="000D30B5">
        <w:rPr>
          <w:bCs/>
        </w:rPr>
        <w:t xml:space="preserve"> </w:t>
      </w:r>
      <w:r w:rsidR="00511772">
        <w:rPr>
          <w:bCs/>
        </w:rPr>
        <w:t>patients</w:t>
      </w:r>
      <w:r w:rsidR="000D30B5">
        <w:rPr>
          <w:bCs/>
        </w:rPr>
        <w:t xml:space="preserve"> who are overweight</w:t>
      </w:r>
      <w:r w:rsidR="00F850BB">
        <w:rPr>
          <w:bCs/>
        </w:rPr>
        <w:t>)</w:t>
      </w:r>
      <w:r w:rsidR="00502AAC">
        <w:rPr>
          <w:rStyle w:val="FootnoteReference"/>
          <w:bCs/>
        </w:rPr>
        <w:footnoteReference w:id="6"/>
      </w:r>
      <w:r w:rsidR="00F850BB">
        <w:rPr>
          <w:bCs/>
        </w:rPr>
        <w:t>.</w:t>
      </w:r>
      <w:r w:rsidR="000D30B5">
        <w:rPr>
          <w:bCs/>
        </w:rPr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122AECAF" w14:textId="520DDA84" w:rsidR="004279B6" w:rsidRDefault="004279B6" w:rsidP="004279B6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="00E65251">
        <w:rPr>
          <w:bCs/>
        </w:rPr>
        <w:t xml:space="preserve"> While obesity </w:t>
      </w:r>
      <w:r w:rsidR="009E41C5">
        <w:rPr>
          <w:bCs/>
        </w:rPr>
        <w:t xml:space="preserve">has been found to be associated with higher odds of mood and anxiety disorders, </w:t>
      </w:r>
      <w:r w:rsidR="00017258">
        <w:rPr>
          <w:bCs/>
        </w:rPr>
        <w:t>the same relationship may not hold true for</w:t>
      </w:r>
      <w:r w:rsidR="009E41C5">
        <w:rPr>
          <w:bCs/>
        </w:rPr>
        <w:t xml:space="preserve"> substance use disorder</w:t>
      </w:r>
      <w:r w:rsidR="001903D4">
        <w:rPr>
          <w:bCs/>
        </w:rPr>
        <w:t xml:space="preserve">s, </w:t>
      </w:r>
      <w:r w:rsidR="00AD73AE">
        <w:rPr>
          <w:bCs/>
        </w:rPr>
        <w:t>possibl</w:t>
      </w:r>
      <w:r w:rsidR="00477F92">
        <w:rPr>
          <w:bCs/>
        </w:rPr>
        <w:t>y</w:t>
      </w:r>
      <w:r w:rsidR="00AD73AE">
        <w:rPr>
          <w:bCs/>
        </w:rPr>
        <w:t xml:space="preserve"> because food and drugs may compete for the same reward pathways in the brain</w:t>
      </w:r>
      <w:r w:rsidR="009E41C5">
        <w:rPr>
          <w:bCs/>
        </w:rPr>
        <w:t>.</w:t>
      </w:r>
      <w:r w:rsidR="00477F92">
        <w:rPr>
          <w:rStyle w:val="FootnoteReference"/>
          <w:bCs/>
        </w:rPr>
        <w:footnoteReference w:id="7"/>
      </w:r>
      <w:r w:rsidR="00025F26" w:rsidRPr="00025F26">
        <w:rPr>
          <w:bCs/>
          <w:vertAlign w:val="superscript"/>
        </w:rPr>
        <w:t>,</w:t>
      </w:r>
      <w:r w:rsidR="000521A7">
        <w:rPr>
          <w:rStyle w:val="FootnoteReference"/>
          <w:bCs/>
        </w:rPr>
        <w:footnoteReference w:id="8"/>
      </w:r>
      <w:r w:rsidR="009E41C5">
        <w:rPr>
          <w:bCs/>
        </w:rPr>
        <w:t xml:space="preserve"> </w:t>
      </w:r>
      <w:r w:rsidR="00DC0970">
        <w:rPr>
          <w:bCs/>
        </w:rPr>
        <w:t xml:space="preserve">However, recent research </w:t>
      </w:r>
      <w:r w:rsidR="002743F5">
        <w:rPr>
          <w:bCs/>
        </w:rPr>
        <w:t xml:space="preserve">has suggested </w:t>
      </w:r>
      <w:r w:rsidR="00C26663">
        <w:rPr>
          <w:bCs/>
        </w:rPr>
        <w:t xml:space="preserve">that during the COVID-19 pandemic, </w:t>
      </w:r>
      <w:r w:rsidR="00661B19">
        <w:rPr>
          <w:bCs/>
        </w:rPr>
        <w:t>people with obesity may be at higher risk for higher substance use due to the impacts of stress.</w:t>
      </w:r>
      <w:r w:rsidR="00483BBD">
        <w:rPr>
          <w:rStyle w:val="FootnoteReference"/>
          <w:bCs/>
        </w:rPr>
        <w:footnoteReference w:id="9"/>
      </w:r>
    </w:p>
    <w:p w14:paraId="52D7CD48" w14:textId="77777777" w:rsidR="00063A67" w:rsidRPr="00616E8F" w:rsidRDefault="00063A67" w:rsidP="00063A67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Relevance and Usability</w:t>
      </w:r>
      <w:r w:rsidRPr="001E7882">
        <w:t>]</w:t>
      </w:r>
      <w:r w:rsidRPr="00616E8F">
        <w:rPr>
          <w:i/>
          <w:iCs/>
        </w:rPr>
        <w:t xml:space="preserve"> </w:t>
      </w:r>
      <w:r>
        <w:rPr>
          <w:bCs/>
        </w:rPr>
        <w:t>This measure is a model-based estimate</w:t>
      </w:r>
      <w:r>
        <w:rPr>
          <w:rStyle w:val="FootnoteReference"/>
          <w:bCs/>
        </w:rPr>
        <w:footnoteReference w:id="10"/>
      </w:r>
      <w:r>
        <w:rPr>
          <w:bCs/>
        </w:rPr>
        <w:t>, so it may be difficult to interpret on its own.</w:t>
      </w:r>
    </w:p>
    <w:p w14:paraId="3BEB2BAF" w14:textId="77777777" w:rsidR="00063A67" w:rsidRPr="00616E8F" w:rsidRDefault="00063A67" w:rsidP="00063A67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This measure is self-reported and depends on the accuracy of the person surveyed.</w:t>
      </w:r>
    </w:p>
    <w:p w14:paraId="47F79AF6" w14:textId="77777777" w:rsidR="00063A67" w:rsidRPr="00616E8F" w:rsidRDefault="00063A67" w:rsidP="00063A67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Age adjusted prevalence is not available at the census tract level, so this data is reported as a crude prevalence.</w:t>
      </w:r>
      <w:r w:rsidRPr="00616E8F">
        <w:rPr>
          <w:i/>
          <w:iCs/>
        </w:rPr>
        <w:t xml:space="preserve"> </w:t>
      </w:r>
    </w:p>
    <w:p w14:paraId="507A78AC" w14:textId="05744A29" w:rsidR="00A16408" w:rsidRDefault="00A16408" w:rsidP="00A16408"/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5D27E567" w14:textId="29397B66" w:rsidR="00A86644" w:rsidRDefault="00A86644" w:rsidP="00283786"/>
    <w:p w14:paraId="3D98AEC8" w14:textId="77777777" w:rsidR="00685444" w:rsidRPr="004D74F5" w:rsidRDefault="00685444" w:rsidP="00685444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Obesity prevalence=</m:t>
          </m:r>
        </m:oMath>
      </m:oMathPara>
    </w:p>
    <w:p w14:paraId="5E10CE97" w14:textId="6E7C9CCF" w:rsidR="00A77C83" w:rsidRPr="004D74F5" w:rsidRDefault="00850088" w:rsidP="00A77C83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Respondents aged aged ≥18 years who have a body mass index ≥30.0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on self reported weight and height 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Respondents aged aged ≥18 years for whom BMI can be calculated from their self reported weight and height 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**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 xml:space="preserve"> x 100%</m:t>
          </m:r>
        </m:oMath>
      </m:oMathPara>
    </w:p>
    <w:p w14:paraId="3104079D" w14:textId="77777777" w:rsidR="00A77C83" w:rsidRDefault="00A77C83" w:rsidP="00A77C83"/>
    <w:p w14:paraId="1ADE41A2" w14:textId="24C8A4AB" w:rsidR="005A5165" w:rsidRDefault="00A77C83" w:rsidP="00A77C83">
      <w:r>
        <w:t>*</w:t>
      </w:r>
      <w:r w:rsidR="005A5165">
        <w:t xml:space="preserve">Excludes the following: </w:t>
      </w:r>
    </w:p>
    <w:p w14:paraId="7886ED1C" w14:textId="77777777" w:rsidR="00DB6BA9" w:rsidRPr="004D74F5" w:rsidRDefault="00DB6BA9" w:rsidP="00DB6BA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>Height: data from respondents measuring &lt;3 ft or ≥8 ft</w:t>
      </w:r>
    </w:p>
    <w:p w14:paraId="60CD45A9" w14:textId="77777777" w:rsidR="00DB6BA9" w:rsidRPr="004D74F5" w:rsidRDefault="00DB6BA9" w:rsidP="00DB6BA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 xml:space="preserve">Weight: data from respondents weighing &lt;50 </w:t>
      </w:r>
      <w:proofErr w:type="spellStart"/>
      <w:r w:rsidRPr="004D74F5">
        <w:rPr>
          <w:rFonts w:cstheme="minorHAnsi"/>
          <w:color w:val="000000"/>
          <w:shd w:val="clear" w:color="auto" w:fill="FFFFFF"/>
        </w:rPr>
        <w:t>lbs</w:t>
      </w:r>
      <w:proofErr w:type="spellEnd"/>
      <w:r w:rsidRPr="004D74F5">
        <w:rPr>
          <w:rFonts w:cstheme="minorHAnsi"/>
          <w:color w:val="000000"/>
          <w:shd w:val="clear" w:color="auto" w:fill="FFFFFF"/>
        </w:rPr>
        <w:t xml:space="preserve"> or ≥650 </w:t>
      </w:r>
      <w:proofErr w:type="spellStart"/>
      <w:r w:rsidRPr="004D74F5">
        <w:rPr>
          <w:rFonts w:cstheme="minorHAnsi"/>
          <w:color w:val="000000"/>
          <w:shd w:val="clear" w:color="auto" w:fill="FFFFFF"/>
        </w:rPr>
        <w:t>lbs</w:t>
      </w:r>
      <w:proofErr w:type="spellEnd"/>
    </w:p>
    <w:p w14:paraId="30C80D25" w14:textId="77777777" w:rsidR="00DB6BA9" w:rsidRPr="004D74F5" w:rsidRDefault="00DB6BA9" w:rsidP="00DB6BA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>BMI: data from respondents with BMI &lt;12 kg/m2 ≥100 kg/m2</w:t>
      </w:r>
    </w:p>
    <w:p w14:paraId="02A4D4F3" w14:textId="2FF6F955" w:rsidR="00A77C83" w:rsidRPr="004D74F5" w:rsidRDefault="00DB6BA9" w:rsidP="00DD66D0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>Pregnant women</w:t>
      </w:r>
    </w:p>
    <w:p w14:paraId="088A29A0" w14:textId="2CD15D18" w:rsidR="00A77C83" w:rsidRDefault="00A77C83" w:rsidP="00A77C83">
      <w:r>
        <w:t xml:space="preserve">** </w:t>
      </w:r>
      <w:r w:rsidR="00771D14">
        <w:t>E</w:t>
      </w:r>
      <w:r w:rsidR="002F5198">
        <w:t xml:space="preserve">xcludes unknowns, refusals to provide weight or height and exclusions listed below: </w:t>
      </w:r>
    </w:p>
    <w:p w14:paraId="1BFAF126" w14:textId="77777777" w:rsidR="002148AC" w:rsidRPr="00D53EB9" w:rsidRDefault="002148AC" w:rsidP="002148A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t>Height: data from respondents measuring &lt;3 ft or ≥8 ft</w:t>
      </w:r>
    </w:p>
    <w:p w14:paraId="0501F3EF" w14:textId="77777777" w:rsidR="002148AC" w:rsidRPr="00D53EB9" w:rsidRDefault="002148AC" w:rsidP="002148A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lastRenderedPageBreak/>
        <w:t xml:space="preserve">Weight: data from respondents weighing &lt;50 </w:t>
      </w:r>
      <w:proofErr w:type="spellStart"/>
      <w:r w:rsidRPr="00D53EB9">
        <w:rPr>
          <w:rFonts w:cstheme="minorHAnsi"/>
          <w:color w:val="000000"/>
          <w:shd w:val="clear" w:color="auto" w:fill="FFFFFF"/>
        </w:rPr>
        <w:t>lbs</w:t>
      </w:r>
      <w:proofErr w:type="spellEnd"/>
      <w:r w:rsidRPr="00D53EB9">
        <w:rPr>
          <w:rFonts w:cstheme="minorHAnsi"/>
          <w:color w:val="000000"/>
          <w:shd w:val="clear" w:color="auto" w:fill="FFFFFF"/>
        </w:rPr>
        <w:t xml:space="preserve"> or ≥650 </w:t>
      </w:r>
      <w:proofErr w:type="spellStart"/>
      <w:r w:rsidRPr="00D53EB9">
        <w:rPr>
          <w:rFonts w:cstheme="minorHAnsi"/>
          <w:color w:val="000000"/>
          <w:shd w:val="clear" w:color="auto" w:fill="FFFFFF"/>
        </w:rPr>
        <w:t>lbs</w:t>
      </w:r>
      <w:proofErr w:type="spellEnd"/>
    </w:p>
    <w:p w14:paraId="36F7C2FC" w14:textId="77777777" w:rsidR="002148AC" w:rsidRPr="00D53EB9" w:rsidRDefault="002148AC" w:rsidP="002148A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t>BMI: data from respondents with BMI &lt;12 kg/m2 ≥100 kg/m2</w:t>
      </w:r>
    </w:p>
    <w:p w14:paraId="1D3FB62C" w14:textId="76D94D9A" w:rsidR="00A86644" w:rsidRPr="004D74F5" w:rsidRDefault="002148AC" w:rsidP="004D74F5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t>Pregnant women</w:t>
      </w:r>
      <w:r w:rsidR="00510078" w:rsidRPr="0094561A">
        <w:rPr>
          <w:rStyle w:val="FootnoteReference"/>
        </w:rPr>
        <w:footnoteReference w:id="11"/>
      </w:r>
    </w:p>
    <w:p w14:paraId="5425F398" w14:textId="77777777" w:rsidR="0043612D" w:rsidRDefault="0043612D" w:rsidP="009B44FA"/>
    <w:p w14:paraId="47C6F25B" w14:textId="7B5BDBEE" w:rsidR="00B90BF3" w:rsidRDefault="008D677B" w:rsidP="00B90BF3">
      <w:pPr>
        <w:rPr>
          <w:b/>
          <w:bCs/>
        </w:rPr>
      </w:pPr>
      <w:r>
        <w:t xml:space="preserve">Note - </w:t>
      </w:r>
      <w:r w:rsidR="00B90BF3" w:rsidRPr="00A50550">
        <w:t>BRFSS estimates the crude prevalence based on self-reports using small area estimation (SAE) and multilevel regression and poststratification (MRP) which links geocoded health surveys and high spatial resolution population demographic and socioeconomic data.</w:t>
      </w:r>
      <w:r w:rsidR="00B90BF3">
        <w:rPr>
          <w:rStyle w:val="FootnoteReference"/>
        </w:rPr>
        <w:footnoteReference w:id="12"/>
      </w:r>
      <w:r w:rsidR="00B90BF3" w:rsidDel="007801A3">
        <w:t xml:space="preserve">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83E6" w14:textId="77777777" w:rsidR="00850088" w:rsidRDefault="00850088" w:rsidP="00621422">
      <w:r>
        <w:separator/>
      </w:r>
    </w:p>
  </w:endnote>
  <w:endnote w:type="continuationSeparator" w:id="0">
    <w:p w14:paraId="6D2844D8" w14:textId="77777777" w:rsidR="00850088" w:rsidRDefault="00850088" w:rsidP="00621422">
      <w:r>
        <w:continuationSeparator/>
      </w:r>
    </w:p>
  </w:endnote>
  <w:endnote w:type="continuationNotice" w:id="1">
    <w:p w14:paraId="5FA3D69C" w14:textId="77777777" w:rsidR="00850088" w:rsidRDefault="00850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D2B8" w14:textId="77777777" w:rsidR="00850088" w:rsidRDefault="00850088" w:rsidP="00621422">
      <w:r>
        <w:separator/>
      </w:r>
    </w:p>
  </w:footnote>
  <w:footnote w:type="continuationSeparator" w:id="0">
    <w:p w14:paraId="2E58B41E" w14:textId="77777777" w:rsidR="00850088" w:rsidRDefault="00850088" w:rsidP="00621422">
      <w:r>
        <w:continuationSeparator/>
      </w:r>
    </w:p>
  </w:footnote>
  <w:footnote w:type="continuationNotice" w:id="1">
    <w:p w14:paraId="30180FF2" w14:textId="77777777" w:rsidR="00850088" w:rsidRDefault="00850088"/>
  </w:footnote>
  <w:footnote w:id="2">
    <w:p w14:paraId="5E5E4228" w14:textId="69189516" w:rsidR="008D3F53" w:rsidRPr="005914E9" w:rsidRDefault="008D3F53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Davies</w:t>
      </w:r>
      <w:r w:rsidR="00502AAC" w:rsidRPr="005914E9">
        <w:rPr>
          <w:rFonts w:cstheme="minorHAnsi"/>
        </w:rPr>
        <w:t>,</w:t>
      </w:r>
      <w:r w:rsidR="005317FC" w:rsidRPr="005914E9">
        <w:rPr>
          <w:rFonts w:cstheme="minorHAnsi"/>
        </w:rPr>
        <w:t xml:space="preserve"> N. (</w:t>
      </w:r>
      <w:r w:rsidR="0065571B" w:rsidRPr="005914E9">
        <w:rPr>
          <w:rFonts w:cstheme="minorHAnsi"/>
        </w:rPr>
        <w:t>2016, February 26)</w:t>
      </w:r>
      <w:r w:rsidR="00F03ED3" w:rsidRPr="005914E9">
        <w:rPr>
          <w:rFonts w:cstheme="minorHAnsi"/>
        </w:rPr>
        <w:t>.</w:t>
      </w:r>
      <w:r w:rsidR="0065571B" w:rsidRPr="005914E9">
        <w:rPr>
          <w:rFonts w:cstheme="minorHAnsi"/>
        </w:rPr>
        <w:t xml:space="preserve"> </w:t>
      </w:r>
      <w:r w:rsidR="0065571B" w:rsidRPr="005914E9">
        <w:rPr>
          <w:rFonts w:cstheme="minorHAnsi"/>
          <w:i/>
          <w:iCs/>
        </w:rPr>
        <w:t>Mental Illness and Obesity</w:t>
      </w:r>
      <w:r w:rsidR="0065571B" w:rsidRPr="005914E9">
        <w:rPr>
          <w:rFonts w:cstheme="minorHAnsi"/>
        </w:rPr>
        <w:t xml:space="preserve">. </w:t>
      </w:r>
      <w:r w:rsidR="00BD4512" w:rsidRPr="005914E9">
        <w:rPr>
          <w:rFonts w:cstheme="minorHAnsi"/>
        </w:rPr>
        <w:t xml:space="preserve">Psychiatry Advisor. </w:t>
      </w:r>
      <w:r w:rsidR="0065571B" w:rsidRPr="005914E9">
        <w:rPr>
          <w:rFonts w:cstheme="minorHAnsi"/>
        </w:rPr>
        <w:t xml:space="preserve"> </w:t>
      </w:r>
      <w:hyperlink r:id="rId1" w:history="1">
        <w:r w:rsidR="00BD4512" w:rsidRPr="005914E9">
          <w:rPr>
            <w:rStyle w:val="Hyperlink"/>
            <w:rFonts w:cstheme="minorHAnsi"/>
            <w:shd w:val="clear" w:color="auto" w:fill="FFFFFF"/>
          </w:rPr>
          <w:t>https://www.psychiatryadvisor.com/home/conference-highlights/aaic-2015-coverage/mental-illness-and-obesity/</w:t>
        </w:r>
      </w:hyperlink>
      <w:r w:rsidR="00BD4512" w:rsidRPr="005914E9">
        <w:rPr>
          <w:rFonts w:cstheme="minorHAnsi"/>
          <w:color w:val="333333"/>
          <w:shd w:val="clear" w:color="auto" w:fill="FFFFFF"/>
        </w:rPr>
        <w:t xml:space="preserve"> </w:t>
      </w:r>
    </w:p>
  </w:footnote>
  <w:footnote w:id="3">
    <w:p w14:paraId="1AA34A68" w14:textId="0A1B47A0" w:rsidR="009872B1" w:rsidRPr="005914E9" w:rsidRDefault="009872B1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</w:t>
      </w:r>
      <w:proofErr w:type="spellStart"/>
      <w:r w:rsidRPr="005914E9">
        <w:rPr>
          <w:rFonts w:cstheme="minorHAnsi"/>
        </w:rPr>
        <w:t>Sarwer</w:t>
      </w:r>
      <w:proofErr w:type="spellEnd"/>
      <w:r w:rsidRPr="005914E9">
        <w:rPr>
          <w:rFonts w:cstheme="minorHAnsi"/>
        </w:rPr>
        <w:t xml:space="preserve">, D. B., &amp; Polonsky, H. M. (2016). The Psychosocial Burden of Obesity. </w:t>
      </w:r>
      <w:r w:rsidRPr="005914E9">
        <w:rPr>
          <w:rFonts w:cstheme="minorHAnsi"/>
          <w:i/>
          <w:iCs/>
        </w:rPr>
        <w:t>Endocrinology and metabolism clinics of North America, 45</w:t>
      </w:r>
      <w:r w:rsidRPr="005914E9">
        <w:rPr>
          <w:rFonts w:cstheme="minorHAnsi"/>
        </w:rPr>
        <w:t xml:space="preserve">(3), 677–688. </w:t>
      </w:r>
      <w:hyperlink r:id="rId2" w:history="1">
        <w:r w:rsidRPr="005914E9">
          <w:rPr>
            <w:rStyle w:val="Hyperlink"/>
            <w:rFonts w:cstheme="minorHAnsi"/>
          </w:rPr>
          <w:t>https://doi.org/10.1016/j.ecl.2016.04.016</w:t>
        </w:r>
      </w:hyperlink>
      <w:r w:rsidRPr="005914E9">
        <w:rPr>
          <w:rFonts w:cstheme="minorHAnsi"/>
        </w:rPr>
        <w:t xml:space="preserve"> </w:t>
      </w:r>
    </w:p>
  </w:footnote>
  <w:footnote w:id="4">
    <w:p w14:paraId="099D094D" w14:textId="5A39832E" w:rsidR="00694B97" w:rsidRPr="005914E9" w:rsidRDefault="00694B97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</w:t>
      </w:r>
      <w:r w:rsidR="00CA79BB" w:rsidRPr="000B173E">
        <w:rPr>
          <w:rFonts w:eastAsia="Times New Roman" w:cstheme="minorHAnsi"/>
          <w:color w:val="000000"/>
        </w:rPr>
        <w:t xml:space="preserve">Simon, G. E., Von </w:t>
      </w:r>
      <w:proofErr w:type="spellStart"/>
      <w:r w:rsidR="00CA79BB" w:rsidRPr="000B173E">
        <w:rPr>
          <w:rFonts w:eastAsia="Times New Roman" w:cstheme="minorHAnsi"/>
          <w:color w:val="000000"/>
        </w:rPr>
        <w:t>Korff</w:t>
      </w:r>
      <w:proofErr w:type="spellEnd"/>
      <w:r w:rsidR="00CA79BB" w:rsidRPr="000B173E">
        <w:rPr>
          <w:rFonts w:eastAsia="Times New Roman" w:cstheme="minorHAnsi"/>
          <w:color w:val="000000"/>
        </w:rPr>
        <w:t xml:space="preserve">, M., Saunders, K., </w:t>
      </w:r>
      <w:proofErr w:type="spellStart"/>
      <w:r w:rsidR="00CA79BB" w:rsidRPr="000B173E">
        <w:rPr>
          <w:rFonts w:eastAsia="Times New Roman" w:cstheme="minorHAnsi"/>
          <w:color w:val="000000"/>
        </w:rPr>
        <w:t>Miglioretti</w:t>
      </w:r>
      <w:proofErr w:type="spellEnd"/>
      <w:r w:rsidR="00CA79BB" w:rsidRPr="000B173E">
        <w:rPr>
          <w:rFonts w:eastAsia="Times New Roman" w:cstheme="minorHAnsi"/>
          <w:color w:val="000000"/>
        </w:rPr>
        <w:t>, D. L., Crane, P. K., van Belle, G., &amp; Kessler, R. C. (2006). Association Between Obesity and Psychiatric Disorders in the US Adult Population. </w:t>
      </w:r>
      <w:r w:rsidR="00CA79BB" w:rsidRPr="000B173E">
        <w:rPr>
          <w:rFonts w:eastAsia="Times New Roman" w:cstheme="minorHAnsi"/>
          <w:i/>
          <w:iCs/>
          <w:color w:val="000000"/>
        </w:rPr>
        <w:t>Archives of General Psychiatry</w:t>
      </w:r>
      <w:r w:rsidR="00CA79BB" w:rsidRPr="000B173E">
        <w:rPr>
          <w:rFonts w:eastAsia="Times New Roman" w:cstheme="minorHAnsi"/>
          <w:color w:val="000000"/>
        </w:rPr>
        <w:t>, </w:t>
      </w:r>
      <w:r w:rsidR="00CA79BB" w:rsidRPr="000B173E">
        <w:rPr>
          <w:rFonts w:eastAsia="Times New Roman" w:cstheme="minorHAnsi"/>
          <w:i/>
          <w:iCs/>
          <w:color w:val="000000"/>
        </w:rPr>
        <w:t>63</w:t>
      </w:r>
      <w:r w:rsidR="00CA79BB" w:rsidRPr="000B173E">
        <w:rPr>
          <w:rFonts w:eastAsia="Times New Roman" w:cstheme="minorHAnsi"/>
          <w:color w:val="000000"/>
        </w:rPr>
        <w:t>(7), 824</w:t>
      </w:r>
      <w:r w:rsidR="00A24DE0">
        <w:rPr>
          <w:rFonts w:eastAsia="Times New Roman" w:cstheme="minorHAnsi"/>
          <w:color w:val="000000"/>
        </w:rPr>
        <w:t>-830</w:t>
      </w:r>
      <w:r w:rsidR="00CA79BB" w:rsidRPr="000B173E">
        <w:rPr>
          <w:rFonts w:eastAsia="Times New Roman" w:cstheme="minorHAnsi"/>
          <w:color w:val="000000"/>
        </w:rPr>
        <w:t xml:space="preserve">. </w:t>
      </w:r>
      <w:hyperlink r:id="rId3" w:history="1">
        <w:r w:rsidR="00A24DE0" w:rsidRPr="00736527">
          <w:rPr>
            <w:rStyle w:val="Hyperlink"/>
            <w:rFonts w:eastAsia="Times New Roman" w:cstheme="minorHAnsi"/>
          </w:rPr>
          <w:t>https://doi.org/10.1001/archpsyc.63.7.824</w:t>
        </w:r>
      </w:hyperlink>
    </w:p>
  </w:footnote>
  <w:footnote w:id="5">
    <w:p w14:paraId="6134BA11" w14:textId="4DA4FFD5" w:rsidR="009158E4" w:rsidRPr="005914E9" w:rsidRDefault="009158E4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Centers for Disease Control and Prevention. (2020</w:t>
      </w:r>
      <w:r w:rsidR="000B511B" w:rsidRPr="005914E9">
        <w:rPr>
          <w:rFonts w:cstheme="minorHAnsi"/>
        </w:rPr>
        <w:t>a</w:t>
      </w:r>
      <w:r w:rsidRPr="005914E9">
        <w:rPr>
          <w:rFonts w:cstheme="minorHAnsi"/>
        </w:rPr>
        <w:t xml:space="preserve">, December 8). </w:t>
      </w:r>
      <w:r w:rsidRPr="005914E9">
        <w:rPr>
          <w:rFonts w:cstheme="minorHAnsi"/>
          <w:i/>
          <w:iCs/>
        </w:rPr>
        <w:t>PLACES</w:t>
      </w:r>
      <w:r w:rsidRPr="005914E9">
        <w:rPr>
          <w:rFonts w:cstheme="minorHAnsi"/>
        </w:rPr>
        <w:t xml:space="preserve"> </w:t>
      </w:r>
      <w:r w:rsidRPr="005914E9">
        <w:rPr>
          <w:rFonts w:cstheme="minorHAnsi"/>
          <w:i/>
          <w:iCs/>
        </w:rPr>
        <w:t>Methodology</w:t>
      </w:r>
      <w:r w:rsidRPr="005914E9">
        <w:rPr>
          <w:rFonts w:cstheme="minorHAnsi"/>
        </w:rPr>
        <w:t xml:space="preserve">.  </w:t>
      </w:r>
      <w:hyperlink r:id="rId4" w:history="1">
        <w:r w:rsidRPr="005914E9">
          <w:rPr>
            <w:rStyle w:val="Hyperlink"/>
            <w:rFonts w:cstheme="minorHAnsi"/>
          </w:rPr>
          <w:t>https://www.cdc.gov/places/methodology/</w:t>
        </w:r>
      </w:hyperlink>
      <w:r w:rsidRPr="005914E9">
        <w:rPr>
          <w:rFonts w:cstheme="minorHAnsi"/>
        </w:rPr>
        <w:t xml:space="preserve"> </w:t>
      </w:r>
    </w:p>
  </w:footnote>
  <w:footnote w:id="6">
    <w:p w14:paraId="563CF54E" w14:textId="01CB4824" w:rsidR="00502AAC" w:rsidRPr="005914E9" w:rsidRDefault="00502AAC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</w:t>
      </w:r>
      <w:proofErr w:type="spellStart"/>
      <w:r w:rsidRPr="005914E9">
        <w:rPr>
          <w:rFonts w:cstheme="minorHAnsi"/>
        </w:rPr>
        <w:t>Watman</w:t>
      </w:r>
      <w:proofErr w:type="spellEnd"/>
      <w:r w:rsidRPr="005914E9">
        <w:rPr>
          <w:rFonts w:cstheme="minorHAnsi"/>
        </w:rPr>
        <w:t xml:space="preserve">, </w:t>
      </w:r>
      <w:r w:rsidR="00E560F6" w:rsidRPr="005914E9">
        <w:rPr>
          <w:rFonts w:cstheme="minorHAnsi"/>
        </w:rPr>
        <w:t>M.J. (2012)</w:t>
      </w:r>
      <w:r w:rsidR="009B42DE" w:rsidRPr="005914E9">
        <w:rPr>
          <w:rFonts w:cstheme="minorHAnsi"/>
        </w:rPr>
        <w:t>.</w:t>
      </w:r>
      <w:r w:rsidR="00E560F6" w:rsidRPr="005914E9">
        <w:rPr>
          <w:rFonts w:cstheme="minorHAnsi"/>
        </w:rPr>
        <w:t xml:space="preserve"> </w:t>
      </w:r>
      <w:r w:rsidR="00E560F6" w:rsidRPr="005914E9">
        <w:rPr>
          <w:rFonts w:cstheme="minorHAnsi"/>
          <w:i/>
          <w:iCs/>
        </w:rPr>
        <w:t>Weight Bias and Discrimination: A Challenge for Healthcare Providers</w:t>
      </w:r>
      <w:r w:rsidR="00E560F6" w:rsidRPr="005914E9">
        <w:rPr>
          <w:rFonts w:cstheme="minorHAnsi"/>
        </w:rPr>
        <w:t xml:space="preserve">. </w:t>
      </w:r>
      <w:r w:rsidR="00C40BCD" w:rsidRPr="005914E9">
        <w:rPr>
          <w:rFonts w:cstheme="minorHAnsi"/>
        </w:rPr>
        <w:t xml:space="preserve">Obesity Action Coalition. </w:t>
      </w:r>
      <w:hyperlink r:id="rId5" w:history="1">
        <w:r w:rsidR="00C40BCD" w:rsidRPr="005914E9">
          <w:rPr>
            <w:rStyle w:val="Hyperlink"/>
            <w:rFonts w:cstheme="minorHAnsi"/>
          </w:rPr>
          <w:t>https://www.obesityaction.org/community/article-library/weight-bias-and-discrimination-a-challenge-for-healthcare-providers</w:t>
        </w:r>
      </w:hyperlink>
      <w:r w:rsidR="00C40BCD" w:rsidRPr="005914E9">
        <w:rPr>
          <w:rFonts w:cstheme="minorHAnsi"/>
        </w:rPr>
        <w:t xml:space="preserve"> </w:t>
      </w:r>
    </w:p>
  </w:footnote>
  <w:footnote w:id="7">
    <w:p w14:paraId="26A61DF9" w14:textId="6F845516" w:rsidR="00477F92" w:rsidRPr="005914E9" w:rsidRDefault="00477F92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Sansone, R. A., &amp; Sansone, L. A. (2013). Obesity and substance misuse: is there a relationship?</w:t>
      </w:r>
      <w:r w:rsidR="00F91EB6" w:rsidRPr="005914E9">
        <w:rPr>
          <w:rFonts w:cstheme="minorHAnsi"/>
        </w:rPr>
        <w:t xml:space="preserve"> </w:t>
      </w:r>
      <w:r w:rsidRPr="005914E9">
        <w:rPr>
          <w:rFonts w:cstheme="minorHAnsi"/>
          <w:i/>
          <w:iCs/>
        </w:rPr>
        <w:t xml:space="preserve">Innovations in </w:t>
      </w:r>
      <w:r w:rsidR="00F91EB6" w:rsidRPr="005914E9">
        <w:rPr>
          <w:rFonts w:cstheme="minorHAnsi"/>
          <w:i/>
          <w:iCs/>
        </w:rPr>
        <w:t>C</w:t>
      </w:r>
      <w:r w:rsidRPr="005914E9">
        <w:rPr>
          <w:rFonts w:cstheme="minorHAnsi"/>
          <w:i/>
          <w:iCs/>
        </w:rPr>
        <w:t xml:space="preserve">linical </w:t>
      </w:r>
      <w:r w:rsidR="00F91EB6" w:rsidRPr="005914E9">
        <w:rPr>
          <w:rFonts w:cstheme="minorHAnsi"/>
          <w:i/>
          <w:iCs/>
        </w:rPr>
        <w:t>N</w:t>
      </w:r>
      <w:r w:rsidRPr="005914E9">
        <w:rPr>
          <w:rFonts w:cstheme="minorHAnsi"/>
          <w:i/>
          <w:iCs/>
        </w:rPr>
        <w:t>euroscience, 10</w:t>
      </w:r>
      <w:r w:rsidRPr="005914E9">
        <w:rPr>
          <w:rFonts w:cstheme="minorHAnsi"/>
        </w:rPr>
        <w:t>(9-10), 30–35.</w:t>
      </w:r>
      <w:r w:rsidR="00025F26" w:rsidRPr="005914E9">
        <w:rPr>
          <w:rFonts w:cstheme="minorHAnsi"/>
        </w:rPr>
        <w:t xml:space="preserve"> </w:t>
      </w:r>
      <w:hyperlink r:id="rId6" w:history="1">
        <w:r w:rsidR="00025F26" w:rsidRPr="005914E9">
          <w:rPr>
            <w:rStyle w:val="Hyperlink"/>
            <w:rFonts w:cstheme="minorHAnsi"/>
          </w:rPr>
          <w:t>https://www.ncbi.nlm.nih.gov/pmc/articles/PMC3849872/</w:t>
        </w:r>
      </w:hyperlink>
      <w:r w:rsidR="00025F26" w:rsidRPr="005914E9">
        <w:rPr>
          <w:rFonts w:cstheme="minorHAnsi"/>
        </w:rPr>
        <w:t xml:space="preserve"> </w:t>
      </w:r>
    </w:p>
  </w:footnote>
  <w:footnote w:id="8">
    <w:p w14:paraId="544335BA" w14:textId="6BDC9E91" w:rsidR="000521A7" w:rsidRPr="0047552D" w:rsidRDefault="000521A7" w:rsidP="0047552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  <w:sz w:val="20"/>
          <w:szCs w:val="20"/>
        </w:rPr>
      </w:pPr>
      <w:r w:rsidRPr="0047552D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7552D">
        <w:rPr>
          <w:rFonts w:asciiTheme="minorHAnsi" w:hAnsiTheme="minorHAnsi" w:cstheme="minorHAnsi"/>
          <w:sz w:val="20"/>
          <w:szCs w:val="20"/>
        </w:rPr>
        <w:t xml:space="preserve"> </w:t>
      </w:r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Simon, G. E., Von </w:t>
      </w:r>
      <w:proofErr w:type="spellStart"/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>Korff</w:t>
      </w:r>
      <w:proofErr w:type="spellEnd"/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, M., Saunders, K., </w:t>
      </w:r>
      <w:proofErr w:type="spellStart"/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>Miglioretti</w:t>
      </w:r>
      <w:proofErr w:type="spellEnd"/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>, D. L., Crane, P. K., van Belle, G., &amp; Kessler, R. C. (2006). Association Between Obesity and Psychiatric Disorders in the US Adult Population. </w:t>
      </w:r>
      <w:r w:rsidR="005428C1" w:rsidRPr="0047552D">
        <w:rPr>
          <w:rFonts w:asciiTheme="minorHAnsi" w:hAnsiTheme="minorHAnsi" w:cstheme="minorHAnsi"/>
          <w:i/>
          <w:iCs/>
          <w:color w:val="000000"/>
          <w:sz w:val="20"/>
          <w:szCs w:val="20"/>
        </w:rPr>
        <w:t>Archives of General Psychiatry</w:t>
      </w:r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5428C1" w:rsidRPr="0047552D">
        <w:rPr>
          <w:rFonts w:asciiTheme="minorHAnsi" w:hAnsiTheme="minorHAnsi" w:cstheme="minorHAnsi"/>
          <w:i/>
          <w:iCs/>
          <w:color w:val="000000"/>
          <w:sz w:val="20"/>
          <w:szCs w:val="20"/>
        </w:rPr>
        <w:t>63</w:t>
      </w:r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>(7), 824</w:t>
      </w:r>
      <w:r w:rsidR="00A24DE0">
        <w:rPr>
          <w:rFonts w:asciiTheme="minorHAnsi" w:hAnsiTheme="minorHAnsi" w:cstheme="minorHAnsi"/>
          <w:color w:val="000000"/>
          <w:sz w:val="20"/>
          <w:szCs w:val="20"/>
        </w:rPr>
        <w:t>-830</w:t>
      </w:r>
      <w:r w:rsidR="005428C1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hyperlink r:id="rId7" w:history="1">
        <w:r w:rsidR="0047552D" w:rsidRPr="00716BCC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https://doi.org/10.1001/archpsyc.63.7.824</w:t>
        </w:r>
      </w:hyperlink>
      <w:r w:rsidR="0047552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9">
    <w:p w14:paraId="3C4348DA" w14:textId="3C1F2BBE" w:rsidR="00483BBD" w:rsidRPr="0047552D" w:rsidRDefault="00483BBD" w:rsidP="0047552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47552D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7552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Almandoz</w:t>
      </w:r>
      <w:proofErr w:type="spell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, J. P., </w:t>
      </w:r>
      <w:proofErr w:type="spell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Xie</w:t>
      </w:r>
      <w:proofErr w:type="spell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, L., </w:t>
      </w:r>
      <w:proofErr w:type="spell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Schellinger</w:t>
      </w:r>
      <w:proofErr w:type="spell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, J. N., Mathew, M. S., </w:t>
      </w:r>
      <w:proofErr w:type="spell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Bismar</w:t>
      </w:r>
      <w:proofErr w:type="spell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, N., Ofori, A., </w:t>
      </w:r>
      <w:proofErr w:type="spell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Kukreja</w:t>
      </w:r>
      <w:proofErr w:type="spell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, S., Schneider, B., </w:t>
      </w:r>
      <w:proofErr w:type="spell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Vidot</w:t>
      </w:r>
      <w:proofErr w:type="spell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, D., &amp; Messiah, S. E. (2021). Substance use, mental </w:t>
      </w:r>
      <w:proofErr w:type="gram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health</w:t>
      </w:r>
      <w:proofErr w:type="gram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 and weight‐related </w:t>
      </w:r>
      <w:proofErr w:type="spellStart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behaviours</w:t>
      </w:r>
      <w:proofErr w:type="spellEnd"/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 during the COVID ‐19 pandemic in people with obesity. </w:t>
      </w:r>
      <w:r w:rsidR="005914E9" w:rsidRPr="0047552D">
        <w:rPr>
          <w:rFonts w:asciiTheme="minorHAnsi" w:hAnsiTheme="minorHAnsi" w:cstheme="minorHAnsi"/>
          <w:i/>
          <w:iCs/>
          <w:color w:val="000000"/>
          <w:sz w:val="20"/>
          <w:szCs w:val="20"/>
        </w:rPr>
        <w:t>Clinical Obesity</w:t>
      </w:r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5914E9" w:rsidRPr="0047552D">
        <w:rPr>
          <w:rFonts w:asciiTheme="minorHAnsi" w:hAnsiTheme="minorHAnsi" w:cstheme="minorHAnsi"/>
          <w:i/>
          <w:iCs/>
          <w:color w:val="000000"/>
          <w:sz w:val="20"/>
          <w:szCs w:val="20"/>
        </w:rPr>
        <w:t>11</w:t>
      </w:r>
      <w:r w:rsidR="005914E9" w:rsidRPr="0047552D">
        <w:rPr>
          <w:rFonts w:asciiTheme="minorHAnsi" w:hAnsiTheme="minorHAnsi" w:cstheme="minorHAnsi"/>
          <w:color w:val="000000"/>
          <w:sz w:val="20"/>
          <w:szCs w:val="20"/>
        </w:rPr>
        <w:t xml:space="preserve">(2). </w:t>
      </w:r>
      <w:hyperlink r:id="rId8" w:history="1">
        <w:r w:rsidR="0047552D" w:rsidRPr="00716BCC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https://doi.org/10.1111/cob.12440</w:t>
        </w:r>
      </w:hyperlink>
      <w:r w:rsidR="0047552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10">
    <w:p w14:paraId="0100A6AA" w14:textId="3FE31474" w:rsidR="00063A67" w:rsidRPr="005914E9" w:rsidRDefault="00063A67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Centers for Disease Control and Prevention. (2020</w:t>
      </w:r>
      <w:r w:rsidR="000B511B" w:rsidRPr="005914E9">
        <w:rPr>
          <w:rFonts w:cstheme="minorHAnsi"/>
        </w:rPr>
        <w:t>a</w:t>
      </w:r>
      <w:r w:rsidRPr="005914E9">
        <w:rPr>
          <w:rFonts w:cstheme="minorHAnsi"/>
        </w:rPr>
        <w:t xml:space="preserve">, December 8). </w:t>
      </w:r>
      <w:r w:rsidRPr="005914E9">
        <w:rPr>
          <w:rFonts w:cstheme="minorHAnsi"/>
          <w:i/>
          <w:iCs/>
        </w:rPr>
        <w:t>PLACES</w:t>
      </w:r>
      <w:r w:rsidRPr="005914E9">
        <w:rPr>
          <w:rFonts w:cstheme="minorHAnsi"/>
        </w:rPr>
        <w:t xml:space="preserve"> </w:t>
      </w:r>
      <w:r w:rsidRPr="005914E9">
        <w:rPr>
          <w:rFonts w:cstheme="minorHAnsi"/>
          <w:i/>
          <w:iCs/>
        </w:rPr>
        <w:t>Methodology</w:t>
      </w:r>
      <w:r w:rsidRPr="005914E9">
        <w:rPr>
          <w:rFonts w:cstheme="minorHAnsi"/>
        </w:rPr>
        <w:t xml:space="preserve">. </w:t>
      </w:r>
      <w:hyperlink r:id="rId9" w:history="1">
        <w:r w:rsidRPr="005914E9">
          <w:rPr>
            <w:rStyle w:val="Hyperlink"/>
            <w:rFonts w:cstheme="minorHAnsi"/>
          </w:rPr>
          <w:t>https://www.cdc.gov/places/methodology/</w:t>
        </w:r>
      </w:hyperlink>
    </w:p>
  </w:footnote>
  <w:footnote w:id="11">
    <w:p w14:paraId="0982FD31" w14:textId="10EF5213" w:rsidR="00510078" w:rsidRPr="005914E9" w:rsidRDefault="00510078" w:rsidP="005914E9">
      <w:pPr>
        <w:ind w:left="720" w:hanging="720"/>
        <w:rPr>
          <w:rFonts w:cstheme="minorHAnsi"/>
          <w:sz w:val="20"/>
          <w:szCs w:val="20"/>
        </w:rPr>
      </w:pPr>
      <w:r w:rsidRPr="005914E9">
        <w:rPr>
          <w:rFonts w:cstheme="minorHAnsi"/>
          <w:sz w:val="20"/>
          <w:szCs w:val="20"/>
          <w:vertAlign w:val="superscript"/>
        </w:rPr>
        <w:footnoteRef/>
      </w:r>
      <w:r w:rsidRPr="005914E9">
        <w:rPr>
          <w:rFonts w:cstheme="minorHAnsi"/>
          <w:sz w:val="20"/>
          <w:szCs w:val="20"/>
        </w:rPr>
        <w:t xml:space="preserve"> Centers for Disease Control and Prevention. (2020</w:t>
      </w:r>
      <w:r w:rsidR="000B511B" w:rsidRPr="005914E9">
        <w:rPr>
          <w:rFonts w:cstheme="minorHAnsi"/>
          <w:sz w:val="20"/>
          <w:szCs w:val="20"/>
        </w:rPr>
        <w:t>b</w:t>
      </w:r>
      <w:r w:rsidRPr="005914E9">
        <w:rPr>
          <w:rFonts w:cstheme="minorHAnsi"/>
          <w:sz w:val="20"/>
          <w:szCs w:val="20"/>
        </w:rPr>
        <w:t>, December 8). </w:t>
      </w:r>
      <w:r w:rsidRPr="005914E9">
        <w:rPr>
          <w:rFonts w:cstheme="minorHAnsi"/>
          <w:i/>
          <w:iCs/>
          <w:sz w:val="20"/>
          <w:szCs w:val="20"/>
        </w:rPr>
        <w:t>PLACES Measure Definitions</w:t>
      </w:r>
      <w:r w:rsidRPr="005914E9">
        <w:rPr>
          <w:rFonts w:cstheme="minorHAnsi"/>
          <w:sz w:val="20"/>
          <w:szCs w:val="20"/>
        </w:rPr>
        <w:t xml:space="preserve">.  </w:t>
      </w:r>
      <w:hyperlink r:id="rId10" w:history="1">
        <w:r w:rsidRPr="005914E9">
          <w:rPr>
            <w:rStyle w:val="Hyperlink"/>
            <w:rFonts w:cstheme="minorHAnsi"/>
            <w:sz w:val="20"/>
            <w:szCs w:val="20"/>
          </w:rPr>
          <w:t>https://www.cdc.gov/places/measure-definitions</w:t>
        </w:r>
      </w:hyperlink>
      <w:r w:rsidRPr="005914E9">
        <w:rPr>
          <w:rFonts w:cstheme="minorHAnsi"/>
          <w:sz w:val="20"/>
          <w:szCs w:val="20"/>
        </w:rPr>
        <w:t xml:space="preserve"> </w:t>
      </w:r>
    </w:p>
  </w:footnote>
  <w:footnote w:id="12">
    <w:p w14:paraId="17DAAFF9" w14:textId="5BA6FC22" w:rsidR="00B90BF3" w:rsidRPr="005914E9" w:rsidRDefault="00B90BF3" w:rsidP="005914E9">
      <w:pPr>
        <w:pStyle w:val="FootnoteText"/>
        <w:ind w:left="720" w:hanging="720"/>
        <w:rPr>
          <w:rFonts w:cstheme="minorHAnsi"/>
        </w:rPr>
      </w:pPr>
      <w:r w:rsidRPr="005914E9">
        <w:rPr>
          <w:rStyle w:val="FootnoteReference"/>
          <w:rFonts w:cstheme="minorHAnsi"/>
        </w:rPr>
        <w:footnoteRef/>
      </w:r>
      <w:r w:rsidRPr="005914E9">
        <w:rPr>
          <w:rFonts w:cstheme="minorHAnsi"/>
        </w:rPr>
        <w:t xml:space="preserve"> Centers for Disease Control and Prevention. (2020</w:t>
      </w:r>
      <w:r w:rsidR="000B511B" w:rsidRPr="005914E9">
        <w:rPr>
          <w:rFonts w:cstheme="minorHAnsi"/>
        </w:rPr>
        <w:t>a</w:t>
      </w:r>
      <w:r w:rsidRPr="005914E9">
        <w:rPr>
          <w:rFonts w:cstheme="minorHAnsi"/>
        </w:rPr>
        <w:t xml:space="preserve">, December 8). </w:t>
      </w:r>
      <w:r w:rsidRPr="005914E9">
        <w:rPr>
          <w:rFonts w:cstheme="minorHAnsi"/>
          <w:i/>
          <w:iCs/>
        </w:rPr>
        <w:t>PLACES Methodology</w:t>
      </w:r>
      <w:r w:rsidRPr="005914E9">
        <w:rPr>
          <w:rFonts w:cstheme="minorHAnsi"/>
        </w:rPr>
        <w:t xml:space="preserve">. </w:t>
      </w:r>
      <w:hyperlink r:id="rId11" w:history="1">
        <w:r w:rsidRPr="005914E9">
          <w:rPr>
            <w:rStyle w:val="Hyperlink"/>
            <w:rFonts w:cstheme="minorHAnsi"/>
          </w:rPr>
          <w:t>https://www.cdc.gov/places/methodology/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D7F45"/>
    <w:multiLevelType w:val="hybridMultilevel"/>
    <w:tmpl w:val="ABDA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6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7258"/>
    <w:rsid w:val="00025890"/>
    <w:rsid w:val="00025F26"/>
    <w:rsid w:val="000521A7"/>
    <w:rsid w:val="00063A67"/>
    <w:rsid w:val="00067772"/>
    <w:rsid w:val="00082B14"/>
    <w:rsid w:val="00082C3D"/>
    <w:rsid w:val="0008657A"/>
    <w:rsid w:val="00087CAB"/>
    <w:rsid w:val="000905B5"/>
    <w:rsid w:val="000A115C"/>
    <w:rsid w:val="000A3D2C"/>
    <w:rsid w:val="000B0048"/>
    <w:rsid w:val="000B2D9B"/>
    <w:rsid w:val="000B3283"/>
    <w:rsid w:val="000B511B"/>
    <w:rsid w:val="000D30B5"/>
    <w:rsid w:val="000D5C93"/>
    <w:rsid w:val="000F2278"/>
    <w:rsid w:val="00103438"/>
    <w:rsid w:val="00106957"/>
    <w:rsid w:val="00113225"/>
    <w:rsid w:val="0011471E"/>
    <w:rsid w:val="00115761"/>
    <w:rsid w:val="001408AE"/>
    <w:rsid w:val="00143CCB"/>
    <w:rsid w:val="00144D3F"/>
    <w:rsid w:val="00153757"/>
    <w:rsid w:val="0016259F"/>
    <w:rsid w:val="00180268"/>
    <w:rsid w:val="00181F4B"/>
    <w:rsid w:val="001903D4"/>
    <w:rsid w:val="00190959"/>
    <w:rsid w:val="00196195"/>
    <w:rsid w:val="001B437D"/>
    <w:rsid w:val="001B5F77"/>
    <w:rsid w:val="001B6722"/>
    <w:rsid w:val="001F1746"/>
    <w:rsid w:val="0020582A"/>
    <w:rsid w:val="002148AC"/>
    <w:rsid w:val="00215EC2"/>
    <w:rsid w:val="002351B7"/>
    <w:rsid w:val="00245F3D"/>
    <w:rsid w:val="00247C44"/>
    <w:rsid w:val="002518EC"/>
    <w:rsid w:val="002649BE"/>
    <w:rsid w:val="00270F6B"/>
    <w:rsid w:val="002743F5"/>
    <w:rsid w:val="00274C64"/>
    <w:rsid w:val="00282585"/>
    <w:rsid w:val="00283786"/>
    <w:rsid w:val="002B6F8E"/>
    <w:rsid w:val="002C7469"/>
    <w:rsid w:val="002D31E1"/>
    <w:rsid w:val="002D52D1"/>
    <w:rsid w:val="002D7B97"/>
    <w:rsid w:val="002E234F"/>
    <w:rsid w:val="002F08B3"/>
    <w:rsid w:val="002F40A0"/>
    <w:rsid w:val="002F5198"/>
    <w:rsid w:val="00302737"/>
    <w:rsid w:val="00302CFD"/>
    <w:rsid w:val="00313870"/>
    <w:rsid w:val="00326E0F"/>
    <w:rsid w:val="00326F71"/>
    <w:rsid w:val="00351D4D"/>
    <w:rsid w:val="003570AB"/>
    <w:rsid w:val="003628E7"/>
    <w:rsid w:val="003679BF"/>
    <w:rsid w:val="00385F2B"/>
    <w:rsid w:val="0038680E"/>
    <w:rsid w:val="003965EF"/>
    <w:rsid w:val="003A01DC"/>
    <w:rsid w:val="003A080F"/>
    <w:rsid w:val="003A178B"/>
    <w:rsid w:val="003A2AA6"/>
    <w:rsid w:val="003B7BD5"/>
    <w:rsid w:val="003C708F"/>
    <w:rsid w:val="003C7FF1"/>
    <w:rsid w:val="003D097B"/>
    <w:rsid w:val="003D1192"/>
    <w:rsid w:val="003E542E"/>
    <w:rsid w:val="003E7519"/>
    <w:rsid w:val="003F50AD"/>
    <w:rsid w:val="00412D30"/>
    <w:rsid w:val="004279B6"/>
    <w:rsid w:val="00433CEA"/>
    <w:rsid w:val="0043612D"/>
    <w:rsid w:val="004542EC"/>
    <w:rsid w:val="004559BB"/>
    <w:rsid w:val="004604C3"/>
    <w:rsid w:val="0047552D"/>
    <w:rsid w:val="00477F92"/>
    <w:rsid w:val="004810AE"/>
    <w:rsid w:val="00483BBD"/>
    <w:rsid w:val="004A7D20"/>
    <w:rsid w:val="004B058F"/>
    <w:rsid w:val="004B0813"/>
    <w:rsid w:val="004C1E94"/>
    <w:rsid w:val="004D74F5"/>
    <w:rsid w:val="004F6196"/>
    <w:rsid w:val="00502AAC"/>
    <w:rsid w:val="00503DAD"/>
    <w:rsid w:val="00510078"/>
    <w:rsid w:val="00511772"/>
    <w:rsid w:val="00523739"/>
    <w:rsid w:val="005317FC"/>
    <w:rsid w:val="00533120"/>
    <w:rsid w:val="00540B11"/>
    <w:rsid w:val="00541485"/>
    <w:rsid w:val="005428C1"/>
    <w:rsid w:val="005429A8"/>
    <w:rsid w:val="005466E2"/>
    <w:rsid w:val="00546906"/>
    <w:rsid w:val="00547A78"/>
    <w:rsid w:val="00550602"/>
    <w:rsid w:val="005550EC"/>
    <w:rsid w:val="005639A9"/>
    <w:rsid w:val="00582463"/>
    <w:rsid w:val="00590529"/>
    <w:rsid w:val="005914E9"/>
    <w:rsid w:val="00596CB0"/>
    <w:rsid w:val="0059722A"/>
    <w:rsid w:val="005A5165"/>
    <w:rsid w:val="00601594"/>
    <w:rsid w:val="00606AA1"/>
    <w:rsid w:val="00621422"/>
    <w:rsid w:val="006238E0"/>
    <w:rsid w:val="006411AF"/>
    <w:rsid w:val="0065571B"/>
    <w:rsid w:val="00660E1B"/>
    <w:rsid w:val="00661B19"/>
    <w:rsid w:val="006836C6"/>
    <w:rsid w:val="00685444"/>
    <w:rsid w:val="006942C1"/>
    <w:rsid w:val="00694B97"/>
    <w:rsid w:val="00694C94"/>
    <w:rsid w:val="006B06E3"/>
    <w:rsid w:val="006B19EB"/>
    <w:rsid w:val="006B511E"/>
    <w:rsid w:val="006E19F6"/>
    <w:rsid w:val="006E7495"/>
    <w:rsid w:val="006F4114"/>
    <w:rsid w:val="006F6463"/>
    <w:rsid w:val="0070276E"/>
    <w:rsid w:val="00707024"/>
    <w:rsid w:val="007138F5"/>
    <w:rsid w:val="00714463"/>
    <w:rsid w:val="00717E59"/>
    <w:rsid w:val="0072461A"/>
    <w:rsid w:val="00724D3D"/>
    <w:rsid w:val="00757526"/>
    <w:rsid w:val="00763E5D"/>
    <w:rsid w:val="00771D14"/>
    <w:rsid w:val="00772721"/>
    <w:rsid w:val="00774EC9"/>
    <w:rsid w:val="00796FB8"/>
    <w:rsid w:val="007A0974"/>
    <w:rsid w:val="007A1627"/>
    <w:rsid w:val="007A27EE"/>
    <w:rsid w:val="007A4CAE"/>
    <w:rsid w:val="007C5A29"/>
    <w:rsid w:val="007C6CD0"/>
    <w:rsid w:val="007D09A4"/>
    <w:rsid w:val="0081035A"/>
    <w:rsid w:val="008277ED"/>
    <w:rsid w:val="00834819"/>
    <w:rsid w:val="00841D17"/>
    <w:rsid w:val="00850088"/>
    <w:rsid w:val="00851E4B"/>
    <w:rsid w:val="008620F7"/>
    <w:rsid w:val="0087007A"/>
    <w:rsid w:val="00876CBF"/>
    <w:rsid w:val="00877484"/>
    <w:rsid w:val="008B110E"/>
    <w:rsid w:val="008B63D2"/>
    <w:rsid w:val="008D03F3"/>
    <w:rsid w:val="008D3F53"/>
    <w:rsid w:val="008D677B"/>
    <w:rsid w:val="008E6E54"/>
    <w:rsid w:val="008F3190"/>
    <w:rsid w:val="009014F7"/>
    <w:rsid w:val="009154F4"/>
    <w:rsid w:val="00915665"/>
    <w:rsid w:val="009158E4"/>
    <w:rsid w:val="009245F3"/>
    <w:rsid w:val="00927A40"/>
    <w:rsid w:val="00930000"/>
    <w:rsid w:val="009372D5"/>
    <w:rsid w:val="009558FC"/>
    <w:rsid w:val="00956BEA"/>
    <w:rsid w:val="009872B1"/>
    <w:rsid w:val="00992ECD"/>
    <w:rsid w:val="009B059E"/>
    <w:rsid w:val="009B42DE"/>
    <w:rsid w:val="009B44FA"/>
    <w:rsid w:val="009D0FF1"/>
    <w:rsid w:val="009D4A3F"/>
    <w:rsid w:val="009E41C5"/>
    <w:rsid w:val="009E56D4"/>
    <w:rsid w:val="009F5BFF"/>
    <w:rsid w:val="00A16408"/>
    <w:rsid w:val="00A24DE0"/>
    <w:rsid w:val="00A31860"/>
    <w:rsid w:val="00A34BBA"/>
    <w:rsid w:val="00A35CDD"/>
    <w:rsid w:val="00A44968"/>
    <w:rsid w:val="00A679A9"/>
    <w:rsid w:val="00A73104"/>
    <w:rsid w:val="00A75AB7"/>
    <w:rsid w:val="00A77C83"/>
    <w:rsid w:val="00A854FA"/>
    <w:rsid w:val="00A85E6C"/>
    <w:rsid w:val="00A86644"/>
    <w:rsid w:val="00A92C30"/>
    <w:rsid w:val="00A93BC2"/>
    <w:rsid w:val="00A96381"/>
    <w:rsid w:val="00AA30DA"/>
    <w:rsid w:val="00AA5059"/>
    <w:rsid w:val="00AA5AB9"/>
    <w:rsid w:val="00AB5702"/>
    <w:rsid w:val="00AC3DA4"/>
    <w:rsid w:val="00AD73AE"/>
    <w:rsid w:val="00AE261C"/>
    <w:rsid w:val="00AE786A"/>
    <w:rsid w:val="00AF01CB"/>
    <w:rsid w:val="00B06E73"/>
    <w:rsid w:val="00B105B2"/>
    <w:rsid w:val="00B13A72"/>
    <w:rsid w:val="00B21683"/>
    <w:rsid w:val="00B304F3"/>
    <w:rsid w:val="00B31926"/>
    <w:rsid w:val="00B44106"/>
    <w:rsid w:val="00B4758F"/>
    <w:rsid w:val="00B62336"/>
    <w:rsid w:val="00B679D4"/>
    <w:rsid w:val="00B67A16"/>
    <w:rsid w:val="00B711C4"/>
    <w:rsid w:val="00B77980"/>
    <w:rsid w:val="00B90BF3"/>
    <w:rsid w:val="00B93EF2"/>
    <w:rsid w:val="00B96003"/>
    <w:rsid w:val="00BA13CF"/>
    <w:rsid w:val="00BB551D"/>
    <w:rsid w:val="00BC4FCB"/>
    <w:rsid w:val="00BD4512"/>
    <w:rsid w:val="00BE20A4"/>
    <w:rsid w:val="00BF0DC7"/>
    <w:rsid w:val="00BF135F"/>
    <w:rsid w:val="00C01E83"/>
    <w:rsid w:val="00C26663"/>
    <w:rsid w:val="00C40BCD"/>
    <w:rsid w:val="00C63158"/>
    <w:rsid w:val="00C660C4"/>
    <w:rsid w:val="00C674A9"/>
    <w:rsid w:val="00C755D7"/>
    <w:rsid w:val="00C8203C"/>
    <w:rsid w:val="00C84B06"/>
    <w:rsid w:val="00CA79BB"/>
    <w:rsid w:val="00CC6FD7"/>
    <w:rsid w:val="00CE1BB6"/>
    <w:rsid w:val="00CE3F9B"/>
    <w:rsid w:val="00CF3CCE"/>
    <w:rsid w:val="00D07D4C"/>
    <w:rsid w:val="00D20312"/>
    <w:rsid w:val="00D268F7"/>
    <w:rsid w:val="00D44CAC"/>
    <w:rsid w:val="00D73B5B"/>
    <w:rsid w:val="00D770E3"/>
    <w:rsid w:val="00D84ECA"/>
    <w:rsid w:val="00D85C3D"/>
    <w:rsid w:val="00D85E1C"/>
    <w:rsid w:val="00D91112"/>
    <w:rsid w:val="00DA16C3"/>
    <w:rsid w:val="00DB6BA9"/>
    <w:rsid w:val="00DC0970"/>
    <w:rsid w:val="00DC487E"/>
    <w:rsid w:val="00DD66D0"/>
    <w:rsid w:val="00DF0238"/>
    <w:rsid w:val="00DF0361"/>
    <w:rsid w:val="00DF12A7"/>
    <w:rsid w:val="00DF1559"/>
    <w:rsid w:val="00DF1B70"/>
    <w:rsid w:val="00DF6275"/>
    <w:rsid w:val="00E21A26"/>
    <w:rsid w:val="00E25B4C"/>
    <w:rsid w:val="00E34396"/>
    <w:rsid w:val="00E560F6"/>
    <w:rsid w:val="00E65251"/>
    <w:rsid w:val="00E675E3"/>
    <w:rsid w:val="00E67EE3"/>
    <w:rsid w:val="00E7035E"/>
    <w:rsid w:val="00E70D5B"/>
    <w:rsid w:val="00E738E9"/>
    <w:rsid w:val="00E775B6"/>
    <w:rsid w:val="00E97BDC"/>
    <w:rsid w:val="00EA3FE4"/>
    <w:rsid w:val="00EC2C31"/>
    <w:rsid w:val="00EC4349"/>
    <w:rsid w:val="00EC670E"/>
    <w:rsid w:val="00ED5DD3"/>
    <w:rsid w:val="00ED6351"/>
    <w:rsid w:val="00ED6E8D"/>
    <w:rsid w:val="00EE5730"/>
    <w:rsid w:val="00EF61EE"/>
    <w:rsid w:val="00F03ED3"/>
    <w:rsid w:val="00F2637A"/>
    <w:rsid w:val="00F43C8F"/>
    <w:rsid w:val="00F61F02"/>
    <w:rsid w:val="00F8197B"/>
    <w:rsid w:val="00F850BB"/>
    <w:rsid w:val="00F91EB6"/>
    <w:rsid w:val="00F94A4F"/>
    <w:rsid w:val="00FA2DEE"/>
    <w:rsid w:val="00FA2ED2"/>
    <w:rsid w:val="00FA61B4"/>
    <w:rsid w:val="00FB05D3"/>
    <w:rsid w:val="00FB5343"/>
    <w:rsid w:val="00FC577C"/>
    <w:rsid w:val="00FE7F58"/>
    <w:rsid w:val="00FF2D1E"/>
    <w:rsid w:val="00FF2D5D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317FC"/>
    <w:rPr>
      <w:i/>
      <w:iCs/>
    </w:rPr>
  </w:style>
  <w:style w:type="paragraph" w:styleId="Revision">
    <w:name w:val="Revision"/>
    <w:hidden/>
    <w:uiPriority w:val="99"/>
    <w:semiHidden/>
    <w:rsid w:val="004604C3"/>
  </w:style>
  <w:style w:type="paragraph" w:styleId="NormalWeb">
    <w:name w:val="Normal (Web)"/>
    <w:basedOn w:val="Normal"/>
    <w:uiPriority w:val="99"/>
    <w:unhideWhenUsed/>
    <w:rsid w:val="00542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4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cob.12440" TargetMode="External"/><Relationship Id="rId3" Type="http://schemas.openxmlformats.org/officeDocument/2006/relationships/hyperlink" Target="https://doi.org/10.1001/archpsyc.63.7.824" TargetMode="External"/><Relationship Id="rId7" Type="http://schemas.openxmlformats.org/officeDocument/2006/relationships/hyperlink" Target="https://doi.org/10.1001/archpsyc.63.7.824" TargetMode="External"/><Relationship Id="rId2" Type="http://schemas.openxmlformats.org/officeDocument/2006/relationships/hyperlink" Target="https://doi.org/10.1016/j.ecl.2016.04.016" TargetMode="External"/><Relationship Id="rId1" Type="http://schemas.openxmlformats.org/officeDocument/2006/relationships/hyperlink" Target="https://www.psychiatryadvisor.com/home/conference-highlights/aaic-2015-coverage/mental-illness-and-obesity/" TargetMode="External"/><Relationship Id="rId6" Type="http://schemas.openxmlformats.org/officeDocument/2006/relationships/hyperlink" Target="https://www.ncbi.nlm.nih.gov/pmc/articles/PMC3849872/" TargetMode="External"/><Relationship Id="rId11" Type="http://schemas.openxmlformats.org/officeDocument/2006/relationships/hyperlink" Target="https://www.cdc.gov/places/methodology/" TargetMode="External"/><Relationship Id="rId5" Type="http://schemas.openxmlformats.org/officeDocument/2006/relationships/hyperlink" Target="https://www.obesityaction.org/community/article-library/weight-bias-and-discrimination-a-challenge-for-healthcare-providers" TargetMode="External"/><Relationship Id="rId10" Type="http://schemas.openxmlformats.org/officeDocument/2006/relationships/hyperlink" Target="https://www.cdc.gov/places/measure-definitions" TargetMode="External"/><Relationship Id="rId4" Type="http://schemas.openxmlformats.org/officeDocument/2006/relationships/hyperlink" Target="https://www.cdc.gov/places/methodology/" TargetMode="External"/><Relationship Id="rId9" Type="http://schemas.openxmlformats.org/officeDocument/2006/relationships/hyperlink" Target="https://www.cdc.gov/places/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24</cp:revision>
  <dcterms:created xsi:type="dcterms:W3CDTF">2021-11-14T19:03:00Z</dcterms:created>
  <dcterms:modified xsi:type="dcterms:W3CDTF">2021-12-07T20:13:00Z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