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74164620" w:rsidR="002B6F8E" w:rsidRDefault="002B6F8E">
      <w:r w:rsidRPr="00AE261C">
        <w:rPr>
          <w:b/>
          <w:bCs/>
        </w:rPr>
        <w:t>Measure Name</w:t>
      </w:r>
      <w:r w:rsidR="00D44CAC">
        <w:t>:</w:t>
      </w:r>
      <w:r w:rsidR="00531841">
        <w:t xml:space="preserve">  </w:t>
      </w:r>
      <w:r w:rsidR="00531841" w:rsidRPr="00CF1CDB">
        <w:t>Poor Mental Health</w:t>
      </w:r>
      <w:r w:rsidR="00531841">
        <w:t xml:space="preserve"> </w:t>
      </w:r>
    </w:p>
    <w:p w14:paraId="0D41E867" w14:textId="77777777" w:rsidR="00AA5AB9" w:rsidRDefault="00AA5AB9"/>
    <w:p w14:paraId="100E41DE" w14:textId="7162A38C" w:rsidR="00EC670E" w:rsidRDefault="002B6F8E">
      <w:r w:rsidRPr="00AE261C">
        <w:rPr>
          <w:b/>
          <w:bCs/>
        </w:rPr>
        <w:t>Short Measure Description</w:t>
      </w:r>
      <w:r w:rsidR="00D44CAC">
        <w:t>:</w:t>
      </w:r>
      <w:r w:rsidR="00531841">
        <w:t xml:space="preserve"> </w:t>
      </w:r>
      <w:r w:rsidR="005617BB">
        <w:t xml:space="preserve">Percent </w:t>
      </w:r>
      <w:r w:rsidR="00EF7F7F">
        <w:t xml:space="preserve">of adults </w:t>
      </w:r>
      <w:r w:rsidR="007A08BC">
        <w:t xml:space="preserve">reporting 14 or more days of poor mental health </w:t>
      </w:r>
      <w:r w:rsidR="00F6721F">
        <w:t>in the past 30 days</w:t>
      </w:r>
      <w:r w:rsidR="005F2F0B">
        <w:t xml:space="preserve"> (calculated as a crude prevalence)</w:t>
      </w:r>
      <w:r w:rsidR="007A08BC">
        <w:t xml:space="preserve">. </w:t>
      </w:r>
    </w:p>
    <w:p w14:paraId="285F7F9C" w14:textId="72AF4EE6" w:rsidR="002B6F8E" w:rsidRDefault="002B6F8E"/>
    <w:p w14:paraId="4A72B57B" w14:textId="4F4BC260" w:rsidR="002B6F8E" w:rsidRPr="00D44CAC" w:rsidRDefault="00C63158"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</w:t>
      </w:r>
      <w:r w:rsidR="009372D5">
        <w:rPr>
          <w:b/>
          <w:bCs/>
        </w:rPr>
        <w:t>(s)</w:t>
      </w:r>
      <w:r w:rsidR="00D44CAC">
        <w:t>:</w:t>
      </w:r>
    </w:p>
    <w:p w14:paraId="28901B57" w14:textId="77777777" w:rsidR="00427925" w:rsidRDefault="00427925" w:rsidP="00427925">
      <w:pPr>
        <w:pStyle w:val="ListParagraph"/>
        <w:numPr>
          <w:ilvl w:val="0"/>
          <w:numId w:val="8"/>
        </w:numPr>
      </w:pPr>
      <w:r w:rsidRPr="009014F7">
        <w:rPr>
          <w:u w:val="single"/>
        </w:rPr>
        <w:t>Name</w:t>
      </w:r>
      <w:r>
        <w:t>: The Centers for Disease Control and Prevention (CDC) Behavioral Risk Factor Surveillance System (</w:t>
      </w:r>
      <w:r w:rsidRPr="002F2AE8">
        <w:t>BRFSS</w:t>
      </w:r>
      <w:r>
        <w:t xml:space="preserve">), accessed via the </w:t>
      </w:r>
      <w:r w:rsidRPr="002F2AE8">
        <w:t>PLACES</w:t>
      </w:r>
      <w:r>
        <w:t xml:space="preserve"> Project Data Portal</w:t>
      </w:r>
    </w:p>
    <w:p w14:paraId="3B759CF1" w14:textId="77777777" w:rsidR="00427925" w:rsidRPr="00433CEA" w:rsidRDefault="00427925" w:rsidP="00427925">
      <w:pPr>
        <w:pStyle w:val="ListParagraph"/>
      </w:pPr>
      <w:r w:rsidRPr="009539F8">
        <w:rPr>
          <w:u w:val="single"/>
        </w:rPr>
        <w:t>Link to Source</w:t>
      </w:r>
      <w:r>
        <w:t xml:space="preserve">: </w:t>
      </w:r>
      <w:hyperlink r:id="rId11" w:history="1">
        <w:r w:rsidRPr="009539F8">
          <w:rPr>
            <w:rStyle w:val="Hyperlink"/>
            <w:rFonts w:ascii="Calibri" w:eastAsia="Times New Roman" w:hAnsi="Calibri" w:cs="Calibri"/>
            <w:sz w:val="22"/>
            <w:szCs w:val="22"/>
          </w:rPr>
          <w:t>https://chronicdata.cdc.gov/browse?category=500+Cities+%26+Places&amp;sortBy=newest&amp;utf8</w:t>
        </w:r>
      </w:hyperlink>
      <w:r w:rsidRPr="009539F8">
        <w:rPr>
          <w:rFonts w:ascii="Calibri" w:eastAsia="Times New Roman" w:hAnsi="Calibri" w:cs="Calibri"/>
          <w:color w:val="0563C1"/>
          <w:sz w:val="22"/>
          <w:szCs w:val="22"/>
          <w:u w:val="single"/>
        </w:rPr>
        <w:t xml:space="preserve"> </w:t>
      </w:r>
    </w:p>
    <w:p w14:paraId="07E14D5F" w14:textId="77777777" w:rsidR="00531841" w:rsidRDefault="00531841">
      <w:pPr>
        <w:rPr>
          <w:b/>
          <w:bCs/>
        </w:rPr>
      </w:pPr>
    </w:p>
    <w:p w14:paraId="06D4C025" w14:textId="53AE1C36" w:rsidR="002B6F8E" w:rsidRPr="00082B14" w:rsidRDefault="002B6F8E">
      <w:pPr>
        <w:rPr>
          <w:b/>
          <w:bCs/>
        </w:rPr>
      </w:pPr>
      <w:r>
        <w:rPr>
          <w:b/>
          <w:bCs/>
        </w:rPr>
        <w:t>Year</w:t>
      </w:r>
      <w:r w:rsidR="000F2278">
        <w:rPr>
          <w:b/>
          <w:bCs/>
        </w:rPr>
        <w:t>(s)</w:t>
      </w:r>
      <w:r w:rsidR="00082B14">
        <w:rPr>
          <w:b/>
          <w:bCs/>
        </w:rPr>
        <w:t>:</w:t>
      </w:r>
      <w:r w:rsidR="001B5F77">
        <w:rPr>
          <w:b/>
          <w:bCs/>
        </w:rPr>
        <w:t xml:space="preserve"> </w:t>
      </w:r>
      <w:r w:rsidR="00EC211E">
        <w:t>2018</w:t>
      </w:r>
    </w:p>
    <w:p w14:paraId="169D6C46" w14:textId="2812697E" w:rsidR="002B6F8E" w:rsidRDefault="002B6F8E"/>
    <w:p w14:paraId="3A134C16" w14:textId="24A1CCBD" w:rsidR="00DA16C3" w:rsidRDefault="00546BBA">
      <w:r>
        <w:rPr>
          <w:b/>
          <w:bCs/>
        </w:rPr>
        <w:t xml:space="preserve">Source </w:t>
      </w:r>
      <w:r w:rsidR="00C63158">
        <w:rPr>
          <w:b/>
          <w:bCs/>
        </w:rPr>
        <w:t>Geographic Level</w:t>
      </w:r>
      <w:r w:rsidR="00E775B6">
        <w:t xml:space="preserve">: </w:t>
      </w:r>
      <w:r w:rsidR="00531841">
        <w:t>Z</w:t>
      </w:r>
      <w:r w:rsidR="00570EF6">
        <w:t xml:space="preserve">ip </w:t>
      </w:r>
      <w:r w:rsidR="00531841">
        <w:t>C</w:t>
      </w:r>
      <w:r w:rsidR="00570EF6">
        <w:t xml:space="preserve">ode </w:t>
      </w:r>
      <w:r w:rsidR="00531841">
        <w:t>T</w:t>
      </w:r>
      <w:r w:rsidR="00570EF6">
        <w:t xml:space="preserve">abulation </w:t>
      </w:r>
      <w:r w:rsidR="00531841">
        <w:t>A</w:t>
      </w:r>
      <w:r w:rsidR="00570EF6">
        <w:t>rea</w:t>
      </w:r>
      <w:r w:rsidR="00414467">
        <w:t xml:space="preserve"> (ZCTA)</w:t>
      </w:r>
    </w:p>
    <w:p w14:paraId="17DDA767" w14:textId="77777777" w:rsidR="00C63158" w:rsidRDefault="00C63158">
      <w:pPr>
        <w:rPr>
          <w:b/>
          <w:bCs/>
        </w:rPr>
      </w:pPr>
    </w:p>
    <w:p w14:paraId="40A78922" w14:textId="61CFEE41" w:rsidR="00302737" w:rsidRDefault="00570EF6" w:rsidP="00CF1CDB">
      <w:r>
        <w:rPr>
          <w:b/>
          <w:bCs/>
        </w:rPr>
        <w:t>Stratification</w:t>
      </w:r>
      <w:r w:rsidR="00F8197B">
        <w:t>:</w:t>
      </w:r>
      <w:r>
        <w:t xml:space="preserve"> </w:t>
      </w:r>
      <w:r w:rsidR="00302737">
        <w:t>No</w:t>
      </w:r>
      <w:r w:rsidR="00FE1C5C">
        <w:t>t available</w:t>
      </w:r>
    </w:p>
    <w:p w14:paraId="76226322" w14:textId="3B492108" w:rsidR="002B6F8E" w:rsidRDefault="002B6F8E"/>
    <w:p w14:paraId="56EBA2EF" w14:textId="15234F12" w:rsidR="00FF336F" w:rsidRDefault="0070276E" w:rsidP="00AA30DA">
      <w:r w:rsidRPr="00AE261C">
        <w:rPr>
          <w:b/>
          <w:bCs/>
        </w:rPr>
        <w:t>Selection Rationale</w:t>
      </w:r>
      <w:r w:rsidR="002649BE">
        <w:rPr>
          <w:b/>
          <w:bCs/>
        </w:rPr>
        <w:t>:</w:t>
      </w:r>
      <w:r w:rsidR="005F1B58">
        <w:rPr>
          <w:b/>
          <w:bCs/>
        </w:rPr>
        <w:t xml:space="preserve"> </w:t>
      </w:r>
      <w:r w:rsidR="00BB1D60">
        <w:t xml:space="preserve"> </w:t>
      </w:r>
      <w:r w:rsidR="004A0D63">
        <w:t xml:space="preserve">Poor mental health </w:t>
      </w:r>
      <w:r w:rsidR="000D7C5D">
        <w:t xml:space="preserve">captures the population prevalence of </w:t>
      </w:r>
      <w:r w:rsidR="00C34E93">
        <w:t xml:space="preserve">those reporting the experience of at least 14 days of poor mental health out of </w:t>
      </w:r>
      <w:r w:rsidR="000D181B">
        <w:t>30 days in a month, a direct measure of mental wellness.</w:t>
      </w:r>
      <w:r w:rsidR="000D7C5D">
        <w:t xml:space="preserve"> </w:t>
      </w:r>
      <w:bookmarkStart w:id="0" w:name="_Hlk75876421"/>
    </w:p>
    <w:bookmarkEnd w:id="0"/>
    <w:p w14:paraId="6E9D0D39" w14:textId="77777777" w:rsidR="00CA197F" w:rsidRDefault="00CA197F">
      <w:pPr>
        <w:rPr>
          <w:b/>
          <w:bCs/>
        </w:rPr>
      </w:pPr>
    </w:p>
    <w:p w14:paraId="10D8FD63" w14:textId="6FEEA0BD" w:rsidR="00181F4B" w:rsidRPr="00B21683" w:rsidRDefault="00181F4B">
      <w:r>
        <w:rPr>
          <w:b/>
          <w:bCs/>
        </w:rPr>
        <w:t>Strengths and Limitations</w:t>
      </w:r>
      <w:r>
        <w:t xml:space="preserve"> </w:t>
      </w:r>
    </w:p>
    <w:p w14:paraId="4F0B9C6C" w14:textId="77777777" w:rsidR="009C00D0" w:rsidRDefault="00D85C3D" w:rsidP="009C00D0">
      <w:pPr>
        <w:pStyle w:val="ListParagraph"/>
        <w:numPr>
          <w:ilvl w:val="0"/>
          <w:numId w:val="14"/>
        </w:numPr>
        <w:rPr>
          <w:bCs/>
        </w:rPr>
      </w:pPr>
      <w:r w:rsidRPr="00B21683">
        <w:rPr>
          <w:b/>
        </w:rPr>
        <w:t>Strengths</w:t>
      </w:r>
      <w:r w:rsidRPr="00B21683">
        <w:rPr>
          <w:bCs/>
        </w:rPr>
        <w:t xml:space="preserve">: </w:t>
      </w:r>
    </w:p>
    <w:p w14:paraId="3D215FA9" w14:textId="14AB880A" w:rsidR="00FE591D" w:rsidRDefault="00840941" w:rsidP="00B21683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Importance</w:t>
      </w:r>
      <w:r>
        <w:rPr>
          <w:bCs/>
        </w:rPr>
        <w:t xml:space="preserve">] </w:t>
      </w:r>
      <w:r w:rsidR="0021202B">
        <w:rPr>
          <w:bCs/>
        </w:rPr>
        <w:t>&amp; [</w:t>
      </w:r>
      <w:r w:rsidR="0021202B">
        <w:rPr>
          <w:bCs/>
          <w:i/>
          <w:iCs/>
        </w:rPr>
        <w:t>Relevance &amp; Usability]</w:t>
      </w:r>
      <w:r w:rsidR="0021202B">
        <w:rPr>
          <w:bCs/>
        </w:rPr>
        <w:t xml:space="preserve"> </w:t>
      </w:r>
      <w:r w:rsidR="00B90B91">
        <w:rPr>
          <w:bCs/>
        </w:rPr>
        <w:t xml:space="preserve">Self-reported poor mental health days is a direct measure of mental </w:t>
      </w:r>
      <w:r w:rsidR="00771423">
        <w:rPr>
          <w:bCs/>
        </w:rPr>
        <w:t>health status</w:t>
      </w:r>
      <w:r w:rsidR="0021202B">
        <w:rPr>
          <w:bCs/>
        </w:rPr>
        <w:t xml:space="preserve"> that</w:t>
      </w:r>
      <w:r w:rsidR="006A7195">
        <w:rPr>
          <w:bCs/>
        </w:rPr>
        <w:t xml:space="preserve"> is essential to understanding </w:t>
      </w:r>
      <w:r w:rsidR="0072492D">
        <w:rPr>
          <w:bCs/>
        </w:rPr>
        <w:t>community</w:t>
      </w:r>
      <w:r w:rsidR="00771423">
        <w:rPr>
          <w:bCs/>
        </w:rPr>
        <w:t xml:space="preserve"> mental wellness</w:t>
      </w:r>
      <w:r w:rsidR="0072492D">
        <w:rPr>
          <w:bCs/>
        </w:rPr>
        <w:t>.</w:t>
      </w:r>
    </w:p>
    <w:p w14:paraId="264AC4B9" w14:textId="77777777" w:rsidR="005A27AB" w:rsidRPr="0063182C" w:rsidRDefault="005A27AB" w:rsidP="005A27AB">
      <w:pPr>
        <w:pStyle w:val="ListParagraph"/>
        <w:numPr>
          <w:ilvl w:val="1"/>
          <w:numId w:val="14"/>
        </w:numPr>
        <w:rPr>
          <w:i/>
          <w:iCs/>
        </w:rPr>
      </w:pPr>
      <w:r w:rsidRPr="00B87EF5">
        <w:t>[</w:t>
      </w:r>
      <w:r w:rsidRPr="0063182C">
        <w:rPr>
          <w:i/>
          <w:iCs/>
        </w:rPr>
        <w:t>Feasibility</w:t>
      </w:r>
      <w:r w:rsidRPr="00B87EF5">
        <w:t>]</w:t>
      </w:r>
      <w:r w:rsidRPr="0063182C">
        <w:rPr>
          <w:i/>
          <w:iCs/>
        </w:rPr>
        <w:t xml:space="preserve"> </w:t>
      </w:r>
      <w:r>
        <w:rPr>
          <w:bCs/>
        </w:rPr>
        <w:t>T</w:t>
      </w:r>
      <w:r w:rsidRPr="0063182C">
        <w:rPr>
          <w:bCs/>
        </w:rPr>
        <w:t xml:space="preserve">he data </w:t>
      </w:r>
      <w:r>
        <w:rPr>
          <w:bCs/>
        </w:rPr>
        <w:t>are</w:t>
      </w:r>
      <w:r w:rsidRPr="0063182C">
        <w:rPr>
          <w:bCs/>
        </w:rPr>
        <w:t xml:space="preserve"> easily downloadable from PLACES and maintained by the CDC Division of Population Health, Epidemiology and Surveillance Branch.</w:t>
      </w:r>
    </w:p>
    <w:p w14:paraId="713AA184" w14:textId="5CE9D002" w:rsidR="001F5150" w:rsidRPr="00764C71" w:rsidRDefault="001F5150" w:rsidP="00764C71">
      <w:pPr>
        <w:pStyle w:val="ListParagraph"/>
        <w:numPr>
          <w:ilvl w:val="1"/>
          <w:numId w:val="14"/>
        </w:numPr>
        <w:rPr>
          <w:i/>
          <w:iCs/>
        </w:rPr>
      </w:pPr>
      <w:r w:rsidRPr="001E7882">
        <w:t>[</w:t>
      </w:r>
      <w:r w:rsidRPr="00523D01">
        <w:rPr>
          <w:i/>
          <w:iCs/>
        </w:rPr>
        <w:t>Scientific Soundness</w:t>
      </w:r>
      <w:r w:rsidRPr="001E7882">
        <w:t xml:space="preserve">] </w:t>
      </w:r>
      <w:r>
        <w:rPr>
          <w:bCs/>
        </w:rPr>
        <w:t xml:space="preserve">The methods used by the CDC to generate these small area estimates accounts </w:t>
      </w:r>
      <w:r w:rsidRPr="0042641F">
        <w:rPr>
          <w:bCs/>
        </w:rPr>
        <w:t>for the associations between individual health outcomes, individual characteristics, and spatial contexts</w:t>
      </w:r>
      <w:r>
        <w:rPr>
          <w:bCs/>
        </w:rPr>
        <w:t>. CDC’s internal and external validation studies confirm strong consistency between small area estimates and direct BRFSS survey estimates at state and county levels.</w:t>
      </w:r>
      <w:r>
        <w:rPr>
          <w:rStyle w:val="FootnoteReference"/>
          <w:bCs/>
        </w:rPr>
        <w:t xml:space="preserve"> </w:t>
      </w:r>
      <w:r>
        <w:rPr>
          <w:rStyle w:val="FootnoteReference"/>
          <w:bCs/>
        </w:rPr>
        <w:footnoteReference w:id="2"/>
      </w:r>
      <w:r w:rsidRPr="00F871F2">
        <w:rPr>
          <w:bCs/>
        </w:rPr>
        <w:t xml:space="preserve"> </w:t>
      </w:r>
    </w:p>
    <w:p w14:paraId="455A071F" w14:textId="77777777" w:rsidR="005A44F4" w:rsidRPr="006B19EB" w:rsidRDefault="005A44F4" w:rsidP="005A44F4">
      <w:pPr>
        <w:pStyle w:val="ListParagraph"/>
        <w:ind w:left="1440"/>
        <w:rPr>
          <w:bCs/>
        </w:rPr>
      </w:pPr>
    </w:p>
    <w:p w14:paraId="2E51B7B2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/>
        </w:rPr>
      </w:pPr>
      <w:r w:rsidRPr="00B21683">
        <w:rPr>
          <w:b/>
        </w:rPr>
        <w:t>Limitations</w:t>
      </w:r>
      <w:r w:rsidRPr="00B21683">
        <w:rPr>
          <w:bCs/>
        </w:rPr>
        <w:t>:</w:t>
      </w:r>
      <w:r w:rsidRPr="00B21683">
        <w:rPr>
          <w:b/>
        </w:rPr>
        <w:t xml:space="preserve"> </w:t>
      </w:r>
    </w:p>
    <w:p w14:paraId="5A4CAC54" w14:textId="3C22C624" w:rsidR="006B19EB" w:rsidRPr="00CF1CDB" w:rsidRDefault="00B03230" w:rsidP="00B21683">
      <w:pPr>
        <w:pStyle w:val="ListParagraph"/>
        <w:numPr>
          <w:ilvl w:val="1"/>
          <w:numId w:val="14"/>
        </w:numPr>
        <w:rPr>
          <w:bCs/>
        </w:rPr>
      </w:pPr>
      <w:r>
        <w:t>[</w:t>
      </w:r>
      <w:r w:rsidRPr="00EB3E85">
        <w:rPr>
          <w:i/>
          <w:iCs/>
        </w:rPr>
        <w:t>Equity</w:t>
      </w:r>
      <w:r>
        <w:t xml:space="preserve">] </w:t>
      </w:r>
      <w:r w:rsidR="006848F0" w:rsidRPr="00B03230">
        <w:t>People</w:t>
      </w:r>
      <w:r w:rsidR="006848F0">
        <w:t xml:space="preserve"> must be willing and able to spend time on the phone </w:t>
      </w:r>
      <w:r>
        <w:t>discussing their health with a stranger</w:t>
      </w:r>
      <w:r w:rsidR="00C37C6D">
        <w:t xml:space="preserve"> </w:t>
      </w:r>
      <w:proofErr w:type="gramStart"/>
      <w:r w:rsidR="00C37C6D">
        <w:t>in order to</w:t>
      </w:r>
      <w:proofErr w:type="gramEnd"/>
      <w:r w:rsidR="00C37C6D">
        <w:t xml:space="preserve"> participate in BRFSS surveys</w:t>
      </w:r>
      <w:r>
        <w:t xml:space="preserve">. </w:t>
      </w:r>
      <w:r w:rsidR="00A31311">
        <w:t xml:space="preserve">Stigma around mental health issues </w:t>
      </w:r>
      <w:r w:rsidR="002531DF">
        <w:t xml:space="preserve">is particularly high in some black communities, </w:t>
      </w:r>
      <w:r w:rsidR="002531DF">
        <w:lastRenderedPageBreak/>
        <w:t xml:space="preserve">meaning they may not </w:t>
      </w:r>
      <w:r w:rsidR="008443C3">
        <w:t>self-</w:t>
      </w:r>
      <w:r w:rsidR="002531DF">
        <w:t xml:space="preserve">report mental distress even if they are </w:t>
      </w:r>
      <w:r w:rsidR="008443C3">
        <w:t>experiencing it.</w:t>
      </w:r>
      <w:r w:rsidR="008443C3">
        <w:rPr>
          <w:rStyle w:val="FootnoteReference"/>
        </w:rPr>
        <w:footnoteReference w:id="3"/>
      </w:r>
      <w:r w:rsidR="00997A02">
        <w:t xml:space="preserve"> </w:t>
      </w:r>
    </w:p>
    <w:p w14:paraId="08FF1697" w14:textId="77777777" w:rsidR="00804F21" w:rsidRPr="00616E8F" w:rsidRDefault="00804F21" w:rsidP="00804F21">
      <w:pPr>
        <w:pStyle w:val="ListParagraph"/>
        <w:numPr>
          <w:ilvl w:val="1"/>
          <w:numId w:val="14"/>
        </w:numPr>
        <w:rPr>
          <w:i/>
          <w:iCs/>
        </w:rPr>
      </w:pPr>
      <w:r w:rsidRPr="001E7882">
        <w:t>[</w:t>
      </w:r>
      <w:r w:rsidRPr="00616E8F">
        <w:rPr>
          <w:i/>
          <w:iCs/>
        </w:rPr>
        <w:t>Relevance and Usability</w:t>
      </w:r>
      <w:r w:rsidRPr="001E7882">
        <w:t>]</w:t>
      </w:r>
      <w:r w:rsidRPr="00616E8F">
        <w:rPr>
          <w:i/>
          <w:iCs/>
        </w:rPr>
        <w:t xml:space="preserve"> </w:t>
      </w:r>
      <w:r>
        <w:rPr>
          <w:bCs/>
        </w:rPr>
        <w:t>This measure is a model-based estimate</w:t>
      </w:r>
      <w:r>
        <w:rPr>
          <w:rStyle w:val="FootnoteReference"/>
          <w:bCs/>
        </w:rPr>
        <w:footnoteReference w:id="4"/>
      </w:r>
      <w:r>
        <w:rPr>
          <w:bCs/>
        </w:rPr>
        <w:t>, so it may be difficult to interpret on its own.</w:t>
      </w:r>
    </w:p>
    <w:p w14:paraId="3D125ACC" w14:textId="77777777" w:rsidR="00804F21" w:rsidRPr="00616E8F" w:rsidRDefault="00804F21" w:rsidP="00804F21">
      <w:pPr>
        <w:pStyle w:val="ListParagraph"/>
        <w:numPr>
          <w:ilvl w:val="1"/>
          <w:numId w:val="14"/>
        </w:numPr>
        <w:rPr>
          <w:i/>
          <w:iCs/>
        </w:rPr>
      </w:pPr>
      <w:r w:rsidRPr="001E7882">
        <w:t>[</w:t>
      </w:r>
      <w:r w:rsidRPr="00616E8F">
        <w:rPr>
          <w:i/>
          <w:iCs/>
        </w:rPr>
        <w:t>Scientific Soundness</w:t>
      </w:r>
      <w:r w:rsidRPr="001E7882">
        <w:t>]</w:t>
      </w:r>
      <w:r w:rsidRPr="00616E8F">
        <w:rPr>
          <w:i/>
          <w:iCs/>
        </w:rPr>
        <w:t xml:space="preserve"> </w:t>
      </w:r>
      <w:r w:rsidRPr="00616E8F">
        <w:t>This measure is self-reported and depends on the accuracy of the person surveyed.</w:t>
      </w:r>
    </w:p>
    <w:p w14:paraId="043229F1" w14:textId="77777777" w:rsidR="00804F21" w:rsidRPr="00616E8F" w:rsidRDefault="00804F21" w:rsidP="00804F21">
      <w:pPr>
        <w:pStyle w:val="ListParagraph"/>
        <w:numPr>
          <w:ilvl w:val="1"/>
          <w:numId w:val="14"/>
        </w:numPr>
        <w:rPr>
          <w:i/>
          <w:iCs/>
        </w:rPr>
      </w:pPr>
      <w:r w:rsidRPr="001E7882">
        <w:t>[</w:t>
      </w:r>
      <w:r w:rsidRPr="00616E8F">
        <w:rPr>
          <w:i/>
          <w:iCs/>
        </w:rPr>
        <w:t>Scientific Soundness</w:t>
      </w:r>
      <w:r w:rsidRPr="001E7882">
        <w:t>]</w:t>
      </w:r>
      <w:r w:rsidRPr="00616E8F">
        <w:rPr>
          <w:i/>
          <w:iCs/>
        </w:rPr>
        <w:t xml:space="preserve"> </w:t>
      </w:r>
      <w:r w:rsidRPr="00616E8F">
        <w:t>Age adjusted prevalence is not available at the census tract level, so this data is reported as a crude prevalence.</w:t>
      </w:r>
      <w:r w:rsidRPr="00616E8F">
        <w:rPr>
          <w:i/>
          <w:iCs/>
        </w:rPr>
        <w:t xml:space="preserve"> </w:t>
      </w:r>
    </w:p>
    <w:p w14:paraId="507A78AC" w14:textId="05744A29" w:rsidR="00A16408" w:rsidRPr="00531841" w:rsidRDefault="00A16408" w:rsidP="00A16408">
      <w:pPr>
        <w:rPr>
          <w:highlight w:val="yellow"/>
        </w:rPr>
      </w:pPr>
    </w:p>
    <w:p w14:paraId="400BBB33" w14:textId="6DBA896C" w:rsidR="00A16408" w:rsidRPr="00CF1CDB" w:rsidRDefault="00A16408" w:rsidP="00A16408">
      <w:r w:rsidRPr="00CF1CDB">
        <w:rPr>
          <w:b/>
          <w:bCs/>
        </w:rPr>
        <w:t>Calculation</w:t>
      </w:r>
      <w:r w:rsidR="00FA2ED2" w:rsidRPr="00CF1CDB">
        <w:t>:</w:t>
      </w:r>
    </w:p>
    <w:p w14:paraId="04F33F0A" w14:textId="2F93CF46" w:rsidR="003F27B7" w:rsidRDefault="003F27B7" w:rsidP="00A16408">
      <w:pPr>
        <w:jc w:val="center"/>
      </w:pPr>
    </w:p>
    <w:p w14:paraId="08C3AFC3" w14:textId="72D978B7" w:rsidR="00934474" w:rsidRPr="00FE1C5C" w:rsidRDefault="00934474" w:rsidP="00934474">
      <w:pPr>
        <w:jc w:val="center"/>
        <w:rPr>
          <w:i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Poor mental health 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Respondents aged ≥18 years who report 14 or more days of poor mental health during the past 30 days</m:t>
              </m:r>
            </m:num>
            <m:den>
              <m:sSup>
                <m:sSupPr>
                  <m:ctrlPr>
                    <w:rPr>
                      <w:rFonts w:ascii="Cambria Math" w:hAnsi="Cambria Math" w:cs="Open Sans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Open Sans"/>
                      <w:color w:val="000000"/>
                      <w:sz w:val="18"/>
                      <w:szCs w:val="18"/>
                    </w:rPr>
                    <m:t xml:space="preserve">Respondents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aged ≥18 years </m:t>
                  </m:r>
                  <m:r>
                    <w:rPr>
                      <w:rFonts w:ascii="Cambria Math" w:hAnsi="Cambria Math" w:cs="Open Sans"/>
                      <w:color w:val="000000"/>
                      <w:sz w:val="18"/>
                      <w:szCs w:val="18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 w:cs="Open Sans"/>
                      <w:color w:val="000000"/>
                      <w:sz w:val="18"/>
                      <w:szCs w:val="18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sz w:val="18"/>
              <w:szCs w:val="18"/>
            </w:rPr>
            <m:t xml:space="preserve"> x 100%</m:t>
          </m:r>
        </m:oMath>
      </m:oMathPara>
    </w:p>
    <w:p w14:paraId="05B5318D" w14:textId="216DB4F4" w:rsidR="003F27B7" w:rsidRDefault="003F27B7" w:rsidP="00A16408">
      <w:pPr>
        <w:jc w:val="center"/>
      </w:pPr>
    </w:p>
    <w:p w14:paraId="7C225442" w14:textId="4C076E79" w:rsidR="0043612D" w:rsidRDefault="0043612D" w:rsidP="00A16408">
      <w:pPr>
        <w:jc w:val="center"/>
      </w:pPr>
    </w:p>
    <w:p w14:paraId="3B738F38" w14:textId="7E78DD68" w:rsidR="00D12B5D" w:rsidRDefault="00D12B5D" w:rsidP="00D12B5D">
      <w:r>
        <w:t xml:space="preserve">* Denominator </w:t>
      </w:r>
      <w:r w:rsidR="009653CC">
        <w:t xml:space="preserve">includes those who report or do not report </w:t>
      </w:r>
      <w:r w:rsidR="00EF6068">
        <w:t>the</w:t>
      </w:r>
      <w:r w:rsidR="009653CC">
        <w:t xml:space="preserve"> number of days during the past 30 days during which their mental health was not good, but </w:t>
      </w:r>
      <w:r>
        <w:t xml:space="preserve">excludes those who </w:t>
      </w:r>
      <w:r w:rsidRPr="0044446A">
        <w:t>refused to answer, had a missing answer, or answered “don’t know/not sure</w:t>
      </w:r>
      <w:r w:rsidRPr="005F4236">
        <w:t>”</w:t>
      </w:r>
      <w:r w:rsidR="005F4236" w:rsidRPr="005F4236">
        <w:t>.</w:t>
      </w:r>
      <w:r w:rsidR="005F4236" w:rsidRPr="005F4236">
        <w:rPr>
          <w:rStyle w:val="FootnoteReference"/>
        </w:rPr>
        <w:footnoteReference w:id="5"/>
      </w:r>
    </w:p>
    <w:p w14:paraId="5425F398" w14:textId="77777777" w:rsidR="0043612D" w:rsidRDefault="0043612D" w:rsidP="00A16408">
      <w:pPr>
        <w:jc w:val="center"/>
      </w:pPr>
    </w:p>
    <w:p w14:paraId="13E30927" w14:textId="5FC3BA67" w:rsidR="00594C04" w:rsidRDefault="00C048A4" w:rsidP="00594C04">
      <w:pPr>
        <w:rPr>
          <w:b/>
          <w:bCs/>
        </w:rPr>
      </w:pPr>
      <w:r>
        <w:t xml:space="preserve">Note - </w:t>
      </w:r>
      <w:r w:rsidR="00594C04" w:rsidRPr="00A50550">
        <w:t>BRFSS estimates the crude prevalence based on self-reports using small area estimation (SAE) and multilevel regression and poststratification (MRP) which links geocoded health surveys and high spatial resolution population demographic and socioeconomic data.</w:t>
      </w:r>
      <w:r w:rsidR="00594C04">
        <w:rPr>
          <w:rStyle w:val="FootnoteReference"/>
        </w:rPr>
        <w:footnoteReference w:id="6"/>
      </w:r>
      <w:r w:rsidR="00594C04" w:rsidDel="007801A3">
        <w:t xml:space="preserve"> </w:t>
      </w:r>
    </w:p>
    <w:p w14:paraId="1E9FAF92" w14:textId="77777777" w:rsidR="00A16408" w:rsidRDefault="00A16408" w:rsidP="00A16408">
      <w:pPr>
        <w:rPr>
          <w:b/>
          <w:bCs/>
        </w:rPr>
      </w:pPr>
    </w:p>
    <w:sectPr w:rsidR="00A1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309F9" w14:textId="77777777" w:rsidR="00B15487" w:rsidRDefault="00B15487" w:rsidP="00621422">
      <w:r>
        <w:separator/>
      </w:r>
    </w:p>
  </w:endnote>
  <w:endnote w:type="continuationSeparator" w:id="0">
    <w:p w14:paraId="2958DD4A" w14:textId="77777777" w:rsidR="00B15487" w:rsidRDefault="00B15487" w:rsidP="00621422">
      <w:r>
        <w:continuationSeparator/>
      </w:r>
    </w:p>
  </w:endnote>
  <w:endnote w:type="continuationNotice" w:id="1">
    <w:p w14:paraId="74976951" w14:textId="77777777" w:rsidR="00B15487" w:rsidRDefault="00B154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0B08E" w14:textId="77777777" w:rsidR="00B15487" w:rsidRDefault="00B15487" w:rsidP="00621422">
      <w:r>
        <w:separator/>
      </w:r>
    </w:p>
  </w:footnote>
  <w:footnote w:type="continuationSeparator" w:id="0">
    <w:p w14:paraId="745DBE36" w14:textId="77777777" w:rsidR="00B15487" w:rsidRDefault="00B15487" w:rsidP="00621422">
      <w:r>
        <w:continuationSeparator/>
      </w:r>
    </w:p>
  </w:footnote>
  <w:footnote w:type="continuationNotice" w:id="1">
    <w:p w14:paraId="65FACBA9" w14:textId="77777777" w:rsidR="00B15487" w:rsidRDefault="00B15487"/>
  </w:footnote>
  <w:footnote w:id="2">
    <w:p w14:paraId="2057BAE3" w14:textId="631FBA9B" w:rsidR="001F5150" w:rsidRPr="00453559" w:rsidRDefault="001F5150" w:rsidP="001F5150">
      <w:pPr>
        <w:pStyle w:val="FootnoteText"/>
        <w:ind w:left="720" w:hanging="720"/>
      </w:pPr>
      <w:r w:rsidRPr="00453559">
        <w:rPr>
          <w:rStyle w:val="FootnoteReference"/>
        </w:rPr>
        <w:footnoteRef/>
      </w:r>
      <w:r w:rsidRPr="00453559">
        <w:t xml:space="preserve"> Centers for Disease Control and Prevention. (2020</w:t>
      </w:r>
      <w:r w:rsidR="002554F8">
        <w:t>a</w:t>
      </w:r>
      <w:r w:rsidRPr="00453559">
        <w:t xml:space="preserve">, December 8). </w:t>
      </w:r>
      <w:r w:rsidRPr="00453559">
        <w:rPr>
          <w:i/>
          <w:iCs/>
        </w:rPr>
        <w:t>PLACES</w:t>
      </w:r>
      <w:r w:rsidRPr="00453559">
        <w:t xml:space="preserve"> </w:t>
      </w:r>
      <w:r w:rsidRPr="00453559">
        <w:rPr>
          <w:i/>
          <w:iCs/>
        </w:rPr>
        <w:t>Methodology</w:t>
      </w:r>
      <w:r w:rsidRPr="00453559">
        <w:t xml:space="preserve">.  </w:t>
      </w:r>
      <w:hyperlink r:id="rId1" w:history="1">
        <w:r w:rsidRPr="00453559">
          <w:rPr>
            <w:rStyle w:val="Hyperlink"/>
          </w:rPr>
          <w:t>https://www.cdc.gov/places/methodology/</w:t>
        </w:r>
      </w:hyperlink>
      <w:r w:rsidRPr="00453559">
        <w:t xml:space="preserve"> </w:t>
      </w:r>
    </w:p>
  </w:footnote>
  <w:footnote w:id="3">
    <w:p w14:paraId="195A1C08" w14:textId="510AB117" w:rsidR="008443C3" w:rsidRPr="00453559" w:rsidRDefault="008443C3" w:rsidP="002564D8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0"/>
          <w:szCs w:val="20"/>
        </w:rPr>
      </w:pPr>
      <w:r w:rsidRPr="00453559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453559">
        <w:rPr>
          <w:rFonts w:asciiTheme="minorHAnsi" w:hAnsiTheme="minorHAnsi" w:cstheme="minorHAnsi"/>
          <w:sz w:val="20"/>
          <w:szCs w:val="20"/>
        </w:rPr>
        <w:t xml:space="preserve"> </w:t>
      </w:r>
      <w:r w:rsidR="002564D8" w:rsidRPr="00453559">
        <w:rPr>
          <w:rFonts w:asciiTheme="minorHAnsi" w:hAnsiTheme="minorHAnsi" w:cstheme="minorHAnsi"/>
          <w:sz w:val="20"/>
          <w:szCs w:val="20"/>
        </w:rPr>
        <w:t>N</w:t>
      </w:r>
      <w:r w:rsidR="003B6EE2">
        <w:rPr>
          <w:rFonts w:asciiTheme="minorHAnsi" w:hAnsiTheme="minorHAnsi" w:cstheme="minorHAnsi"/>
          <w:sz w:val="20"/>
          <w:szCs w:val="20"/>
        </w:rPr>
        <w:t xml:space="preserve">ational </w:t>
      </w:r>
      <w:r w:rsidR="002564D8" w:rsidRPr="00453559">
        <w:rPr>
          <w:rFonts w:asciiTheme="minorHAnsi" w:hAnsiTheme="minorHAnsi" w:cstheme="minorHAnsi"/>
          <w:sz w:val="20"/>
          <w:szCs w:val="20"/>
        </w:rPr>
        <w:t>A</w:t>
      </w:r>
      <w:r w:rsidR="003B6EE2">
        <w:rPr>
          <w:rFonts w:asciiTheme="minorHAnsi" w:hAnsiTheme="minorHAnsi" w:cstheme="minorHAnsi"/>
          <w:sz w:val="20"/>
          <w:szCs w:val="20"/>
        </w:rPr>
        <w:t xml:space="preserve">lliance </w:t>
      </w:r>
      <w:r w:rsidR="00DB4806">
        <w:rPr>
          <w:rFonts w:asciiTheme="minorHAnsi" w:hAnsiTheme="minorHAnsi" w:cstheme="minorHAnsi"/>
          <w:sz w:val="20"/>
          <w:szCs w:val="20"/>
        </w:rPr>
        <w:t xml:space="preserve">on </w:t>
      </w:r>
      <w:r w:rsidR="002564D8" w:rsidRPr="00453559">
        <w:rPr>
          <w:rFonts w:asciiTheme="minorHAnsi" w:hAnsiTheme="minorHAnsi" w:cstheme="minorHAnsi"/>
          <w:sz w:val="20"/>
          <w:szCs w:val="20"/>
        </w:rPr>
        <w:t>M</w:t>
      </w:r>
      <w:r w:rsidR="00DB4806">
        <w:rPr>
          <w:rFonts w:asciiTheme="minorHAnsi" w:hAnsiTheme="minorHAnsi" w:cstheme="minorHAnsi"/>
          <w:sz w:val="20"/>
          <w:szCs w:val="20"/>
        </w:rPr>
        <w:t xml:space="preserve">ental </w:t>
      </w:r>
      <w:r w:rsidR="002564D8" w:rsidRPr="00453559">
        <w:rPr>
          <w:rFonts w:asciiTheme="minorHAnsi" w:hAnsiTheme="minorHAnsi" w:cstheme="minorHAnsi"/>
          <w:sz w:val="20"/>
          <w:szCs w:val="20"/>
        </w:rPr>
        <w:t>I</w:t>
      </w:r>
      <w:r w:rsidR="00DB4806">
        <w:rPr>
          <w:rFonts w:asciiTheme="minorHAnsi" w:hAnsiTheme="minorHAnsi" w:cstheme="minorHAnsi"/>
          <w:sz w:val="20"/>
          <w:szCs w:val="20"/>
        </w:rPr>
        <w:t>llness</w:t>
      </w:r>
      <w:r w:rsidR="002564D8" w:rsidRPr="00453559">
        <w:rPr>
          <w:rFonts w:asciiTheme="minorHAnsi" w:hAnsiTheme="minorHAnsi" w:cstheme="minorHAnsi"/>
          <w:sz w:val="20"/>
          <w:szCs w:val="20"/>
        </w:rPr>
        <w:t>.</w:t>
      </w:r>
      <w:r w:rsidR="00D1150C">
        <w:rPr>
          <w:rFonts w:asciiTheme="minorHAnsi" w:hAnsiTheme="minorHAnsi" w:cstheme="minorHAnsi"/>
          <w:sz w:val="20"/>
          <w:szCs w:val="20"/>
        </w:rPr>
        <w:t xml:space="preserve"> (2017).</w:t>
      </w:r>
      <w:r w:rsidR="002564D8" w:rsidRPr="00453559">
        <w:rPr>
          <w:rFonts w:asciiTheme="minorHAnsi" w:hAnsiTheme="minorHAnsi" w:cstheme="minorHAnsi"/>
          <w:sz w:val="20"/>
          <w:szCs w:val="20"/>
        </w:rPr>
        <w:t xml:space="preserve"> </w:t>
      </w:r>
      <w:r w:rsidR="00113353" w:rsidRPr="00DB4441">
        <w:rPr>
          <w:rFonts w:asciiTheme="minorHAnsi" w:hAnsiTheme="minorHAnsi" w:cstheme="minorHAnsi"/>
          <w:i/>
          <w:iCs/>
          <w:sz w:val="20"/>
          <w:szCs w:val="20"/>
        </w:rPr>
        <w:t>African Americans</w:t>
      </w:r>
      <w:r w:rsidR="00D1150C" w:rsidRPr="00DB4441">
        <w:rPr>
          <w:rFonts w:asciiTheme="minorHAnsi" w:hAnsiTheme="minorHAnsi" w:cstheme="minorHAnsi"/>
          <w:i/>
          <w:iCs/>
          <w:sz w:val="20"/>
          <w:szCs w:val="20"/>
        </w:rPr>
        <w:t>.</w:t>
      </w:r>
      <w:r w:rsidR="002564D8" w:rsidRPr="00453559">
        <w:rPr>
          <w:rFonts w:asciiTheme="minorHAnsi" w:hAnsiTheme="minorHAnsi" w:cstheme="minorHAnsi"/>
          <w:sz w:val="20"/>
          <w:szCs w:val="20"/>
        </w:rPr>
        <w:t xml:space="preserve"> </w:t>
      </w:r>
      <w:hyperlink r:id="rId2" w:history="1">
        <w:r w:rsidR="00453559" w:rsidRPr="00453559">
          <w:rPr>
            <w:rStyle w:val="Hyperlink"/>
            <w:rFonts w:asciiTheme="minorHAnsi" w:hAnsiTheme="minorHAnsi" w:cstheme="minorHAnsi"/>
            <w:sz w:val="20"/>
            <w:szCs w:val="20"/>
          </w:rPr>
          <w:t>www.nami.org/Your-Journey/Identity-and-Cultural-Dimensions/Black-African-American</w:t>
        </w:r>
      </w:hyperlink>
    </w:p>
  </w:footnote>
  <w:footnote w:id="4">
    <w:p w14:paraId="137FB043" w14:textId="09CFAC28" w:rsidR="00804F21" w:rsidRPr="00453559" w:rsidRDefault="00804F21" w:rsidP="00804F21">
      <w:pPr>
        <w:pStyle w:val="FootnoteText"/>
        <w:ind w:left="720" w:hanging="720"/>
      </w:pPr>
      <w:r w:rsidRPr="00453559">
        <w:rPr>
          <w:rStyle w:val="FootnoteReference"/>
        </w:rPr>
        <w:footnoteRef/>
      </w:r>
      <w:r w:rsidRPr="00453559">
        <w:t xml:space="preserve"> Centers for Disease Control and Prevention. (2020</w:t>
      </w:r>
      <w:r w:rsidR="002554F8">
        <w:t>a</w:t>
      </w:r>
      <w:r w:rsidRPr="00453559">
        <w:t xml:space="preserve">, December 8). </w:t>
      </w:r>
      <w:r w:rsidRPr="00453559">
        <w:rPr>
          <w:i/>
          <w:iCs/>
        </w:rPr>
        <w:t>PLACES</w:t>
      </w:r>
      <w:r w:rsidRPr="00453559">
        <w:t xml:space="preserve"> </w:t>
      </w:r>
      <w:r w:rsidRPr="00453559">
        <w:rPr>
          <w:i/>
          <w:iCs/>
        </w:rPr>
        <w:t>Methodology</w:t>
      </w:r>
      <w:r w:rsidRPr="00453559">
        <w:t xml:space="preserve">. </w:t>
      </w:r>
      <w:hyperlink r:id="rId3" w:history="1">
        <w:r w:rsidRPr="00453559">
          <w:rPr>
            <w:rStyle w:val="Hyperlink"/>
          </w:rPr>
          <w:t>https://www.cdc.gov/places/methodology/</w:t>
        </w:r>
      </w:hyperlink>
    </w:p>
  </w:footnote>
  <w:footnote w:id="5">
    <w:p w14:paraId="2E2B4412" w14:textId="3E262A10" w:rsidR="005F4236" w:rsidRPr="00453559" w:rsidRDefault="005F4236" w:rsidP="005F4236">
      <w:pPr>
        <w:ind w:left="720" w:hanging="720"/>
        <w:rPr>
          <w:sz w:val="20"/>
          <w:szCs w:val="20"/>
        </w:rPr>
      </w:pPr>
      <w:r w:rsidRPr="00453559">
        <w:rPr>
          <w:sz w:val="20"/>
          <w:szCs w:val="20"/>
          <w:vertAlign w:val="superscript"/>
        </w:rPr>
        <w:footnoteRef/>
      </w:r>
      <w:r w:rsidRPr="00453559">
        <w:rPr>
          <w:sz w:val="20"/>
          <w:szCs w:val="20"/>
        </w:rPr>
        <w:t xml:space="preserve"> Centers for Disease Control and Prevention. (2020</w:t>
      </w:r>
      <w:r w:rsidR="002554F8">
        <w:rPr>
          <w:sz w:val="20"/>
          <w:szCs w:val="20"/>
        </w:rPr>
        <w:t>b</w:t>
      </w:r>
      <w:r w:rsidRPr="00453559">
        <w:rPr>
          <w:sz w:val="20"/>
          <w:szCs w:val="20"/>
        </w:rPr>
        <w:t>, December 8). </w:t>
      </w:r>
      <w:r w:rsidRPr="00453559">
        <w:rPr>
          <w:i/>
          <w:iCs/>
          <w:sz w:val="20"/>
          <w:szCs w:val="20"/>
        </w:rPr>
        <w:t>PLACES Measure Definitions</w:t>
      </w:r>
      <w:r w:rsidRPr="00453559">
        <w:rPr>
          <w:sz w:val="20"/>
          <w:szCs w:val="20"/>
        </w:rPr>
        <w:t xml:space="preserve">.  </w:t>
      </w:r>
      <w:hyperlink r:id="rId4" w:history="1">
        <w:r w:rsidRPr="00453559">
          <w:rPr>
            <w:rStyle w:val="Hyperlink"/>
            <w:sz w:val="20"/>
            <w:szCs w:val="20"/>
          </w:rPr>
          <w:t>https://www.cdc.gov/places/measure-definitions</w:t>
        </w:r>
      </w:hyperlink>
      <w:r w:rsidRPr="00453559">
        <w:rPr>
          <w:sz w:val="20"/>
          <w:szCs w:val="20"/>
        </w:rPr>
        <w:t xml:space="preserve"> </w:t>
      </w:r>
    </w:p>
  </w:footnote>
  <w:footnote w:id="6">
    <w:p w14:paraId="07E2D0A6" w14:textId="5852B094" w:rsidR="00594C04" w:rsidRPr="00453559" w:rsidRDefault="00594C04" w:rsidP="00804F21">
      <w:pPr>
        <w:pStyle w:val="FootnoteText"/>
        <w:ind w:left="720" w:hanging="720"/>
      </w:pPr>
      <w:r w:rsidRPr="00453559">
        <w:rPr>
          <w:rStyle w:val="FootnoteReference"/>
        </w:rPr>
        <w:footnoteRef/>
      </w:r>
      <w:r w:rsidRPr="00453559">
        <w:t xml:space="preserve"> Centers for Disease Control and Prevention. (2020</w:t>
      </w:r>
      <w:r w:rsidR="002554F8">
        <w:t>a</w:t>
      </w:r>
      <w:r w:rsidRPr="00453559">
        <w:t xml:space="preserve">, December 8). </w:t>
      </w:r>
      <w:r w:rsidRPr="00453559">
        <w:rPr>
          <w:i/>
          <w:iCs/>
        </w:rPr>
        <w:t>PLACES Methodology</w:t>
      </w:r>
      <w:r w:rsidRPr="00453559">
        <w:t xml:space="preserve">. </w:t>
      </w:r>
      <w:hyperlink r:id="rId5" w:history="1">
        <w:r w:rsidRPr="00453559">
          <w:rPr>
            <w:rStyle w:val="Hyperlink"/>
          </w:rPr>
          <w:t>https://www.cdc.gov/places/methodology/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5438"/>
    <w:multiLevelType w:val="hybridMultilevel"/>
    <w:tmpl w:val="029EB9C6"/>
    <w:lvl w:ilvl="0" w:tplc="5C4E8F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0008B"/>
    <w:multiLevelType w:val="hybridMultilevel"/>
    <w:tmpl w:val="28A0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5F03C1"/>
    <w:multiLevelType w:val="hybridMultilevel"/>
    <w:tmpl w:val="943A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10"/>
  </w:num>
  <w:num w:numId="5">
    <w:abstractNumId w:val="6"/>
  </w:num>
  <w:num w:numId="6">
    <w:abstractNumId w:val="0"/>
  </w:num>
  <w:num w:numId="7">
    <w:abstractNumId w:val="11"/>
  </w:num>
  <w:num w:numId="8">
    <w:abstractNumId w:val="1"/>
  </w:num>
  <w:num w:numId="9">
    <w:abstractNumId w:val="14"/>
  </w:num>
  <w:num w:numId="10">
    <w:abstractNumId w:val="3"/>
  </w:num>
  <w:num w:numId="11">
    <w:abstractNumId w:val="15"/>
  </w:num>
  <w:num w:numId="12">
    <w:abstractNumId w:val="2"/>
  </w:num>
  <w:num w:numId="13">
    <w:abstractNumId w:val="13"/>
  </w:num>
  <w:num w:numId="14">
    <w:abstractNumId w:val="5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5FF"/>
    <w:rsid w:val="00005E13"/>
    <w:rsid w:val="00010A16"/>
    <w:rsid w:val="000266BB"/>
    <w:rsid w:val="000825BA"/>
    <w:rsid w:val="00082B14"/>
    <w:rsid w:val="00082C3D"/>
    <w:rsid w:val="00086056"/>
    <w:rsid w:val="0008657A"/>
    <w:rsid w:val="000905B5"/>
    <w:rsid w:val="000B0048"/>
    <w:rsid w:val="000B2D9B"/>
    <w:rsid w:val="000B493F"/>
    <w:rsid w:val="000D04E6"/>
    <w:rsid w:val="000D181B"/>
    <w:rsid w:val="000D1FC8"/>
    <w:rsid w:val="000D5C93"/>
    <w:rsid w:val="000D7C5D"/>
    <w:rsid w:val="000F2278"/>
    <w:rsid w:val="00106957"/>
    <w:rsid w:val="00113353"/>
    <w:rsid w:val="00115761"/>
    <w:rsid w:val="00116EA4"/>
    <w:rsid w:val="00143CCB"/>
    <w:rsid w:val="00144D3F"/>
    <w:rsid w:val="00156445"/>
    <w:rsid w:val="001602D9"/>
    <w:rsid w:val="0016598A"/>
    <w:rsid w:val="00180268"/>
    <w:rsid w:val="00181F4B"/>
    <w:rsid w:val="00190959"/>
    <w:rsid w:val="00196195"/>
    <w:rsid w:val="001B437D"/>
    <w:rsid w:val="001B5F77"/>
    <w:rsid w:val="001B6722"/>
    <w:rsid w:val="001B6C01"/>
    <w:rsid w:val="001D3964"/>
    <w:rsid w:val="001F5150"/>
    <w:rsid w:val="001F5FF5"/>
    <w:rsid w:val="00200569"/>
    <w:rsid w:val="0021202B"/>
    <w:rsid w:val="0024582B"/>
    <w:rsid w:val="00247C44"/>
    <w:rsid w:val="002531DF"/>
    <w:rsid w:val="002554F8"/>
    <w:rsid w:val="002564D8"/>
    <w:rsid w:val="0026126F"/>
    <w:rsid w:val="002649BE"/>
    <w:rsid w:val="00270F6B"/>
    <w:rsid w:val="00282585"/>
    <w:rsid w:val="00292522"/>
    <w:rsid w:val="002B6F8E"/>
    <w:rsid w:val="002D31E1"/>
    <w:rsid w:val="00302737"/>
    <w:rsid w:val="00313870"/>
    <w:rsid w:val="00326F71"/>
    <w:rsid w:val="0035424C"/>
    <w:rsid w:val="003628E7"/>
    <w:rsid w:val="003714EB"/>
    <w:rsid w:val="003A178B"/>
    <w:rsid w:val="003A2AA6"/>
    <w:rsid w:val="003B6EE2"/>
    <w:rsid w:val="003C7FF1"/>
    <w:rsid w:val="003D1192"/>
    <w:rsid w:val="003E542E"/>
    <w:rsid w:val="003E7519"/>
    <w:rsid w:val="003F27B7"/>
    <w:rsid w:val="003F32E8"/>
    <w:rsid w:val="003F50AD"/>
    <w:rsid w:val="00411975"/>
    <w:rsid w:val="00412D30"/>
    <w:rsid w:val="00414467"/>
    <w:rsid w:val="00427925"/>
    <w:rsid w:val="00433CEA"/>
    <w:rsid w:val="00434FD3"/>
    <w:rsid w:val="0043612D"/>
    <w:rsid w:val="00453559"/>
    <w:rsid w:val="004559BB"/>
    <w:rsid w:val="004A0D63"/>
    <w:rsid w:val="004A7D20"/>
    <w:rsid w:val="004C1E94"/>
    <w:rsid w:val="00505663"/>
    <w:rsid w:val="00516A93"/>
    <w:rsid w:val="00521386"/>
    <w:rsid w:val="0052273F"/>
    <w:rsid w:val="00522BB8"/>
    <w:rsid w:val="00523739"/>
    <w:rsid w:val="00531841"/>
    <w:rsid w:val="00536693"/>
    <w:rsid w:val="00541485"/>
    <w:rsid w:val="005429A8"/>
    <w:rsid w:val="00546906"/>
    <w:rsid w:val="00546BBA"/>
    <w:rsid w:val="00547A78"/>
    <w:rsid w:val="00550602"/>
    <w:rsid w:val="005617BB"/>
    <w:rsid w:val="00570EF6"/>
    <w:rsid w:val="00594C04"/>
    <w:rsid w:val="005A101E"/>
    <w:rsid w:val="005A27AB"/>
    <w:rsid w:val="005A3AD2"/>
    <w:rsid w:val="005A44F4"/>
    <w:rsid w:val="005B0D94"/>
    <w:rsid w:val="005D533A"/>
    <w:rsid w:val="005F1B58"/>
    <w:rsid w:val="005F2F0B"/>
    <w:rsid w:val="005F3C78"/>
    <w:rsid w:val="005F4236"/>
    <w:rsid w:val="00601594"/>
    <w:rsid w:val="00621422"/>
    <w:rsid w:val="006330BC"/>
    <w:rsid w:val="00634ECB"/>
    <w:rsid w:val="006411AF"/>
    <w:rsid w:val="00657597"/>
    <w:rsid w:val="00660E1B"/>
    <w:rsid w:val="006848F0"/>
    <w:rsid w:val="00686245"/>
    <w:rsid w:val="006870D9"/>
    <w:rsid w:val="006932E7"/>
    <w:rsid w:val="00693342"/>
    <w:rsid w:val="00694C94"/>
    <w:rsid w:val="006A7195"/>
    <w:rsid w:val="006B06E3"/>
    <w:rsid w:val="006B19EB"/>
    <w:rsid w:val="006D0342"/>
    <w:rsid w:val="006E19F6"/>
    <w:rsid w:val="006F6463"/>
    <w:rsid w:val="0070276E"/>
    <w:rsid w:val="007150F9"/>
    <w:rsid w:val="00715653"/>
    <w:rsid w:val="00717E59"/>
    <w:rsid w:val="00720141"/>
    <w:rsid w:val="0072492D"/>
    <w:rsid w:val="00732856"/>
    <w:rsid w:val="00740FB9"/>
    <w:rsid w:val="00755FE8"/>
    <w:rsid w:val="00764C71"/>
    <w:rsid w:val="007653C7"/>
    <w:rsid w:val="00771423"/>
    <w:rsid w:val="00774EC9"/>
    <w:rsid w:val="00793993"/>
    <w:rsid w:val="007A08BC"/>
    <w:rsid w:val="007A0974"/>
    <w:rsid w:val="007A27EE"/>
    <w:rsid w:val="007B255C"/>
    <w:rsid w:val="007C5A29"/>
    <w:rsid w:val="007D09A4"/>
    <w:rsid w:val="007E7D3A"/>
    <w:rsid w:val="007F4660"/>
    <w:rsid w:val="007F7BF7"/>
    <w:rsid w:val="00804F21"/>
    <w:rsid w:val="0081035A"/>
    <w:rsid w:val="008141DF"/>
    <w:rsid w:val="008273DF"/>
    <w:rsid w:val="008277ED"/>
    <w:rsid w:val="00834819"/>
    <w:rsid w:val="00840941"/>
    <w:rsid w:val="00841D17"/>
    <w:rsid w:val="0084386D"/>
    <w:rsid w:val="008443C3"/>
    <w:rsid w:val="00861084"/>
    <w:rsid w:val="0087007A"/>
    <w:rsid w:val="008B110E"/>
    <w:rsid w:val="008D6923"/>
    <w:rsid w:val="008D6A95"/>
    <w:rsid w:val="008E0011"/>
    <w:rsid w:val="008E6E54"/>
    <w:rsid w:val="009014F7"/>
    <w:rsid w:val="00914294"/>
    <w:rsid w:val="0091472B"/>
    <w:rsid w:val="009208D1"/>
    <w:rsid w:val="009245F3"/>
    <w:rsid w:val="00930000"/>
    <w:rsid w:val="00934474"/>
    <w:rsid w:val="009372D5"/>
    <w:rsid w:val="009653CC"/>
    <w:rsid w:val="00997A02"/>
    <w:rsid w:val="009B059E"/>
    <w:rsid w:val="009C00D0"/>
    <w:rsid w:val="009E21FB"/>
    <w:rsid w:val="009E56D4"/>
    <w:rsid w:val="00A01640"/>
    <w:rsid w:val="00A044C7"/>
    <w:rsid w:val="00A10E0E"/>
    <w:rsid w:val="00A16408"/>
    <w:rsid w:val="00A31311"/>
    <w:rsid w:val="00A31860"/>
    <w:rsid w:val="00A34BBA"/>
    <w:rsid w:val="00A73104"/>
    <w:rsid w:val="00A75678"/>
    <w:rsid w:val="00A75AB7"/>
    <w:rsid w:val="00A830E4"/>
    <w:rsid w:val="00A85E6C"/>
    <w:rsid w:val="00A96381"/>
    <w:rsid w:val="00AA30DA"/>
    <w:rsid w:val="00AA5AB9"/>
    <w:rsid w:val="00AB5702"/>
    <w:rsid w:val="00AC2144"/>
    <w:rsid w:val="00AC3DA4"/>
    <w:rsid w:val="00AD74FC"/>
    <w:rsid w:val="00AE261C"/>
    <w:rsid w:val="00AE317F"/>
    <w:rsid w:val="00AF01CB"/>
    <w:rsid w:val="00B03230"/>
    <w:rsid w:val="00B06E73"/>
    <w:rsid w:val="00B105B2"/>
    <w:rsid w:val="00B15487"/>
    <w:rsid w:val="00B21683"/>
    <w:rsid w:val="00B4726F"/>
    <w:rsid w:val="00B4758F"/>
    <w:rsid w:val="00B67A16"/>
    <w:rsid w:val="00B77980"/>
    <w:rsid w:val="00B90B91"/>
    <w:rsid w:val="00B93EF2"/>
    <w:rsid w:val="00BA13CF"/>
    <w:rsid w:val="00BA3CDD"/>
    <w:rsid w:val="00BB1D60"/>
    <w:rsid w:val="00BB551D"/>
    <w:rsid w:val="00BE20A4"/>
    <w:rsid w:val="00BF135F"/>
    <w:rsid w:val="00C048A4"/>
    <w:rsid w:val="00C065C7"/>
    <w:rsid w:val="00C34E93"/>
    <w:rsid w:val="00C37C6D"/>
    <w:rsid w:val="00C63158"/>
    <w:rsid w:val="00C660C4"/>
    <w:rsid w:val="00C674A9"/>
    <w:rsid w:val="00C755D7"/>
    <w:rsid w:val="00C76E7C"/>
    <w:rsid w:val="00C8203C"/>
    <w:rsid w:val="00C97047"/>
    <w:rsid w:val="00CA197F"/>
    <w:rsid w:val="00CB61B4"/>
    <w:rsid w:val="00CC234E"/>
    <w:rsid w:val="00CC6FD7"/>
    <w:rsid w:val="00CE1BB6"/>
    <w:rsid w:val="00CF0F58"/>
    <w:rsid w:val="00CF1CDB"/>
    <w:rsid w:val="00CF3CCE"/>
    <w:rsid w:val="00D07D4C"/>
    <w:rsid w:val="00D1150C"/>
    <w:rsid w:val="00D12B5D"/>
    <w:rsid w:val="00D24EB7"/>
    <w:rsid w:val="00D268F7"/>
    <w:rsid w:val="00D431A4"/>
    <w:rsid w:val="00D44CAC"/>
    <w:rsid w:val="00D53D86"/>
    <w:rsid w:val="00D73B5B"/>
    <w:rsid w:val="00D85C3D"/>
    <w:rsid w:val="00D91112"/>
    <w:rsid w:val="00DA16C3"/>
    <w:rsid w:val="00DB37F7"/>
    <w:rsid w:val="00DB4441"/>
    <w:rsid w:val="00DB4806"/>
    <w:rsid w:val="00DC487E"/>
    <w:rsid w:val="00DF0361"/>
    <w:rsid w:val="00DF1559"/>
    <w:rsid w:val="00DF1B70"/>
    <w:rsid w:val="00E0352B"/>
    <w:rsid w:val="00E21A26"/>
    <w:rsid w:val="00E25B4C"/>
    <w:rsid w:val="00E34396"/>
    <w:rsid w:val="00E675E3"/>
    <w:rsid w:val="00E7035E"/>
    <w:rsid w:val="00E70D5B"/>
    <w:rsid w:val="00E775B6"/>
    <w:rsid w:val="00EA3FE4"/>
    <w:rsid w:val="00EA5DF0"/>
    <w:rsid w:val="00EB039C"/>
    <w:rsid w:val="00EB3E85"/>
    <w:rsid w:val="00EB4F9E"/>
    <w:rsid w:val="00EC211E"/>
    <w:rsid w:val="00EC2DE2"/>
    <w:rsid w:val="00EC4349"/>
    <w:rsid w:val="00EC670E"/>
    <w:rsid w:val="00ED5DD3"/>
    <w:rsid w:val="00ED6351"/>
    <w:rsid w:val="00EE5730"/>
    <w:rsid w:val="00EF6068"/>
    <w:rsid w:val="00EF7F7F"/>
    <w:rsid w:val="00F17600"/>
    <w:rsid w:val="00F2637A"/>
    <w:rsid w:val="00F43C8F"/>
    <w:rsid w:val="00F532A9"/>
    <w:rsid w:val="00F56A21"/>
    <w:rsid w:val="00F6721F"/>
    <w:rsid w:val="00F8197B"/>
    <w:rsid w:val="00F910E5"/>
    <w:rsid w:val="00F93939"/>
    <w:rsid w:val="00F94A4F"/>
    <w:rsid w:val="00FA2DEE"/>
    <w:rsid w:val="00FA2ED2"/>
    <w:rsid w:val="00FB05D3"/>
    <w:rsid w:val="00FB5343"/>
    <w:rsid w:val="00FE09F6"/>
    <w:rsid w:val="00FE127B"/>
    <w:rsid w:val="00FE1C5C"/>
    <w:rsid w:val="00FE591D"/>
    <w:rsid w:val="00FF2D1E"/>
    <w:rsid w:val="00FF336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9A14F6A9-EF61-48D8-BCE3-4C45BE96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14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E13"/>
  </w:style>
  <w:style w:type="paragraph" w:styleId="Footer">
    <w:name w:val="footer"/>
    <w:basedOn w:val="Normal"/>
    <w:link w:val="Foot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035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570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hronicdata.cdc.gov/browse?category=500+Cities+%26+Places&amp;sortBy=newest&amp;utf8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cdc.gov/places/methodology/" TargetMode="External"/><Relationship Id="rId2" Type="http://schemas.openxmlformats.org/officeDocument/2006/relationships/hyperlink" Target="http://www.nami.org/Your-Journey/Identity-and-Cultural-Dimensions/Black-African-American" TargetMode="External"/><Relationship Id="rId1" Type="http://schemas.openxmlformats.org/officeDocument/2006/relationships/hyperlink" Target="https://www.cdc.gov/places/methodology/" TargetMode="External"/><Relationship Id="rId5" Type="http://schemas.openxmlformats.org/officeDocument/2006/relationships/hyperlink" Target="https://www.cdc.gov/places/methodology/" TargetMode="External"/><Relationship Id="rId4" Type="http://schemas.openxmlformats.org/officeDocument/2006/relationships/hyperlink" Target="https://www.cdc.gov/places/measure-defini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Links>
    <vt:vector size="12" baseType="variant">
      <vt:variant>
        <vt:i4>589877</vt:i4>
      </vt:variant>
      <vt:variant>
        <vt:i4>3</vt:i4>
      </vt:variant>
      <vt:variant>
        <vt:i4>0</vt:i4>
      </vt:variant>
      <vt:variant>
        <vt:i4>5</vt:i4>
      </vt:variant>
      <vt:variant>
        <vt:lpwstr>mailto:kjiang@mitre.org</vt:lpwstr>
      </vt:variant>
      <vt:variant>
        <vt:lpwstr/>
      </vt:variant>
      <vt:variant>
        <vt:i4>3604516</vt:i4>
      </vt:variant>
      <vt:variant>
        <vt:i4>0</vt:i4>
      </vt:variant>
      <vt:variant>
        <vt:i4>0</vt:i4>
      </vt:variant>
      <vt:variant>
        <vt:i4>5</vt:i4>
      </vt:variant>
      <vt:variant>
        <vt:lpwstr>https://www.cityhealthdashboard.com/metrics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144</cp:revision>
  <dcterms:created xsi:type="dcterms:W3CDTF">2021-06-22T20:49:00Z</dcterms:created>
  <dcterms:modified xsi:type="dcterms:W3CDTF">2021-12-07T20:19:00Z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