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39D37F1" w:rsidR="002B6F8E" w:rsidRDefault="002B6F8E">
      <w:r w:rsidRPr="00AE261C">
        <w:rPr>
          <w:b/>
          <w:bCs/>
        </w:rPr>
        <w:t>Name</w:t>
      </w:r>
      <w:r w:rsidR="00D44CAC">
        <w:t>:</w:t>
      </w:r>
      <w:r w:rsidR="006C2089">
        <w:t xml:space="preserve"> </w:t>
      </w:r>
      <w:r w:rsidR="005F09DA" w:rsidRPr="00224288">
        <w:t>Residential Segregation</w:t>
      </w:r>
    </w:p>
    <w:p w14:paraId="0D41E867" w14:textId="77777777" w:rsidR="00AA5AB9" w:rsidRDefault="00AA5AB9"/>
    <w:p w14:paraId="100E41DE" w14:textId="327BF0FF" w:rsidR="00EC670E" w:rsidRPr="00B3565B" w:rsidRDefault="002B6F8E" w:rsidP="640426F4">
      <w:r w:rsidRPr="640426F4">
        <w:rPr>
          <w:b/>
          <w:bCs/>
        </w:rPr>
        <w:t>Short Description</w:t>
      </w:r>
      <w:r w:rsidR="00D44CAC">
        <w:t>:</w:t>
      </w:r>
      <w:r w:rsidR="009B62EA">
        <w:t xml:space="preserve"> </w:t>
      </w:r>
      <w:r w:rsidR="73CFA108">
        <w:t>The Index of Concentration at the Extremes</w:t>
      </w:r>
      <w:r w:rsidR="00B07DFB">
        <w:t xml:space="preserve"> (ICE)</w:t>
      </w:r>
      <w:r w:rsidR="73CFA108">
        <w:t xml:space="preserve"> is measure of economic and racial/ethnic spatial polarization and proxy for residential segregation, defined as t</w:t>
      </w:r>
      <w:r w:rsidR="002346F5">
        <w:t>he difference between</w:t>
      </w:r>
      <w:r w:rsidR="00F10C53">
        <w:t xml:space="preserve"> the percent of the total population that is</w:t>
      </w:r>
      <w:r w:rsidR="002346F5">
        <w:t xml:space="preserve"> high-income</w:t>
      </w:r>
      <w:r w:rsidR="00F10C53">
        <w:t xml:space="preserve"> and</w:t>
      </w:r>
      <w:r w:rsidR="002346F5">
        <w:t xml:space="preserve"> </w:t>
      </w:r>
      <w:r w:rsidR="00D87E7B">
        <w:t xml:space="preserve">majority </w:t>
      </w:r>
      <w:r w:rsidR="00F10C53">
        <w:t xml:space="preserve">versus </w:t>
      </w:r>
      <w:r w:rsidR="002346F5">
        <w:t>low-income</w:t>
      </w:r>
      <w:r w:rsidR="00F10C53">
        <w:t xml:space="preserve"> and</w:t>
      </w:r>
      <w:r w:rsidR="002346F5">
        <w:t xml:space="preserve"> </w:t>
      </w:r>
      <w:r w:rsidR="00D87E7B">
        <w:t xml:space="preserve">minority </w:t>
      </w:r>
      <w:r w:rsidR="00F10C53">
        <w:t>in</w:t>
      </w:r>
      <w:r w:rsidR="00901208">
        <w:t xml:space="preserve"> a</w:t>
      </w:r>
      <w:r w:rsidR="002346F5">
        <w:t xml:space="preserve"> </w:t>
      </w:r>
      <w:r w:rsidR="00FA2D2B">
        <w:t>population</w:t>
      </w:r>
      <w:r w:rsidR="002346F5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3620E52F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937855">
        <w:t xml:space="preserve">United States Census Bureau, </w:t>
      </w:r>
      <w:r w:rsidR="00B3565B">
        <w:t>A</w:t>
      </w:r>
      <w:r w:rsidR="005F42FF">
        <w:t xml:space="preserve">merican </w:t>
      </w:r>
      <w:r w:rsidR="00B3565B">
        <w:t>C</w:t>
      </w:r>
      <w:r w:rsidR="005F42FF">
        <w:t xml:space="preserve">ommunity </w:t>
      </w:r>
      <w:r w:rsidR="00B3565B">
        <w:t>S</w:t>
      </w:r>
      <w:r w:rsidR="005F42FF">
        <w:t>urvey</w:t>
      </w:r>
      <w:r w:rsidR="00224288">
        <w:t xml:space="preserve"> (</w:t>
      </w:r>
      <w:r w:rsidR="00430233">
        <w:t>ACS)</w:t>
      </w:r>
    </w:p>
    <w:p w14:paraId="3F397F4B" w14:textId="77777777" w:rsidR="00937855" w:rsidRDefault="00AA5AB9" w:rsidP="00937855">
      <w:pPr>
        <w:pStyle w:val="ListParagraph"/>
        <w:numPr>
          <w:ilvl w:val="0"/>
          <w:numId w:val="16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r w:rsidR="00B3565B">
        <w:t xml:space="preserve"> </w:t>
      </w:r>
      <w:hyperlink r:id="rId11" w:history="1">
        <w:r w:rsidR="00937855" w:rsidRPr="00732551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27051936" w:rsidR="002B6F8E" w:rsidRPr="003279FF" w:rsidRDefault="002B6F8E">
      <w:pPr>
        <w:rPr>
          <w:b/>
          <w:bCs/>
          <w:i/>
          <w:i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3279FF" w:rsidRPr="0045151D">
        <w:t>2019 5-year estimates</w:t>
      </w:r>
      <w:r w:rsidR="00EC0E29">
        <w:t xml:space="preserve"> (2015-2019)</w:t>
      </w:r>
      <w:r w:rsidR="00E559D6">
        <w:t xml:space="preserve"> </w:t>
      </w:r>
    </w:p>
    <w:p w14:paraId="169D6C46" w14:textId="2812697E" w:rsidR="002B6F8E" w:rsidRDefault="002B6F8E"/>
    <w:p w14:paraId="3A134C16" w14:textId="54757538" w:rsidR="00DA16C3" w:rsidRPr="00DC4298" w:rsidRDefault="004B02A2">
      <w:pPr>
        <w:rPr>
          <w:sz w:val="22"/>
          <w:szCs w:val="22"/>
        </w:rPr>
      </w:pPr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430233">
        <w:t>Zip Code Tabulation Area (</w:t>
      </w:r>
      <w:r w:rsidR="00FF4A26">
        <w:t>ZCTA</w:t>
      </w:r>
      <w:r w:rsidR="00430233">
        <w:t>)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4AF32772" w:rsidR="00302737" w:rsidRDefault="00546D1F" w:rsidP="00546D1F">
      <w:r>
        <w:rPr>
          <w:b/>
          <w:bCs/>
        </w:rPr>
        <w:t>Stratification</w:t>
      </w:r>
      <w:r w:rsidR="00F8197B">
        <w:t>:</w:t>
      </w:r>
      <w:r w:rsidR="00825E34">
        <w:t xml:space="preserve"> </w:t>
      </w:r>
      <w:r w:rsidR="00B73C4A">
        <w:t>Black population</w:t>
      </w:r>
    </w:p>
    <w:p w14:paraId="76226322" w14:textId="3B492108" w:rsidR="002B6F8E" w:rsidRDefault="002B6F8E"/>
    <w:p w14:paraId="4F7874F1" w14:textId="04D20E5F" w:rsidR="00AA30DA" w:rsidRPr="00A2205A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776DF8">
        <w:rPr>
          <w:b/>
          <w:bCs/>
        </w:rPr>
        <w:t xml:space="preserve"> </w:t>
      </w:r>
      <w:r w:rsidR="3C1665E9" w:rsidRPr="640426F4">
        <w:t xml:space="preserve">Residential segregation is a marker of structural </w:t>
      </w:r>
      <w:r w:rsidR="00BC29F1" w:rsidRPr="640426F4">
        <w:t>racism</w:t>
      </w:r>
      <w:r w:rsidR="00014631">
        <w:t xml:space="preserve">. </w:t>
      </w:r>
      <w:r w:rsidR="00105E57">
        <w:t>I</w:t>
      </w:r>
      <w:r w:rsidR="0060038A">
        <w:t xml:space="preserve">n the United States </w:t>
      </w:r>
      <w:r w:rsidR="00567DE9">
        <w:t xml:space="preserve">there is a </w:t>
      </w:r>
      <w:r w:rsidR="00392E30">
        <w:t xml:space="preserve">persistent </w:t>
      </w:r>
      <w:r w:rsidR="000E1E42">
        <w:t>racial wealth</w:t>
      </w:r>
      <w:r w:rsidR="00567DE9">
        <w:t xml:space="preserve"> gap</w:t>
      </w:r>
      <w:r w:rsidR="00EA2309">
        <w:rPr>
          <w:rStyle w:val="FootnoteReference"/>
        </w:rPr>
        <w:footnoteReference w:id="2"/>
      </w:r>
      <w:r w:rsidR="00567DE9">
        <w:t xml:space="preserve"> </w:t>
      </w:r>
      <w:r w:rsidR="001D5179">
        <w:t>and</w:t>
      </w:r>
      <w:r w:rsidR="00837C47">
        <w:t xml:space="preserve"> </w:t>
      </w:r>
      <w:r w:rsidR="004A746E">
        <w:t>widening</w:t>
      </w:r>
      <w:r w:rsidR="001D5179">
        <w:t xml:space="preserve"> income inequality</w:t>
      </w:r>
      <w:r w:rsidR="00105E57">
        <w:t>.</w:t>
      </w:r>
      <w:r w:rsidR="0090671C">
        <w:rPr>
          <w:rStyle w:val="FootnoteReference"/>
        </w:rPr>
        <w:footnoteReference w:id="3"/>
      </w:r>
      <w:r w:rsidR="00567DE9">
        <w:t xml:space="preserve"> </w:t>
      </w:r>
      <w:r w:rsidR="0076197F" w:rsidRPr="00776DF8">
        <w:t>Poverty and s</w:t>
      </w:r>
      <w:r w:rsidR="0076197F">
        <w:t xml:space="preserve">ocioeconomic disparities have a significant impact on mental health. </w:t>
      </w:r>
      <w:r w:rsidR="1B12C3DF">
        <w:t xml:space="preserve">This </w:t>
      </w:r>
      <w:r w:rsidR="003447E8">
        <w:t xml:space="preserve">residential segregation measure </w:t>
      </w:r>
      <w:r w:rsidR="00C95398">
        <w:t xml:space="preserve">is calculated using </w:t>
      </w:r>
      <w:r w:rsidR="003447E8">
        <w:t>th</w:t>
      </w:r>
      <w:r w:rsidR="00C95398">
        <w:t>e</w:t>
      </w:r>
      <w:r w:rsidR="00E1066F">
        <w:t xml:space="preserve"> Index of Concentration at the Extremes </w:t>
      </w:r>
      <w:r w:rsidR="007F7FFE">
        <w:t>(ICE)</w:t>
      </w:r>
      <w:r w:rsidR="00C95398">
        <w:t>,</w:t>
      </w:r>
      <w:r w:rsidR="00E1066F">
        <w:t xml:space="preserve"> a </w:t>
      </w:r>
      <w:r w:rsidR="00F85D1A">
        <w:t xml:space="preserve">method </w:t>
      </w:r>
      <w:r w:rsidR="004A746E">
        <w:t xml:space="preserve">for quantifying </w:t>
      </w:r>
      <w:r w:rsidR="004C4D1D">
        <w:t xml:space="preserve">the spatial distribution of </w:t>
      </w:r>
      <w:r w:rsidR="003E0FCC">
        <w:t>soc</w:t>
      </w:r>
      <w:r w:rsidR="00515D94">
        <w:t>ioeconomic</w:t>
      </w:r>
      <w:r w:rsidR="003E0FCC">
        <w:t xml:space="preserve"> polarization </w:t>
      </w:r>
      <w:r w:rsidR="00E1066F">
        <w:t xml:space="preserve">that captures </w:t>
      </w:r>
      <w:r w:rsidR="00D149CD">
        <w:t xml:space="preserve">both </w:t>
      </w:r>
      <w:r w:rsidR="0099151B">
        <w:t xml:space="preserve">income and race </w:t>
      </w:r>
      <w:r w:rsidR="00502552">
        <w:t>disparit</w:t>
      </w:r>
      <w:r w:rsidR="0099151B">
        <w:t xml:space="preserve">ies </w:t>
      </w:r>
      <w:r w:rsidR="00502552">
        <w:t xml:space="preserve">that exist within </w:t>
      </w:r>
      <w:r w:rsidR="00381952">
        <w:t>a</w:t>
      </w:r>
      <w:r w:rsidR="00502552">
        <w:t xml:space="preserve"> population</w:t>
      </w:r>
      <w:r w:rsidR="00F206BC">
        <w:t>.</w:t>
      </w:r>
      <w:r w:rsidR="00515DA7">
        <w:t xml:space="preserve"> </w:t>
      </w:r>
      <w:r w:rsidR="0048016B">
        <w:t>Exploring</w:t>
      </w:r>
      <w:r w:rsidR="00515DA7">
        <w:t xml:space="preserve"> the interplay of this relationship is essential to </w:t>
      </w:r>
      <w:r w:rsidR="0048016B">
        <w:t xml:space="preserve">understanding the effect of </w:t>
      </w:r>
      <w:r w:rsidR="00015A66">
        <w:t xml:space="preserve">structural racism </w:t>
      </w:r>
      <w:r w:rsidR="0048016B">
        <w:t xml:space="preserve">on population </w:t>
      </w:r>
      <w:r w:rsidR="00380C6C">
        <w:t xml:space="preserve">mental </w:t>
      </w:r>
      <w:r w:rsidR="0048016B">
        <w:t xml:space="preserve">health.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69B7E533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1068571A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4D5C3ED5" w14:textId="1BC5C64F" w:rsidR="004C4292" w:rsidRPr="005838D8" w:rsidRDefault="00B204C5" w:rsidP="00BF3873">
      <w:pPr>
        <w:pStyle w:val="ListParagraph"/>
        <w:numPr>
          <w:ilvl w:val="1"/>
          <w:numId w:val="14"/>
        </w:numPr>
      </w:pPr>
      <w:r>
        <w:t>[</w:t>
      </w:r>
      <w:r w:rsidRPr="640426F4">
        <w:rPr>
          <w:i/>
          <w:iCs/>
        </w:rPr>
        <w:t>Equity</w:t>
      </w:r>
      <w:r>
        <w:t xml:space="preserve">] </w:t>
      </w:r>
      <w:r w:rsidR="00EB4ECE">
        <w:t xml:space="preserve">The </w:t>
      </w:r>
      <w:r w:rsidR="00AF4077">
        <w:t>ICE</w:t>
      </w:r>
      <w:r w:rsidR="00EB4ECE">
        <w:t xml:space="preserve"> methodology</w:t>
      </w:r>
      <w:r w:rsidR="00AF4077">
        <w:t xml:space="preserve"> can effectively measure spatial social polarization</w:t>
      </w:r>
      <w:r w:rsidR="002C2C28">
        <w:t xml:space="preserve"> </w:t>
      </w:r>
      <w:r w:rsidR="00AF4077">
        <w:t>at the neighborhood level, capturing insights into social and economic relationships that influence health inequities</w:t>
      </w:r>
      <w:r w:rsidR="00C22106">
        <w:t xml:space="preserve"> in a single measure</w:t>
      </w:r>
      <w:r w:rsidR="00AF4077">
        <w:t>.</w:t>
      </w:r>
      <w:r w:rsidR="00D26E3E">
        <w:t xml:space="preserve"> </w:t>
      </w:r>
      <w:r>
        <w:t xml:space="preserve">Traditional tools for measuring </w:t>
      </w:r>
      <w:r w:rsidR="00B305D8">
        <w:t>income inequality</w:t>
      </w:r>
      <w:r>
        <w:t xml:space="preserve"> </w:t>
      </w:r>
      <w:r w:rsidR="00AE0255">
        <w:t>(like the Gini coefficient</w:t>
      </w:r>
      <w:r w:rsidR="0090084D">
        <w:t>)</w:t>
      </w:r>
      <w:r w:rsidR="00AE0255">
        <w:t xml:space="preserve"> </w:t>
      </w:r>
      <w:r w:rsidR="00B305D8">
        <w:t>or residential segregation (like the</w:t>
      </w:r>
      <w:r w:rsidR="00AE0255">
        <w:t xml:space="preserve"> Index of Dissimilarity</w:t>
      </w:r>
      <w:r w:rsidR="00DE4462">
        <w:t xml:space="preserve">) </w:t>
      </w:r>
      <w:r w:rsidR="000344AE">
        <w:t xml:space="preserve">are not designed </w:t>
      </w:r>
      <w:r w:rsidR="00DE4462">
        <w:t>to capture the</w:t>
      </w:r>
      <w:r w:rsidR="003A4C17">
        <w:t xml:space="preserve"> </w:t>
      </w:r>
      <w:r w:rsidR="00EB0A90" w:rsidRPr="640426F4">
        <w:rPr>
          <w:i/>
          <w:iCs/>
        </w:rPr>
        <w:lastRenderedPageBreak/>
        <w:t xml:space="preserve">interaction </w:t>
      </w:r>
      <w:r w:rsidR="009D5EA8">
        <w:t xml:space="preserve">between </w:t>
      </w:r>
      <w:r w:rsidR="00E2333D">
        <w:t>income</w:t>
      </w:r>
      <w:r w:rsidR="009D5EA8">
        <w:t xml:space="preserve"> and race</w:t>
      </w:r>
      <w:r w:rsidR="003A08D9">
        <w:t>,</w:t>
      </w:r>
      <w:r w:rsidR="003B244F">
        <w:rPr>
          <w:rStyle w:val="FootnoteReference"/>
        </w:rPr>
        <w:footnoteReference w:id="4"/>
      </w:r>
      <w:r w:rsidR="00741296">
        <w:t xml:space="preserve"> nor </w:t>
      </w:r>
      <w:r w:rsidR="00B9142A">
        <w:t xml:space="preserve">are they suitable for </w:t>
      </w:r>
      <w:r w:rsidR="00B92042">
        <w:t xml:space="preserve">evaluating </w:t>
      </w:r>
      <w:r w:rsidR="00942C74">
        <w:t>geographic variations for small areas, like ZCTAs.</w:t>
      </w:r>
    </w:p>
    <w:p w14:paraId="43CA5924" w14:textId="2ED5EC96" w:rsidR="00575CFA" w:rsidRPr="00575CFA" w:rsidRDefault="00DB4022" w:rsidP="00213AF5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Importance</w:t>
      </w:r>
      <w:r>
        <w:t xml:space="preserve">] </w:t>
      </w:r>
      <w:r w:rsidR="00E14656">
        <w:t xml:space="preserve">The </w:t>
      </w:r>
      <w:r w:rsidR="00B02739">
        <w:t>detrimental effect of</w:t>
      </w:r>
      <w:r w:rsidR="00E14656">
        <w:t xml:space="preserve"> income inequality </w:t>
      </w:r>
      <w:r w:rsidR="00B02739">
        <w:t>on</w:t>
      </w:r>
      <w:r w:rsidR="00247173">
        <w:t xml:space="preserve"> </w:t>
      </w:r>
      <w:r w:rsidR="00E14656">
        <w:t>health</w:t>
      </w:r>
      <w:r w:rsidR="00B02739">
        <w:t xml:space="preserve"> is well-documented in the literature</w:t>
      </w:r>
      <w:r w:rsidR="00720D08">
        <w:t>, both for overall health outcomes</w:t>
      </w:r>
      <w:r w:rsidR="006C176D">
        <w:rPr>
          <w:rStyle w:val="FootnoteReference"/>
        </w:rPr>
        <w:footnoteReference w:id="5"/>
      </w:r>
      <w:r w:rsidR="003578D2">
        <w:t xml:space="preserve"> </w:t>
      </w:r>
      <w:r w:rsidR="00720D08">
        <w:t>and</w:t>
      </w:r>
      <w:r w:rsidR="005838D8">
        <w:t xml:space="preserve"> </w:t>
      </w:r>
      <w:r w:rsidR="00B0211B">
        <w:t xml:space="preserve">mental </w:t>
      </w:r>
      <w:proofErr w:type="gramStart"/>
      <w:r w:rsidR="00B0211B">
        <w:t xml:space="preserve">health </w:t>
      </w:r>
      <w:r w:rsidR="00BE5C5F">
        <w:t>in particular</w:t>
      </w:r>
      <w:proofErr w:type="gramEnd"/>
      <w:r w:rsidR="005838D8">
        <w:t>.</w:t>
      </w:r>
      <w:r w:rsidR="005838D8">
        <w:rPr>
          <w:rStyle w:val="FootnoteReference"/>
        </w:rPr>
        <w:footnoteReference w:id="6"/>
      </w:r>
      <w:r w:rsidR="00FA3AF4">
        <w:t xml:space="preserve"> This relationship </w:t>
      </w:r>
      <w:r w:rsidR="004663E1">
        <w:t>may be exacerbated by social inequit</w:t>
      </w:r>
      <w:r w:rsidR="008A6402">
        <w:t>y embedded within the structures of society</w:t>
      </w:r>
      <w:r w:rsidR="009F7096">
        <w:t xml:space="preserve"> </w:t>
      </w:r>
      <w:r w:rsidR="00FE1737">
        <w:t>through structural racism</w:t>
      </w:r>
      <w:r w:rsidR="009F7096">
        <w:t xml:space="preserve">. For these reasons, it is important to measure the </w:t>
      </w:r>
      <w:r w:rsidR="00103BE1">
        <w:t>interaction</w:t>
      </w:r>
      <w:r w:rsidR="00575CFA">
        <w:t xml:space="preserve"> between income and spatial social polarization to best understand</w:t>
      </w:r>
      <w:r w:rsidR="00CD5F75">
        <w:t xml:space="preserve"> its</w:t>
      </w:r>
      <w:r w:rsidR="00575CFA">
        <w:t xml:space="preserve"> </w:t>
      </w:r>
      <w:r w:rsidR="00470531">
        <w:t>impact on the</w:t>
      </w:r>
      <w:r w:rsidR="00575CFA">
        <w:t xml:space="preserve"> mental health of a community. </w:t>
      </w:r>
    </w:p>
    <w:p w14:paraId="3DA9AFF6" w14:textId="60726863" w:rsidR="004663E1" w:rsidRPr="004663E1" w:rsidRDefault="00575CFA" w:rsidP="00213AF5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Pr="0B52D7C5">
        <w:rPr>
          <w:i/>
          <w:iCs/>
        </w:rPr>
        <w:t>Relevance and Usability</w:t>
      </w:r>
      <w:r>
        <w:rPr>
          <w:bCs/>
        </w:rPr>
        <w:t xml:space="preserve">] </w:t>
      </w:r>
      <w:r w:rsidR="007578E9">
        <w:rPr>
          <w:bCs/>
        </w:rPr>
        <w:t xml:space="preserve">The </w:t>
      </w:r>
      <w:r w:rsidR="00BA004D">
        <w:t xml:space="preserve">ICE has </w:t>
      </w:r>
      <w:r w:rsidR="008D619D">
        <w:t xml:space="preserve">proven to be effective in measuring </w:t>
      </w:r>
      <w:r w:rsidR="00BA004D">
        <w:t>health disparit</w:t>
      </w:r>
      <w:r w:rsidR="000B1C41">
        <w:t>ies</w:t>
      </w:r>
      <w:r w:rsidR="008D619D">
        <w:t xml:space="preserve"> in</w:t>
      </w:r>
      <w:r w:rsidR="0041129E">
        <w:t xml:space="preserve"> outcomes like</w:t>
      </w:r>
      <w:r w:rsidR="00BA004D">
        <w:t xml:space="preserve"> hyp</w:t>
      </w:r>
      <w:r w:rsidR="00BA004D" w:rsidRPr="00FB3A02">
        <w:t>ertensi</w:t>
      </w:r>
      <w:r w:rsidR="00BA004D">
        <w:t>on</w:t>
      </w:r>
      <w:r w:rsidR="00C603EE">
        <w:rPr>
          <w:rStyle w:val="FootnoteReference"/>
        </w:rPr>
        <w:footnoteReference w:id="7"/>
      </w:r>
      <w:r w:rsidR="00BA004D">
        <w:t>, pre-term birth, and various mortality measures.</w:t>
      </w:r>
      <w:r w:rsidR="00BA004D">
        <w:rPr>
          <w:rStyle w:val="FootnoteReference"/>
        </w:rPr>
        <w:footnoteReference w:id="8"/>
      </w:r>
      <w:r w:rsidR="000B1C41">
        <w:t xml:space="preserve"> </w:t>
      </w:r>
    </w:p>
    <w:p w14:paraId="6889C6B1" w14:textId="319F4708" w:rsidR="00321B07" w:rsidRPr="00321B07" w:rsidRDefault="00321B07" w:rsidP="00213AF5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C664EC" w:rsidRPr="00357F09">
        <w:t>ACS data</w:t>
      </w:r>
      <w:r w:rsidR="00C664EC">
        <w:t xml:space="preserve"> provides valid and reliable estimates of </w:t>
      </w:r>
      <w:r w:rsidR="009F4D8F">
        <w:t xml:space="preserve">household </w:t>
      </w:r>
      <w:r w:rsidR="00C664EC">
        <w:t>income data. The ICE score can be easily calculated from these data</w:t>
      </w:r>
      <w:r w:rsidR="00450095">
        <w:t xml:space="preserve">, and </w:t>
      </w:r>
      <w:r w:rsidR="00976B62">
        <w:t xml:space="preserve">ICE </w:t>
      </w:r>
      <w:r w:rsidR="00450095">
        <w:t xml:space="preserve">has been validated </w:t>
      </w:r>
      <w:r w:rsidR="00810AE8">
        <w:t>as an effective public health monitoring tool.</w:t>
      </w:r>
      <w:r w:rsidR="00810AE8">
        <w:rPr>
          <w:rStyle w:val="FootnoteReference"/>
        </w:rPr>
        <w:footnoteReference w:id="9"/>
      </w:r>
    </w:p>
    <w:p w14:paraId="364108BD" w14:textId="4A697F4A" w:rsidR="00321B07" w:rsidRPr="00A6254F" w:rsidRDefault="00321B07" w:rsidP="00321B07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Feasibility</w:t>
      </w:r>
      <w:r>
        <w:rPr>
          <w:bCs/>
        </w:rPr>
        <w:t xml:space="preserve">] </w:t>
      </w:r>
      <w:r w:rsidR="00C664EC">
        <w:t>The</w:t>
      </w:r>
      <w:r w:rsidR="004E739F">
        <w:t xml:space="preserve"> ACS </w:t>
      </w:r>
      <w:r w:rsidR="009921AC">
        <w:t xml:space="preserve">is </w:t>
      </w:r>
      <w:r w:rsidR="00C664EC">
        <w:t>an ongoing survey that provides data in the year immediately following the year in which they are collected.</w:t>
      </w:r>
      <w:r w:rsidR="00C664EC" w:rsidRPr="00DB0A3E">
        <w:t xml:space="preserve"> </w:t>
      </w:r>
      <w:r w:rsidR="009921AC">
        <w:t xml:space="preserve">It produces reliable income data that </w:t>
      </w:r>
      <w:r w:rsidR="003A2C03">
        <w:t xml:space="preserve">can be used to calculate an ICE score.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7305B90C" w14:textId="37ABF71D" w:rsidR="00A16408" w:rsidRDefault="00CC6FD7" w:rsidP="00A16408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3A2C03"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3A2C03">
        <w:rPr>
          <w:bCs/>
        </w:rPr>
        <w:t xml:space="preserve">The reliability of </w:t>
      </w:r>
      <w:r w:rsidR="00DC1231">
        <w:rPr>
          <w:bCs/>
        </w:rPr>
        <w:t xml:space="preserve">an ICE score for a particular area depends on the accuracy of income data in </w:t>
      </w:r>
      <w:r w:rsidR="004E739F">
        <w:rPr>
          <w:bCs/>
        </w:rPr>
        <w:t xml:space="preserve">that </w:t>
      </w:r>
      <w:r w:rsidR="00DC1231">
        <w:rPr>
          <w:bCs/>
        </w:rPr>
        <w:t xml:space="preserve">area. It is likely that areas with the most disenfranchised </w:t>
      </w:r>
      <w:r w:rsidR="00906291">
        <w:rPr>
          <w:bCs/>
        </w:rPr>
        <w:t xml:space="preserve">populations will also be those without highly reliable income data. </w:t>
      </w:r>
    </w:p>
    <w:p w14:paraId="5B33E02F" w14:textId="2C00D9A9" w:rsidR="009A588C" w:rsidRPr="009A588C" w:rsidRDefault="009A588C" w:rsidP="009A588C">
      <w:pPr>
        <w:pStyle w:val="ListParagraph"/>
        <w:numPr>
          <w:ilvl w:val="1"/>
          <w:numId w:val="14"/>
        </w:numPr>
        <w:rPr>
          <w:i/>
          <w:iCs/>
        </w:rPr>
      </w:pPr>
      <w:r w:rsidRPr="0054776E">
        <w:t>[</w:t>
      </w:r>
      <w:r w:rsidRPr="0054776E">
        <w:rPr>
          <w:i/>
          <w:iCs/>
        </w:rPr>
        <w:t>Scientific Soundness</w:t>
      </w:r>
      <w:r w:rsidRPr="0054776E">
        <w:t>]</w:t>
      </w:r>
      <w:r w:rsidRPr="0054776E">
        <w:rPr>
          <w:i/>
          <w:iCs/>
        </w:rPr>
        <w:t xml:space="preserve"> </w:t>
      </w:r>
      <w:r>
        <w:t>The income data used to calculate this measure are</w:t>
      </w:r>
      <w:r w:rsidRPr="0054776E">
        <w:t xml:space="preserve"> self-reported and depend on the accuracy of the person surveyed.</w:t>
      </w:r>
    </w:p>
    <w:p w14:paraId="3C3B52BD" w14:textId="77777777" w:rsidR="002469D3" w:rsidRPr="00B3565B" w:rsidRDefault="002469D3" w:rsidP="00A16408">
      <w:pPr>
        <w:rPr>
          <w:highlight w:val="yellow"/>
        </w:rPr>
      </w:pPr>
    </w:p>
    <w:p w14:paraId="1B0E6E6A" w14:textId="4400925E" w:rsidR="004739A1" w:rsidRPr="00E64F9B" w:rsidRDefault="00A16408" w:rsidP="004739A1">
      <w:pPr>
        <w:rPr>
          <w:highlight w:val="yellow"/>
        </w:rPr>
      </w:pPr>
      <w:r w:rsidRPr="002469D3">
        <w:rPr>
          <w:b/>
          <w:bCs/>
        </w:rPr>
        <w:lastRenderedPageBreak/>
        <w:t>Calculation</w:t>
      </w:r>
      <w:r w:rsidR="00FA2ED2" w:rsidRPr="002469D3">
        <w:t>:</w:t>
      </w:r>
    </w:p>
    <w:p w14:paraId="133F00C9" w14:textId="46B143B2" w:rsidR="00760674" w:rsidRDefault="00760674" w:rsidP="004739A1">
      <w:r>
        <w:t xml:space="preserve">The ICE output is a number </w:t>
      </w:r>
      <w:r w:rsidRPr="00FB3A02">
        <w:t>that “</w:t>
      </w:r>
      <w:r w:rsidRPr="000A491F">
        <w:t>ranges from −1 to 1, whereby −1 and 1 respectively connote that 100% of the population is concentrated into the most extreme groups for deprivation and for privilege</w:t>
      </w:r>
      <w:r>
        <w:t>,” according to both racial make-up and income. A score closer to zero indicates that the population has a more evenly distributed make-up of “privileged” and “deprived” groups.</w:t>
      </w:r>
      <w:r>
        <w:rPr>
          <w:rStyle w:val="FootnoteReference"/>
        </w:rPr>
        <w:footnoteReference w:id="10"/>
      </w:r>
    </w:p>
    <w:p w14:paraId="02E2CD7C" w14:textId="03EABEBB" w:rsidR="00322592" w:rsidRPr="00822915" w:rsidRDefault="005A71DB" w:rsidP="00822915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Index of Concentration at the Extremes=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H-L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 T</m:t>
              </m:r>
            </m:den>
          </m:f>
        </m:oMath>
      </m:oMathPara>
    </w:p>
    <w:p w14:paraId="0C4ADA76" w14:textId="5D44A573" w:rsidR="00C32DD2" w:rsidRDefault="00C32DD2" w:rsidP="004739A1"/>
    <w:p w14:paraId="7B2685B6" w14:textId="3C4C4A48" w:rsidR="00322592" w:rsidRDefault="00356360" w:rsidP="003618D1">
      <w:pPr>
        <w:pStyle w:val="ListParagraph"/>
        <w:numPr>
          <w:ilvl w:val="0"/>
          <w:numId w:val="7"/>
        </w:numPr>
      </w:pPr>
      <w:r>
        <w:rPr>
          <w:i/>
          <w:iCs/>
        </w:rPr>
        <w:t>H</w:t>
      </w:r>
      <w:r w:rsidRPr="003618D1">
        <w:rPr>
          <w:i/>
          <w:iCs/>
        </w:rPr>
        <w:t xml:space="preserve"> </w:t>
      </w:r>
      <w:r w:rsidR="00322592">
        <w:t xml:space="preserve">= number of </w:t>
      </w:r>
      <w:r w:rsidR="00DA1D85">
        <w:t xml:space="preserve">high </w:t>
      </w:r>
      <w:proofErr w:type="gramStart"/>
      <w:r w:rsidR="00DA1D85">
        <w:t>income</w:t>
      </w:r>
      <w:proofErr w:type="gramEnd"/>
      <w:r w:rsidR="00DA1D85">
        <w:t>, majority individuals</w:t>
      </w:r>
      <w:r w:rsidR="00322592">
        <w:t xml:space="preserve"> </w:t>
      </w:r>
    </w:p>
    <w:p w14:paraId="4D746EA5" w14:textId="5618D295" w:rsidR="00322592" w:rsidRDefault="00356360" w:rsidP="003618D1">
      <w:pPr>
        <w:pStyle w:val="ListParagraph"/>
        <w:numPr>
          <w:ilvl w:val="0"/>
          <w:numId w:val="7"/>
        </w:numPr>
      </w:pPr>
      <w:r>
        <w:rPr>
          <w:i/>
          <w:iCs/>
        </w:rPr>
        <w:t>L</w:t>
      </w:r>
      <w:r>
        <w:t xml:space="preserve"> </w:t>
      </w:r>
      <w:r w:rsidR="00322592">
        <w:t xml:space="preserve">= number of </w:t>
      </w:r>
      <w:r w:rsidR="00DA1D85">
        <w:t xml:space="preserve">low </w:t>
      </w:r>
      <w:proofErr w:type="gramStart"/>
      <w:r w:rsidR="00DA1D85">
        <w:t>income</w:t>
      </w:r>
      <w:proofErr w:type="gramEnd"/>
      <w:r w:rsidR="00DA1D85">
        <w:t xml:space="preserve">, minority individuals </w:t>
      </w:r>
    </w:p>
    <w:p w14:paraId="2D8C1C59" w14:textId="1E92C581" w:rsidR="00322592" w:rsidRDefault="00322592" w:rsidP="004739A1">
      <w:pPr>
        <w:pStyle w:val="ListParagraph"/>
        <w:numPr>
          <w:ilvl w:val="0"/>
          <w:numId w:val="7"/>
        </w:numPr>
      </w:pPr>
      <w:r w:rsidRPr="003618D1">
        <w:rPr>
          <w:i/>
          <w:iCs/>
        </w:rPr>
        <w:t>T</w:t>
      </w:r>
      <w:r>
        <w:t xml:space="preserve"> = total population</w:t>
      </w:r>
      <w:r w:rsidR="007861D5">
        <w:t xml:space="preserve"> </w:t>
      </w:r>
      <w:r>
        <w:t>(including all races and ethnicities)</w:t>
      </w:r>
    </w:p>
    <w:p w14:paraId="72451902" w14:textId="77777777" w:rsidR="00AB53F6" w:rsidRPr="00B3565B" w:rsidRDefault="00AB53F6" w:rsidP="004739A1"/>
    <w:p w14:paraId="7BA6CD64" w14:textId="1398F0AC" w:rsidR="00F45B5C" w:rsidRPr="00CB74D7" w:rsidRDefault="004B02A2" w:rsidP="00F45B5C">
      <w:pPr>
        <w:rPr>
          <w:i/>
          <w:iCs/>
        </w:rPr>
      </w:pPr>
      <w:r w:rsidRPr="00E64F9B">
        <w:rPr>
          <w:i/>
          <w:iCs/>
          <w:u w:val="single"/>
        </w:rPr>
        <w:t>Overa</w:t>
      </w:r>
      <w:r w:rsidR="00F45B5C" w:rsidRPr="00E64F9B">
        <w:rPr>
          <w:i/>
          <w:iCs/>
          <w:u w:val="single"/>
        </w:rPr>
        <w:t xml:space="preserve">ll Population </w:t>
      </w:r>
      <w:r w:rsidR="00710586" w:rsidRPr="00E64F9B">
        <w:rPr>
          <w:i/>
          <w:iCs/>
          <w:u w:val="single"/>
        </w:rPr>
        <w:t>Calculation</w:t>
      </w:r>
      <w:r w:rsidR="00710586" w:rsidRPr="00CB74D7">
        <w:rPr>
          <w:i/>
          <w:iCs/>
        </w:rPr>
        <w:t xml:space="preserve">: </w:t>
      </w:r>
    </w:p>
    <w:p w14:paraId="426FF027" w14:textId="3DDFFCDC" w:rsidR="00A3275C" w:rsidRDefault="00DA1D85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H</w:t>
      </w:r>
      <w:r>
        <w:t xml:space="preserve"> </w:t>
      </w:r>
      <w:r w:rsidR="00A3275C">
        <w:t>= non-Hispanic White persons making at or above the 80</w:t>
      </w:r>
      <w:r w:rsidR="00A3275C" w:rsidRPr="0046040B">
        <w:rPr>
          <w:vertAlign w:val="superscript"/>
        </w:rPr>
        <w:t>th</w:t>
      </w:r>
      <w:r w:rsidR="00A3275C">
        <w:t xml:space="preserve"> percentile ($125K) in household income in the last 12 months</w:t>
      </w:r>
      <w:r w:rsidR="00E13FBD">
        <w:t xml:space="preserve"> </w:t>
      </w:r>
    </w:p>
    <w:p w14:paraId="71FD7A26" w14:textId="4E149E7E" w:rsidR="000F7392" w:rsidRDefault="00DA1D85" w:rsidP="0017172B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L</w:t>
      </w:r>
      <w:r>
        <w:t xml:space="preserve"> </w:t>
      </w:r>
      <w:r w:rsidR="00A3275C">
        <w:t xml:space="preserve">= </w:t>
      </w:r>
      <w:r w:rsidR="0046040B">
        <w:t>non-White persons</w:t>
      </w:r>
      <w:r w:rsidR="00D50527">
        <w:t xml:space="preserve"> (total population minus White population) </w:t>
      </w:r>
      <w:r w:rsidR="0046040B">
        <w:t>making below the 20</w:t>
      </w:r>
      <w:r w:rsidR="0046040B" w:rsidRPr="0046040B">
        <w:rPr>
          <w:vertAlign w:val="superscript"/>
        </w:rPr>
        <w:t>th</w:t>
      </w:r>
      <w:r w:rsidR="0046040B">
        <w:t xml:space="preserve"> percentile ($25K) of household income in the last 12 months</w:t>
      </w:r>
      <w:r w:rsidR="008B2B9C">
        <w:t xml:space="preserve"> </w:t>
      </w:r>
    </w:p>
    <w:p w14:paraId="682B4F73" w14:textId="081133C0" w:rsidR="00A3275C" w:rsidRDefault="00A3275C" w:rsidP="003618D1">
      <w:pPr>
        <w:pStyle w:val="ListParagraph"/>
        <w:numPr>
          <w:ilvl w:val="0"/>
          <w:numId w:val="17"/>
        </w:numPr>
        <w:ind w:left="720"/>
      </w:pPr>
      <w:r w:rsidRPr="003618D1">
        <w:rPr>
          <w:i/>
          <w:iCs/>
        </w:rPr>
        <w:t>T</w:t>
      </w:r>
      <w:r>
        <w:t xml:space="preserve"> = total population in the ZCTA (including all races and ethnicities)</w:t>
      </w:r>
    </w:p>
    <w:p w14:paraId="4EA9C662" w14:textId="77777777" w:rsidR="00F41BD1" w:rsidRPr="003618D1" w:rsidRDefault="00F41BD1" w:rsidP="00F45B5C"/>
    <w:p w14:paraId="01D0055E" w14:textId="5D2402CE" w:rsidR="00901B59" w:rsidRPr="00BE7DC2" w:rsidRDefault="00901B59" w:rsidP="00901B59">
      <w:pPr>
        <w:ind w:left="720"/>
      </w:pPr>
      <w:r w:rsidRPr="00BE7DC2">
        <w:t xml:space="preserve">ACS tables and variables used: </w:t>
      </w:r>
    </w:p>
    <w:p w14:paraId="246A8832" w14:textId="77777777" w:rsidR="00901B59" w:rsidRPr="00BE7DC2" w:rsidRDefault="00901B59" w:rsidP="00901B59">
      <w:pPr>
        <w:pStyle w:val="ListParagraph"/>
        <w:numPr>
          <w:ilvl w:val="0"/>
          <w:numId w:val="7"/>
        </w:numPr>
        <w:ind w:left="1440"/>
      </w:pPr>
      <w:r w:rsidRPr="00BE7DC2">
        <w:t>Table B19001: Household Income in the Past 12 Months (in 2019 inflation-adjusted dollars)</w:t>
      </w:r>
    </w:p>
    <w:p w14:paraId="65D50608" w14:textId="334F45C8" w:rsidR="00C1035B" w:rsidRPr="00BE7DC2" w:rsidRDefault="00C1035B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 xml:space="preserve">B19001_001: </w:t>
      </w:r>
      <w:r w:rsidR="006D2F26" w:rsidRPr="00BE7DC2">
        <w:rPr>
          <w:rFonts w:eastAsia="Times New Roman" w:cstheme="minorHAnsi"/>
        </w:rPr>
        <w:t>Estimate Total</w:t>
      </w:r>
      <w:r w:rsidR="00E51ADA">
        <w:rPr>
          <w:rFonts w:eastAsia="Times New Roman" w:cstheme="minorHAnsi"/>
        </w:rPr>
        <w:t xml:space="preserve"> </w:t>
      </w:r>
    </w:p>
    <w:p w14:paraId="25F79D9E" w14:textId="230B14D0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B19001_002: Estimate Total: Less than $10,000</w:t>
      </w:r>
      <w:r w:rsidR="00E51ADA">
        <w:rPr>
          <w:rFonts w:eastAsia="Times New Roman" w:cstheme="minorHAnsi"/>
        </w:rPr>
        <w:t xml:space="preserve"> </w:t>
      </w:r>
    </w:p>
    <w:p w14:paraId="27666A67" w14:textId="4E255E01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B19001_003: Estimate Total: $10,000 to $14,999</w:t>
      </w:r>
      <w:r w:rsidR="00E51ADA">
        <w:rPr>
          <w:rFonts w:eastAsia="Times New Roman" w:cstheme="minorHAnsi"/>
        </w:rPr>
        <w:t xml:space="preserve"> </w:t>
      </w:r>
    </w:p>
    <w:p w14:paraId="1F0CA725" w14:textId="5EC6059A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B19001_004: Estimate Total: $15,000 to $19,999</w:t>
      </w:r>
      <w:r w:rsidR="00E51ADA">
        <w:rPr>
          <w:rFonts w:eastAsia="Times New Roman" w:cstheme="minorHAnsi"/>
        </w:rPr>
        <w:t xml:space="preserve"> </w:t>
      </w:r>
    </w:p>
    <w:p w14:paraId="4374F2FC" w14:textId="6626D2E8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B19001_005: Estimate Total: $20,000 to $24,999</w:t>
      </w:r>
      <w:r w:rsidR="00E51ADA">
        <w:rPr>
          <w:rFonts w:eastAsia="Times New Roman" w:cstheme="minorHAnsi"/>
        </w:rPr>
        <w:t xml:space="preserve"> </w:t>
      </w:r>
    </w:p>
    <w:p w14:paraId="789A7E64" w14:textId="77777777" w:rsidR="00901B59" w:rsidRPr="00BE7DC2" w:rsidRDefault="00901B59" w:rsidP="00901B59">
      <w:pPr>
        <w:pStyle w:val="ListParagraph"/>
        <w:numPr>
          <w:ilvl w:val="0"/>
          <w:numId w:val="7"/>
        </w:numPr>
        <w:ind w:left="1440"/>
      </w:pPr>
      <w:r w:rsidRPr="00BE7DC2">
        <w:t>Table B19001H: Household Income in the Past 12 Months (in 2019 inflation-adjusted dollars) (White alone, not Hispanic of Latino Householder)</w:t>
      </w:r>
    </w:p>
    <w:p w14:paraId="59EFC228" w14:textId="323F1493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B19001H_002: Estimate Total: Less than $10,000</w:t>
      </w:r>
      <w:r w:rsidR="00E51ADA">
        <w:rPr>
          <w:rFonts w:eastAsia="Times New Roman" w:cstheme="minorHAnsi"/>
        </w:rPr>
        <w:t xml:space="preserve"> </w:t>
      </w:r>
    </w:p>
    <w:p w14:paraId="5DF84DE0" w14:textId="51C39192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B19001H_003: Estimate Total: $10,000 to $14,999</w:t>
      </w:r>
      <w:r w:rsidR="00E51ADA">
        <w:rPr>
          <w:rFonts w:eastAsia="Times New Roman" w:cstheme="minorHAnsi"/>
        </w:rPr>
        <w:t xml:space="preserve"> </w:t>
      </w:r>
    </w:p>
    <w:p w14:paraId="19D05FF2" w14:textId="45EAC428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B19001H_004: Estimate Total: $15,000 to $19,999</w:t>
      </w:r>
      <w:r w:rsidR="00E51ADA">
        <w:rPr>
          <w:rFonts w:eastAsia="Times New Roman" w:cstheme="minorHAnsi"/>
        </w:rPr>
        <w:t xml:space="preserve"> </w:t>
      </w:r>
    </w:p>
    <w:p w14:paraId="69FD8B06" w14:textId="6E80723A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B19001H_005: Estimate Total: $20,000 to $24,999</w:t>
      </w:r>
      <w:r w:rsidR="00E51ADA">
        <w:rPr>
          <w:rFonts w:eastAsia="Times New Roman" w:cstheme="minorHAnsi"/>
        </w:rPr>
        <w:t xml:space="preserve"> </w:t>
      </w:r>
    </w:p>
    <w:p w14:paraId="3ECB434A" w14:textId="429EE5EF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B19001H_015: Estimate Total: $125,000 to $249,999</w:t>
      </w:r>
      <w:r w:rsidR="00E51ADA">
        <w:rPr>
          <w:rFonts w:eastAsia="Times New Roman" w:cstheme="minorHAnsi"/>
        </w:rPr>
        <w:t xml:space="preserve"> </w:t>
      </w:r>
    </w:p>
    <w:p w14:paraId="16E14D1F" w14:textId="003F0F61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B19001H_016: Estimate Total: $150,000 to $199,999</w:t>
      </w:r>
      <w:r w:rsidR="00E51ADA">
        <w:rPr>
          <w:rFonts w:eastAsia="Times New Roman" w:cstheme="minorHAnsi"/>
        </w:rPr>
        <w:t xml:space="preserve"> </w:t>
      </w:r>
    </w:p>
    <w:p w14:paraId="5C584C91" w14:textId="5F6D2355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B19001H_017: Estimate Total: $200,000 or more</w:t>
      </w:r>
      <w:r w:rsidR="00E51ADA">
        <w:rPr>
          <w:rFonts w:eastAsia="Times New Roman" w:cstheme="minorHAnsi"/>
        </w:rPr>
        <w:t xml:space="preserve"> </w:t>
      </w:r>
    </w:p>
    <w:p w14:paraId="7DEE6B31" w14:textId="5B53B733" w:rsidR="00710586" w:rsidRDefault="00710586" w:rsidP="00F45B5C">
      <w:pPr>
        <w:rPr>
          <w:u w:val="single"/>
        </w:rPr>
      </w:pPr>
    </w:p>
    <w:p w14:paraId="77F43154" w14:textId="77777777" w:rsidR="007631AA" w:rsidRDefault="007631AA" w:rsidP="007631AA">
      <w:pPr>
        <w:rPr>
          <w:u w:val="single"/>
        </w:rPr>
      </w:pPr>
    </w:p>
    <w:p w14:paraId="35A811A5" w14:textId="34E6C1DF" w:rsidR="00710586" w:rsidRPr="00CB74D7" w:rsidRDefault="00710586" w:rsidP="00F45B5C">
      <w:pPr>
        <w:rPr>
          <w:i/>
          <w:iCs/>
        </w:rPr>
      </w:pPr>
      <w:r w:rsidRPr="00E64F9B">
        <w:rPr>
          <w:i/>
          <w:iCs/>
          <w:u w:val="single"/>
        </w:rPr>
        <w:t>Black Population Calculation</w:t>
      </w:r>
      <w:r w:rsidRPr="00CB74D7">
        <w:rPr>
          <w:i/>
          <w:iCs/>
        </w:rPr>
        <w:t xml:space="preserve">: </w:t>
      </w:r>
    </w:p>
    <w:p w14:paraId="32774004" w14:textId="16FAF66A" w:rsidR="00DC605E" w:rsidRDefault="00430ECA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lastRenderedPageBreak/>
        <w:t>H</w:t>
      </w:r>
      <w:r>
        <w:t xml:space="preserve"> </w:t>
      </w:r>
      <w:r w:rsidR="00DC605E">
        <w:t>= non-Hispanic White persons making at or above the 80</w:t>
      </w:r>
      <w:r w:rsidR="00DC605E" w:rsidRPr="003618D1">
        <w:t>th</w:t>
      </w:r>
      <w:r w:rsidR="00DC605E">
        <w:t xml:space="preserve"> percentile ($125K) in household income in the last 12 months</w:t>
      </w:r>
    </w:p>
    <w:p w14:paraId="58DF8B0E" w14:textId="34CBF3AF" w:rsidR="00DC605E" w:rsidRDefault="00430ECA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L</w:t>
      </w:r>
      <w:r>
        <w:t xml:space="preserve"> </w:t>
      </w:r>
      <w:r w:rsidR="00DC605E">
        <w:t>= non-Hispanic Black or African American persons making below the 20</w:t>
      </w:r>
      <w:r w:rsidR="00DC605E" w:rsidRPr="003618D1">
        <w:t>th</w:t>
      </w:r>
      <w:r w:rsidR="00DC605E">
        <w:t xml:space="preserve"> percentile ($25K) of household income in the last 12 month</w:t>
      </w:r>
    </w:p>
    <w:p w14:paraId="12E67094" w14:textId="0F505CBD" w:rsidR="00DC605E" w:rsidRDefault="002A7EFC" w:rsidP="003618D1">
      <w:pPr>
        <w:pStyle w:val="ListParagraph"/>
        <w:numPr>
          <w:ilvl w:val="0"/>
          <w:numId w:val="17"/>
        </w:numPr>
        <w:ind w:left="720"/>
      </w:pPr>
      <w:r w:rsidRPr="00731F9A">
        <w:rPr>
          <w:i/>
          <w:iCs/>
        </w:rPr>
        <w:t>T</w:t>
      </w:r>
      <w:r w:rsidR="00DC605E">
        <w:t xml:space="preserve"> = total population in the ZCTA (including all races and ethnicities)</w:t>
      </w:r>
    </w:p>
    <w:p w14:paraId="57B5569E" w14:textId="2CF06A2B" w:rsidR="00F41BD1" w:rsidRDefault="00F41BD1" w:rsidP="00F45B5C"/>
    <w:p w14:paraId="461BCE35" w14:textId="1BCF52C3" w:rsidR="00576EDE" w:rsidRPr="00BE7DC2" w:rsidRDefault="00576EDE" w:rsidP="00576EDE">
      <w:pPr>
        <w:ind w:left="720"/>
        <w:rPr>
          <w:rFonts w:cstheme="minorHAnsi"/>
        </w:rPr>
      </w:pPr>
      <w:r w:rsidRPr="00BE7DC2">
        <w:rPr>
          <w:rFonts w:cstheme="minorHAnsi"/>
        </w:rPr>
        <w:t xml:space="preserve">ACS tables and variables used: </w:t>
      </w:r>
    </w:p>
    <w:p w14:paraId="5CAAF4E6" w14:textId="77777777" w:rsidR="006D2F26" w:rsidRPr="00BE7DC2" w:rsidRDefault="006D2F26" w:rsidP="006D2F26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B19001: Household Income in the Past 12 Months (in 2019 inflation-adjusted dollars)</w:t>
      </w:r>
    </w:p>
    <w:p w14:paraId="49C9C582" w14:textId="5C1B2626" w:rsidR="006D2F26" w:rsidRPr="00BE7DC2" w:rsidRDefault="006D2F26" w:rsidP="006D2F26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B19001_001: Estimate Total</w:t>
      </w:r>
    </w:p>
    <w:p w14:paraId="4A40D61F" w14:textId="6CAD274E" w:rsidR="00997A73" w:rsidRPr="00BE7DC2" w:rsidRDefault="00997A73" w:rsidP="00997A73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</w:t>
      </w:r>
      <w:r w:rsidR="00091DBA" w:rsidRPr="00BE7DC2">
        <w:rPr>
          <w:rFonts w:cstheme="minorHAnsi"/>
        </w:rPr>
        <w:t>H</w:t>
      </w:r>
      <w:r w:rsidRPr="00BE7DC2">
        <w:rPr>
          <w:rFonts w:cstheme="minorHAnsi"/>
        </w:rPr>
        <w:t>: Household Income in the Past 12 Months (in 2019 inflation-adjusted dollars) (White alone, not Hispanic of Latino Householder)</w:t>
      </w:r>
    </w:p>
    <w:p w14:paraId="67D86A86" w14:textId="005CCEF2" w:rsidR="00ED040A" w:rsidRPr="00BE7DC2" w:rsidRDefault="00ED040A" w:rsidP="00BE0BD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B19001H_015: Estimate Total: $125,000 to $249,999</w:t>
      </w:r>
    </w:p>
    <w:p w14:paraId="747B8319" w14:textId="480D9D41" w:rsidR="00ED040A" w:rsidRPr="00BE7DC2" w:rsidRDefault="00ED040A" w:rsidP="00BE0BD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B19001H_016: Estimate Total: $150,000 to $199,999</w:t>
      </w:r>
    </w:p>
    <w:p w14:paraId="2BB797C1" w14:textId="13BA970B" w:rsidR="00ED040A" w:rsidRPr="00BE7DC2" w:rsidRDefault="00ED040A" w:rsidP="00ED040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B19001H_017: Estimate Total: $200,000 or more</w:t>
      </w:r>
    </w:p>
    <w:p w14:paraId="491D1239" w14:textId="0EA1E650" w:rsidR="00091DBA" w:rsidRPr="00BE7DC2" w:rsidRDefault="00091DBA" w:rsidP="00091DBA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</w:t>
      </w:r>
      <w:r w:rsidR="00F0073A" w:rsidRPr="00BE7DC2">
        <w:rPr>
          <w:rFonts w:cstheme="minorHAnsi"/>
        </w:rPr>
        <w:t>B</w:t>
      </w:r>
      <w:r w:rsidRPr="00BE7DC2">
        <w:rPr>
          <w:rFonts w:cstheme="minorHAnsi"/>
        </w:rPr>
        <w:t>: Household Income in the Past 12 Months (in 2019 inflation-adjusted dollars) (</w:t>
      </w:r>
      <w:r w:rsidR="00F0073A" w:rsidRPr="00BE7DC2">
        <w:rPr>
          <w:rFonts w:cstheme="minorHAnsi"/>
        </w:rPr>
        <w:t>Black or African American Alone Householder</w:t>
      </w:r>
      <w:r w:rsidRPr="00BE7DC2">
        <w:rPr>
          <w:rFonts w:cstheme="minorHAnsi"/>
        </w:rPr>
        <w:t>)</w:t>
      </w:r>
    </w:p>
    <w:p w14:paraId="7B50E2A1" w14:textId="3359947A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_002: Estimate Total: Less than $10,000</w:t>
      </w:r>
    </w:p>
    <w:p w14:paraId="69133718" w14:textId="3C025BD9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_003: Estimate Total: $10,000 to $14,999</w:t>
      </w:r>
    </w:p>
    <w:p w14:paraId="21357042" w14:textId="750043C7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_004: Estimate Total: $15,000 to $19,999</w:t>
      </w:r>
    </w:p>
    <w:p w14:paraId="1A2053F8" w14:textId="5D66A2D6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_005: Estimate Total: $20,000 to $24,999</w:t>
      </w:r>
    </w:p>
    <w:p w14:paraId="562BF5CD" w14:textId="77777777" w:rsidR="004D462A" w:rsidRPr="00822915" w:rsidRDefault="004D462A" w:rsidP="00BE0B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</w:rPr>
      </w:pPr>
    </w:p>
    <w:p w14:paraId="7FA1D3B8" w14:textId="446CCD73" w:rsidR="00E93C27" w:rsidRPr="00E93C27" w:rsidRDefault="00E93C27" w:rsidP="00E9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3C2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F179B63" w14:textId="54AA72A9" w:rsidR="00E93C27" w:rsidRPr="00E93C27" w:rsidRDefault="00E93C27" w:rsidP="00E9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3C2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83E7608" w14:textId="77777777" w:rsidR="00E61839" w:rsidRDefault="00E61839" w:rsidP="00A16408">
      <w:pPr>
        <w:jc w:val="center"/>
      </w:pPr>
    </w:p>
    <w:sectPr w:rsidR="00E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EF6C" w14:textId="77777777" w:rsidR="00A652D2" w:rsidRDefault="00A652D2" w:rsidP="00621422">
      <w:r>
        <w:separator/>
      </w:r>
    </w:p>
  </w:endnote>
  <w:endnote w:type="continuationSeparator" w:id="0">
    <w:p w14:paraId="4DE5DF1C" w14:textId="77777777" w:rsidR="00A652D2" w:rsidRDefault="00A652D2" w:rsidP="00621422">
      <w:r>
        <w:continuationSeparator/>
      </w:r>
    </w:p>
  </w:endnote>
  <w:endnote w:type="continuationNotice" w:id="1">
    <w:p w14:paraId="3898B297" w14:textId="77777777" w:rsidR="00A652D2" w:rsidRDefault="00A65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A585" w14:textId="77777777" w:rsidR="00A652D2" w:rsidRDefault="00A652D2" w:rsidP="00621422">
      <w:r>
        <w:separator/>
      </w:r>
    </w:p>
  </w:footnote>
  <w:footnote w:type="continuationSeparator" w:id="0">
    <w:p w14:paraId="64DEED4B" w14:textId="77777777" w:rsidR="00A652D2" w:rsidRDefault="00A652D2" w:rsidP="00621422">
      <w:r>
        <w:continuationSeparator/>
      </w:r>
    </w:p>
  </w:footnote>
  <w:footnote w:type="continuationNotice" w:id="1">
    <w:p w14:paraId="265744D1" w14:textId="77777777" w:rsidR="00A652D2" w:rsidRDefault="00A652D2"/>
  </w:footnote>
  <w:footnote w:id="2">
    <w:p w14:paraId="2B8F60A3" w14:textId="682B251B" w:rsidR="00EA2309" w:rsidRPr="003045B0" w:rsidRDefault="00EA2309" w:rsidP="003A4C1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>Bhutta</w:t>
      </w:r>
      <w:proofErr w:type="spellEnd"/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, N., Chang, A. C., </w:t>
      </w:r>
      <w:proofErr w:type="spellStart"/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>Dettling</w:t>
      </w:r>
      <w:proofErr w:type="spellEnd"/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>, L. J., &amp; Hsu, J. W. (2020, September 28). </w:t>
      </w:r>
      <w:r w:rsidR="00FA690E" w:rsidRPr="003045B0">
        <w:rPr>
          <w:rFonts w:asciiTheme="minorHAnsi" w:hAnsiTheme="minorHAnsi" w:cstheme="minorHAnsi"/>
          <w:i/>
          <w:iCs/>
          <w:color w:val="000000"/>
          <w:sz w:val="20"/>
          <w:szCs w:val="20"/>
        </w:rPr>
        <w:t>Disparities in Wealth by Race and Ethnicity in the 2019 Survey of Consumer Finances</w:t>
      </w:r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. Board of Governors of the Federal Reserve System. </w:t>
      </w:r>
      <w:hyperlink r:id="rId1" w:history="1">
        <w:r w:rsidR="00FA690E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https://www.federalreserve.gov/econres/notes/feds-notes/disparities-in-wealth-by-race-and-ethnicity-in-the-2019-survey-of-consumer-finances-20200928.htm</w:t>
        </w:r>
      </w:hyperlink>
      <w:r w:rsidR="00FA690E"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73475FD7" w14:textId="6031D394" w:rsidR="0090671C" w:rsidRPr="003045B0" w:rsidRDefault="0090671C" w:rsidP="003A4C1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r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Horowitz, J., </w:t>
      </w:r>
      <w:proofErr w:type="spellStart"/>
      <w:r w:rsidRPr="003045B0">
        <w:rPr>
          <w:rFonts w:asciiTheme="minorHAnsi" w:hAnsiTheme="minorHAnsi" w:cstheme="minorHAnsi"/>
          <w:color w:val="000000"/>
          <w:sz w:val="20"/>
          <w:szCs w:val="20"/>
        </w:rPr>
        <w:t>Igielnik</w:t>
      </w:r>
      <w:proofErr w:type="spellEnd"/>
      <w:r w:rsidRPr="003045B0">
        <w:rPr>
          <w:rFonts w:asciiTheme="minorHAnsi" w:hAnsiTheme="minorHAnsi" w:cstheme="minorHAnsi"/>
          <w:color w:val="000000"/>
          <w:sz w:val="20"/>
          <w:szCs w:val="20"/>
        </w:rPr>
        <w:t>, R., &amp; Kochhar, R. (2020, January 9). </w:t>
      </w:r>
      <w:r w:rsidRPr="003045B0">
        <w:rPr>
          <w:rFonts w:asciiTheme="minorHAnsi" w:hAnsiTheme="minorHAnsi" w:cstheme="minorHAnsi"/>
          <w:i/>
          <w:iCs/>
          <w:color w:val="000000"/>
          <w:sz w:val="20"/>
          <w:szCs w:val="20"/>
        </w:rPr>
        <w:t>Trends in U.S. income and wealth inequality</w:t>
      </w:r>
      <w:r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. Pew Research Center. </w:t>
      </w:r>
      <w:hyperlink r:id="rId2" w:history="1">
        <w:r w:rsidR="00B22703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https://www.pewresearch.org/social-trends/2020/01/09/trends-in-income-and-wealth-inequality/</w:t>
        </w:r>
      </w:hyperlink>
      <w:r w:rsidR="00B22703" w:rsidRPr="003045B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4">
    <w:p w14:paraId="3D79718A" w14:textId="10929150" w:rsidR="003B244F" w:rsidRPr="003045B0" w:rsidRDefault="003B244F" w:rsidP="003A4C17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r w:rsidR="0057456D" w:rsidRPr="003045B0">
        <w:rPr>
          <w:rFonts w:asciiTheme="minorHAnsi" w:hAnsiTheme="minorHAnsi" w:cstheme="minorHAnsi"/>
          <w:sz w:val="20"/>
          <w:szCs w:val="20"/>
        </w:rPr>
        <w:t xml:space="preserve">Krieger, N., Waterman, P. D., </w:t>
      </w:r>
      <w:proofErr w:type="spellStart"/>
      <w:r w:rsidR="0057456D" w:rsidRPr="003045B0">
        <w:rPr>
          <w:rFonts w:asciiTheme="minorHAnsi" w:hAnsiTheme="minorHAnsi" w:cstheme="minorHAnsi"/>
          <w:sz w:val="20"/>
          <w:szCs w:val="20"/>
        </w:rPr>
        <w:t>Spasojevic</w:t>
      </w:r>
      <w:proofErr w:type="spellEnd"/>
      <w:r w:rsidR="0057456D" w:rsidRPr="003045B0">
        <w:rPr>
          <w:rFonts w:asciiTheme="minorHAnsi" w:hAnsiTheme="minorHAnsi" w:cstheme="minorHAnsi"/>
          <w:sz w:val="20"/>
          <w:szCs w:val="20"/>
        </w:rPr>
        <w:t xml:space="preserve">, J., Li, W., Maduro, G., &amp; Van Wye, G. (2016). Public Health Monitoring of Privilege and Deprivation </w:t>
      </w:r>
      <w:r w:rsidR="00BC29F1" w:rsidRPr="003045B0">
        <w:rPr>
          <w:rFonts w:asciiTheme="minorHAnsi" w:hAnsiTheme="minorHAnsi" w:cstheme="minorHAnsi"/>
          <w:sz w:val="20"/>
          <w:szCs w:val="20"/>
        </w:rPr>
        <w:t>with</w:t>
      </w:r>
      <w:r w:rsidR="0057456D" w:rsidRPr="003045B0">
        <w:rPr>
          <w:rFonts w:asciiTheme="minorHAnsi" w:hAnsiTheme="minorHAnsi" w:cstheme="minorHAnsi"/>
          <w:sz w:val="20"/>
          <w:szCs w:val="20"/>
        </w:rPr>
        <w:t xml:space="preserve"> the Index of Concentration at the Extremes. </w:t>
      </w:r>
      <w:r w:rsidR="0057456D" w:rsidRPr="003045B0">
        <w:rPr>
          <w:rFonts w:asciiTheme="minorHAnsi" w:hAnsiTheme="minorHAnsi" w:cstheme="minorHAnsi"/>
          <w:i/>
          <w:iCs/>
          <w:sz w:val="20"/>
          <w:szCs w:val="20"/>
        </w:rPr>
        <w:t>American Journal of Public Health</w:t>
      </w:r>
      <w:r w:rsidR="0057456D" w:rsidRPr="003045B0">
        <w:rPr>
          <w:rFonts w:asciiTheme="minorHAnsi" w:hAnsiTheme="minorHAnsi" w:cstheme="minorHAnsi"/>
          <w:sz w:val="20"/>
          <w:szCs w:val="20"/>
        </w:rPr>
        <w:t xml:space="preserve">, </w:t>
      </w:r>
      <w:r w:rsidR="0057456D" w:rsidRPr="003045B0">
        <w:rPr>
          <w:rFonts w:asciiTheme="minorHAnsi" w:hAnsiTheme="minorHAnsi" w:cstheme="minorHAnsi"/>
          <w:i/>
          <w:iCs/>
          <w:sz w:val="20"/>
          <w:szCs w:val="20"/>
        </w:rPr>
        <w:t>106</w:t>
      </w:r>
      <w:r w:rsidR="0057456D" w:rsidRPr="003045B0">
        <w:rPr>
          <w:rFonts w:asciiTheme="minorHAnsi" w:hAnsiTheme="minorHAnsi" w:cstheme="minorHAnsi"/>
          <w:sz w:val="20"/>
          <w:szCs w:val="20"/>
        </w:rPr>
        <w:t xml:space="preserve">(2), 256–263. </w:t>
      </w:r>
      <w:hyperlink r:id="rId3" w:history="1">
        <w:r w:rsidR="00B22703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https://doi.org/10.2105/ajph.2015.302955</w:t>
        </w:r>
      </w:hyperlink>
      <w:r w:rsidR="00B22703" w:rsidRPr="003045B0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5">
    <w:p w14:paraId="520C82B5" w14:textId="1643584D" w:rsidR="006C176D" w:rsidRPr="003045B0" w:rsidRDefault="006C176D" w:rsidP="003A4C17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r w:rsidR="00E61653" w:rsidRPr="003045B0">
        <w:rPr>
          <w:rFonts w:asciiTheme="minorHAnsi" w:hAnsiTheme="minorHAnsi" w:cstheme="minorHAnsi"/>
          <w:sz w:val="20"/>
          <w:szCs w:val="20"/>
        </w:rPr>
        <w:t xml:space="preserve">Pickett, K. E., &amp; Wilkinson, R. G. (2015). Income inequality and health: A causal review. </w:t>
      </w:r>
      <w:r w:rsidR="00E61653" w:rsidRPr="003045B0">
        <w:rPr>
          <w:rFonts w:asciiTheme="minorHAnsi" w:hAnsiTheme="minorHAnsi" w:cstheme="minorHAnsi"/>
          <w:i/>
          <w:iCs/>
          <w:sz w:val="20"/>
          <w:szCs w:val="20"/>
        </w:rPr>
        <w:t>Social Science &amp; Medicine</w:t>
      </w:r>
      <w:r w:rsidR="00E61653" w:rsidRPr="003045B0">
        <w:rPr>
          <w:rFonts w:asciiTheme="minorHAnsi" w:hAnsiTheme="minorHAnsi" w:cstheme="minorHAnsi"/>
          <w:sz w:val="20"/>
          <w:szCs w:val="20"/>
        </w:rPr>
        <w:t xml:space="preserve">, </w:t>
      </w:r>
      <w:r w:rsidR="00E61653" w:rsidRPr="003045B0">
        <w:rPr>
          <w:rFonts w:asciiTheme="minorHAnsi" w:hAnsiTheme="minorHAnsi" w:cstheme="minorHAnsi"/>
          <w:i/>
          <w:iCs/>
          <w:sz w:val="20"/>
          <w:szCs w:val="20"/>
        </w:rPr>
        <w:t>128</w:t>
      </w:r>
      <w:r w:rsidR="00E61653" w:rsidRPr="003045B0">
        <w:rPr>
          <w:rFonts w:asciiTheme="minorHAnsi" w:hAnsiTheme="minorHAnsi" w:cstheme="minorHAnsi"/>
          <w:sz w:val="20"/>
          <w:szCs w:val="20"/>
        </w:rPr>
        <w:t xml:space="preserve">, 316–326. </w:t>
      </w:r>
      <w:hyperlink r:id="rId4" w:history="1">
        <w:r w:rsidR="00B22703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https://doi.org/10.1016/j.socscimed.2014.12.031</w:t>
        </w:r>
      </w:hyperlink>
      <w:r w:rsidR="00B22703" w:rsidRPr="003045B0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6">
    <w:p w14:paraId="56EB4711" w14:textId="2AA0B5F0" w:rsidR="005838D8" w:rsidRPr="003045B0" w:rsidRDefault="005838D8" w:rsidP="003A4C17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r w:rsidR="00C95F58" w:rsidRPr="003045B0">
        <w:rPr>
          <w:rFonts w:asciiTheme="minorHAnsi" w:hAnsiTheme="minorHAnsi" w:cstheme="minorHAnsi"/>
          <w:sz w:val="20"/>
          <w:szCs w:val="20"/>
        </w:rPr>
        <w:t xml:space="preserve">Patel, V., Burns, J. K., Dhingra, M., Tarver, L., </w:t>
      </w:r>
      <w:proofErr w:type="spellStart"/>
      <w:r w:rsidR="00C95F58" w:rsidRPr="003045B0">
        <w:rPr>
          <w:rFonts w:asciiTheme="minorHAnsi" w:hAnsiTheme="minorHAnsi" w:cstheme="minorHAnsi"/>
          <w:sz w:val="20"/>
          <w:szCs w:val="20"/>
        </w:rPr>
        <w:t>Kohrt</w:t>
      </w:r>
      <w:proofErr w:type="spellEnd"/>
      <w:r w:rsidR="00C95F58" w:rsidRPr="003045B0">
        <w:rPr>
          <w:rFonts w:asciiTheme="minorHAnsi" w:hAnsiTheme="minorHAnsi" w:cstheme="minorHAnsi"/>
          <w:sz w:val="20"/>
          <w:szCs w:val="20"/>
        </w:rPr>
        <w:t xml:space="preserve">, B. A., &amp; Lund, C. (2018). Income inequality and depression: a systematic review and meta-analysis of the association and a scoping review of mechanisms. </w:t>
      </w:r>
      <w:r w:rsidR="00C95F58" w:rsidRPr="003045B0">
        <w:rPr>
          <w:rFonts w:asciiTheme="minorHAnsi" w:hAnsiTheme="minorHAnsi" w:cstheme="minorHAnsi"/>
          <w:i/>
          <w:iCs/>
          <w:sz w:val="20"/>
          <w:szCs w:val="20"/>
        </w:rPr>
        <w:t>World Psychiatry</w:t>
      </w:r>
      <w:r w:rsidR="00C95F58" w:rsidRPr="003045B0">
        <w:rPr>
          <w:rFonts w:asciiTheme="minorHAnsi" w:hAnsiTheme="minorHAnsi" w:cstheme="minorHAnsi"/>
          <w:sz w:val="20"/>
          <w:szCs w:val="20"/>
        </w:rPr>
        <w:t xml:space="preserve">, </w:t>
      </w:r>
      <w:r w:rsidR="00C95F58" w:rsidRPr="003045B0">
        <w:rPr>
          <w:rFonts w:asciiTheme="minorHAnsi" w:hAnsiTheme="minorHAnsi" w:cstheme="minorHAnsi"/>
          <w:i/>
          <w:iCs/>
          <w:sz w:val="20"/>
          <w:szCs w:val="20"/>
        </w:rPr>
        <w:t>17</w:t>
      </w:r>
      <w:r w:rsidR="00C95F58" w:rsidRPr="003045B0">
        <w:rPr>
          <w:rFonts w:asciiTheme="minorHAnsi" w:hAnsiTheme="minorHAnsi" w:cstheme="minorHAnsi"/>
          <w:sz w:val="20"/>
          <w:szCs w:val="20"/>
        </w:rPr>
        <w:t xml:space="preserve">(1), 76–89. </w:t>
      </w:r>
      <w:hyperlink r:id="rId5" w:history="1">
        <w:r w:rsidR="00382A3D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https://doi.org/10.1002/wps.20492</w:t>
        </w:r>
      </w:hyperlink>
      <w:r w:rsidR="00382A3D" w:rsidRPr="003045B0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201B74F5" w14:textId="3F9B3845" w:rsidR="00C603EE" w:rsidRPr="003045B0" w:rsidRDefault="00C603EE" w:rsidP="003A4C17">
      <w:pPr>
        <w:pStyle w:val="FootnoteText"/>
        <w:ind w:left="720" w:hanging="720"/>
        <w:rPr>
          <w:rFonts w:cstheme="minorHAnsi"/>
        </w:rPr>
      </w:pPr>
      <w:r w:rsidRPr="003045B0">
        <w:rPr>
          <w:rStyle w:val="FootnoteReference"/>
          <w:rFonts w:cstheme="minorHAnsi"/>
        </w:rPr>
        <w:footnoteRef/>
      </w:r>
      <w:r w:rsidRPr="003045B0">
        <w:rPr>
          <w:rFonts w:cstheme="minorHAnsi"/>
        </w:rPr>
        <w:t xml:space="preserve"> Feldman, J. M., Waterman, P. D., </w:t>
      </w:r>
      <w:proofErr w:type="spellStart"/>
      <w:r w:rsidRPr="003045B0">
        <w:rPr>
          <w:rFonts w:cstheme="minorHAnsi"/>
        </w:rPr>
        <w:t>Coull</w:t>
      </w:r>
      <w:proofErr w:type="spellEnd"/>
      <w:r w:rsidRPr="003045B0">
        <w:rPr>
          <w:rFonts w:cstheme="minorHAnsi"/>
        </w:rPr>
        <w:t xml:space="preserve">, B. A., &amp; Krieger, N. (2015). Spatial social </w:t>
      </w:r>
      <w:proofErr w:type="spellStart"/>
      <w:r w:rsidRPr="003045B0">
        <w:rPr>
          <w:rFonts w:cstheme="minorHAnsi"/>
        </w:rPr>
        <w:t>polarisation</w:t>
      </w:r>
      <w:proofErr w:type="spellEnd"/>
      <w:r w:rsidRPr="003045B0">
        <w:rPr>
          <w:rFonts w:cstheme="minorHAnsi"/>
        </w:rPr>
        <w:t xml:space="preserve">: using the Index of Concentration at the Extremes jointly for income and race/ethnicity to </w:t>
      </w:r>
      <w:proofErr w:type="spellStart"/>
      <w:r w:rsidRPr="003045B0">
        <w:rPr>
          <w:rFonts w:cstheme="minorHAnsi"/>
        </w:rPr>
        <w:t>analyse</w:t>
      </w:r>
      <w:proofErr w:type="spellEnd"/>
      <w:r w:rsidRPr="003045B0">
        <w:rPr>
          <w:rFonts w:cstheme="minorHAnsi"/>
        </w:rPr>
        <w:t xml:space="preserve"> risk of hypertension. </w:t>
      </w:r>
      <w:r w:rsidRPr="003045B0">
        <w:rPr>
          <w:rFonts w:cstheme="minorHAnsi"/>
          <w:i/>
          <w:iCs/>
        </w:rPr>
        <w:t>Journal of Epidemiology and Community Health</w:t>
      </w:r>
      <w:r w:rsidRPr="003045B0">
        <w:rPr>
          <w:rFonts w:cstheme="minorHAnsi"/>
        </w:rPr>
        <w:t xml:space="preserve">, </w:t>
      </w:r>
      <w:r w:rsidRPr="003045B0">
        <w:rPr>
          <w:rFonts w:cstheme="minorHAnsi"/>
          <w:i/>
          <w:iCs/>
        </w:rPr>
        <w:t>69</w:t>
      </w:r>
      <w:r w:rsidRPr="003045B0">
        <w:rPr>
          <w:rFonts w:cstheme="minorHAnsi"/>
        </w:rPr>
        <w:t xml:space="preserve">(12), 1199–1207. </w:t>
      </w:r>
      <w:hyperlink r:id="rId6" w:history="1">
        <w:r w:rsidRPr="003045B0">
          <w:rPr>
            <w:rStyle w:val="Hyperlink"/>
            <w:rFonts w:cstheme="minorHAnsi"/>
          </w:rPr>
          <w:t>https://doi.org/10.1136/jech-2015-205728</w:t>
        </w:r>
      </w:hyperlink>
    </w:p>
  </w:footnote>
  <w:footnote w:id="8">
    <w:p w14:paraId="74ADE5E6" w14:textId="473AD0A9" w:rsidR="00BA004D" w:rsidRPr="003045B0" w:rsidRDefault="00BA004D" w:rsidP="003A4C17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3045B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045B0">
        <w:rPr>
          <w:rFonts w:asciiTheme="minorHAnsi" w:hAnsiTheme="minorHAnsi" w:cstheme="minorHAnsi"/>
          <w:sz w:val="20"/>
          <w:szCs w:val="20"/>
        </w:rPr>
        <w:t xml:space="preserve"> </w:t>
      </w:r>
      <w:r w:rsidR="001340FC" w:rsidRPr="003045B0">
        <w:rPr>
          <w:rFonts w:asciiTheme="minorHAnsi" w:hAnsiTheme="minorHAnsi" w:cstheme="minorHAnsi"/>
          <w:sz w:val="20"/>
          <w:szCs w:val="20"/>
        </w:rPr>
        <w:t xml:space="preserve">Chambers, B. D., Baer, R. J., McLemore, M. R., &amp; </w:t>
      </w:r>
      <w:proofErr w:type="spellStart"/>
      <w:r w:rsidR="001340FC" w:rsidRPr="003045B0">
        <w:rPr>
          <w:rFonts w:asciiTheme="minorHAnsi" w:hAnsiTheme="minorHAnsi" w:cstheme="minorHAnsi"/>
          <w:sz w:val="20"/>
          <w:szCs w:val="20"/>
        </w:rPr>
        <w:t>Jelliffe</w:t>
      </w:r>
      <w:proofErr w:type="spellEnd"/>
      <w:r w:rsidR="001340FC" w:rsidRPr="003045B0">
        <w:rPr>
          <w:rFonts w:asciiTheme="minorHAnsi" w:hAnsiTheme="minorHAnsi" w:cstheme="minorHAnsi"/>
          <w:sz w:val="20"/>
          <w:szCs w:val="20"/>
        </w:rPr>
        <w:t xml:space="preserve">-Pawlowski, L. L. (2018). Using Index of Concentration at the Extremes as Indicators of Structural Racism to Evaluate the Association with Preterm Birth and Infant Mortality—California, 2011–2012. </w:t>
      </w:r>
      <w:r w:rsidR="001340FC" w:rsidRPr="003045B0">
        <w:rPr>
          <w:rFonts w:asciiTheme="minorHAnsi" w:hAnsiTheme="minorHAnsi" w:cstheme="minorHAnsi"/>
          <w:i/>
          <w:iCs/>
          <w:sz w:val="20"/>
          <w:szCs w:val="20"/>
        </w:rPr>
        <w:t>Journal of Urban Health</w:t>
      </w:r>
      <w:r w:rsidR="001340FC" w:rsidRPr="003045B0">
        <w:rPr>
          <w:rFonts w:asciiTheme="minorHAnsi" w:hAnsiTheme="minorHAnsi" w:cstheme="minorHAnsi"/>
          <w:sz w:val="20"/>
          <w:szCs w:val="20"/>
        </w:rPr>
        <w:t xml:space="preserve">, </w:t>
      </w:r>
      <w:r w:rsidR="001340FC" w:rsidRPr="003045B0">
        <w:rPr>
          <w:rFonts w:asciiTheme="minorHAnsi" w:hAnsiTheme="minorHAnsi" w:cstheme="minorHAnsi"/>
          <w:i/>
          <w:iCs/>
          <w:sz w:val="20"/>
          <w:szCs w:val="20"/>
        </w:rPr>
        <w:t>96</w:t>
      </w:r>
      <w:r w:rsidR="001340FC" w:rsidRPr="003045B0">
        <w:rPr>
          <w:rFonts w:asciiTheme="minorHAnsi" w:hAnsiTheme="minorHAnsi" w:cstheme="minorHAnsi"/>
          <w:sz w:val="20"/>
          <w:szCs w:val="20"/>
        </w:rPr>
        <w:t xml:space="preserve">(2), 159–170. </w:t>
      </w:r>
      <w:hyperlink r:id="rId7" w:history="1">
        <w:r w:rsidR="00382A3D" w:rsidRPr="003045B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https://doi.org/10.1007/s11524-018-0272-4</w:t>
        </w:r>
      </w:hyperlink>
      <w:r w:rsidR="00382A3D" w:rsidRPr="003045B0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9">
    <w:p w14:paraId="68B75A5A" w14:textId="1DDEBA0B" w:rsidR="00810AE8" w:rsidRPr="003045B0" w:rsidRDefault="00810AE8" w:rsidP="003A4C17">
      <w:pPr>
        <w:pStyle w:val="FootnoteText"/>
        <w:ind w:left="720" w:hanging="720"/>
        <w:rPr>
          <w:rFonts w:cstheme="minorHAnsi"/>
        </w:rPr>
      </w:pPr>
      <w:r w:rsidRPr="003045B0">
        <w:rPr>
          <w:rStyle w:val="FootnoteReference"/>
          <w:rFonts w:cstheme="minorHAnsi"/>
        </w:rPr>
        <w:footnoteRef/>
      </w:r>
      <w:r w:rsidRPr="003045B0">
        <w:rPr>
          <w:rFonts w:cstheme="minorHAnsi"/>
        </w:rPr>
        <w:t xml:space="preserve"> Krieger, N., Kim, R., Feldman, J., &amp; Waterman, P. D. (2018). Using the Index of Concentration at the Extremes at multiple geographical levels to monitor health inequities in an era of growing spatial social polarization: Massachusetts, USA (2010–14). </w:t>
      </w:r>
      <w:r w:rsidRPr="003045B0">
        <w:rPr>
          <w:rFonts w:cstheme="minorHAnsi"/>
          <w:i/>
          <w:iCs/>
        </w:rPr>
        <w:t>International Journal of Epidemiology</w:t>
      </w:r>
      <w:r w:rsidRPr="003045B0">
        <w:rPr>
          <w:rFonts w:cstheme="minorHAnsi"/>
        </w:rPr>
        <w:t xml:space="preserve">, </w:t>
      </w:r>
      <w:r w:rsidRPr="003045B0">
        <w:rPr>
          <w:rFonts w:cstheme="minorHAnsi"/>
          <w:i/>
          <w:iCs/>
        </w:rPr>
        <w:t>47</w:t>
      </w:r>
      <w:r w:rsidRPr="003045B0">
        <w:rPr>
          <w:rFonts w:cstheme="minorHAnsi"/>
        </w:rPr>
        <w:t xml:space="preserve">(3), 788–819. </w:t>
      </w:r>
      <w:hyperlink r:id="rId8" w:history="1">
        <w:r w:rsidR="00382A3D" w:rsidRPr="003045B0">
          <w:rPr>
            <w:rStyle w:val="Hyperlink"/>
            <w:rFonts w:cstheme="minorHAnsi"/>
          </w:rPr>
          <w:t>https://doi.org/10.1093/ije/dyy004</w:t>
        </w:r>
      </w:hyperlink>
      <w:r w:rsidR="00382A3D" w:rsidRPr="003045B0">
        <w:rPr>
          <w:rFonts w:cstheme="minorHAnsi"/>
        </w:rPr>
        <w:t xml:space="preserve"> </w:t>
      </w:r>
    </w:p>
  </w:footnote>
  <w:footnote w:id="10">
    <w:p w14:paraId="7608F005" w14:textId="24F5FBF0" w:rsidR="00760674" w:rsidRPr="003045B0" w:rsidRDefault="00760674" w:rsidP="003A4C17">
      <w:pPr>
        <w:pStyle w:val="FootnoteText"/>
        <w:ind w:left="720" w:hanging="720"/>
        <w:rPr>
          <w:rFonts w:cstheme="minorHAnsi"/>
        </w:rPr>
      </w:pPr>
      <w:r w:rsidRPr="003045B0">
        <w:rPr>
          <w:rStyle w:val="FootnoteReference"/>
          <w:rFonts w:cstheme="minorHAnsi"/>
        </w:rPr>
        <w:footnoteRef/>
      </w:r>
      <w:r w:rsidRPr="003045B0">
        <w:rPr>
          <w:rFonts w:cstheme="minorHAnsi"/>
        </w:rPr>
        <w:t xml:space="preserve"> </w:t>
      </w:r>
      <w:r w:rsidR="003A4C17" w:rsidRPr="003045B0">
        <w:rPr>
          <w:rFonts w:cstheme="minorHAnsi"/>
        </w:rPr>
        <w:t>Ibid</w:t>
      </w:r>
      <w:r w:rsidRPr="003045B0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0635"/>
    <w:multiLevelType w:val="hybridMultilevel"/>
    <w:tmpl w:val="BDA0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1B8C"/>
    <w:multiLevelType w:val="hybridMultilevel"/>
    <w:tmpl w:val="03203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0009C"/>
    <w:multiLevelType w:val="hybridMultilevel"/>
    <w:tmpl w:val="683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2"/>
  </w:num>
  <w:num w:numId="5">
    <w:abstractNumId w:val="8"/>
  </w:num>
  <w:num w:numId="6">
    <w:abstractNumId w:val="0"/>
  </w:num>
  <w:num w:numId="7">
    <w:abstractNumId w:val="13"/>
  </w:num>
  <w:num w:numId="8">
    <w:abstractNumId w:val="1"/>
  </w:num>
  <w:num w:numId="9">
    <w:abstractNumId w:val="16"/>
  </w:num>
  <w:num w:numId="10">
    <w:abstractNumId w:val="5"/>
  </w:num>
  <w:num w:numId="11">
    <w:abstractNumId w:val="17"/>
  </w:num>
  <w:num w:numId="12">
    <w:abstractNumId w:val="4"/>
  </w:num>
  <w:num w:numId="13">
    <w:abstractNumId w:val="15"/>
  </w:num>
  <w:num w:numId="14">
    <w:abstractNumId w:val="7"/>
  </w:num>
  <w:num w:numId="15">
    <w:abstractNumId w:val="10"/>
  </w:num>
  <w:num w:numId="16">
    <w:abstractNumId w:val="2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31B8"/>
    <w:rsid w:val="00003F16"/>
    <w:rsid w:val="00005E13"/>
    <w:rsid w:val="00006239"/>
    <w:rsid w:val="000109AF"/>
    <w:rsid w:val="00010A16"/>
    <w:rsid w:val="00014631"/>
    <w:rsid w:val="00015A66"/>
    <w:rsid w:val="00017637"/>
    <w:rsid w:val="00017F04"/>
    <w:rsid w:val="000262CC"/>
    <w:rsid w:val="00031724"/>
    <w:rsid w:val="000344AE"/>
    <w:rsid w:val="00035941"/>
    <w:rsid w:val="00043E43"/>
    <w:rsid w:val="00057C74"/>
    <w:rsid w:val="000658C4"/>
    <w:rsid w:val="00066504"/>
    <w:rsid w:val="00067DFF"/>
    <w:rsid w:val="0007479D"/>
    <w:rsid w:val="00082B14"/>
    <w:rsid w:val="00082C3D"/>
    <w:rsid w:val="00082D9B"/>
    <w:rsid w:val="0008657A"/>
    <w:rsid w:val="000905B5"/>
    <w:rsid w:val="00091DBA"/>
    <w:rsid w:val="000A491F"/>
    <w:rsid w:val="000A7A3F"/>
    <w:rsid w:val="000B0048"/>
    <w:rsid w:val="000B1C41"/>
    <w:rsid w:val="000B2D9B"/>
    <w:rsid w:val="000C7B61"/>
    <w:rsid w:val="000D4B8A"/>
    <w:rsid w:val="000D5C93"/>
    <w:rsid w:val="000E1E42"/>
    <w:rsid w:val="000E2016"/>
    <w:rsid w:val="000F084E"/>
    <w:rsid w:val="000F2278"/>
    <w:rsid w:val="000F54B2"/>
    <w:rsid w:val="000F6943"/>
    <w:rsid w:val="000F7392"/>
    <w:rsid w:val="00101D32"/>
    <w:rsid w:val="00103BE1"/>
    <w:rsid w:val="00105E57"/>
    <w:rsid w:val="00106957"/>
    <w:rsid w:val="00115761"/>
    <w:rsid w:val="00117CE3"/>
    <w:rsid w:val="001273F5"/>
    <w:rsid w:val="001340FC"/>
    <w:rsid w:val="00137CD3"/>
    <w:rsid w:val="00141C28"/>
    <w:rsid w:val="00143CCB"/>
    <w:rsid w:val="00144D3F"/>
    <w:rsid w:val="0017172B"/>
    <w:rsid w:val="00180268"/>
    <w:rsid w:val="00181F4B"/>
    <w:rsid w:val="00190959"/>
    <w:rsid w:val="00192ABE"/>
    <w:rsid w:val="00196195"/>
    <w:rsid w:val="001B437D"/>
    <w:rsid w:val="001B5F77"/>
    <w:rsid w:val="001B6722"/>
    <w:rsid w:val="001C1F14"/>
    <w:rsid w:val="001D0DC7"/>
    <w:rsid w:val="001D5179"/>
    <w:rsid w:val="001E1BC0"/>
    <w:rsid w:val="001E698F"/>
    <w:rsid w:val="001E77D3"/>
    <w:rsid w:val="001F79C6"/>
    <w:rsid w:val="00202333"/>
    <w:rsid w:val="00204E88"/>
    <w:rsid w:val="00205598"/>
    <w:rsid w:val="00206FE1"/>
    <w:rsid w:val="00213AF5"/>
    <w:rsid w:val="00222DD8"/>
    <w:rsid w:val="00224288"/>
    <w:rsid w:val="00234447"/>
    <w:rsid w:val="0023466D"/>
    <w:rsid w:val="002346F5"/>
    <w:rsid w:val="002360DF"/>
    <w:rsid w:val="002469D3"/>
    <w:rsid w:val="00246BDC"/>
    <w:rsid w:val="00247173"/>
    <w:rsid w:val="00247C44"/>
    <w:rsid w:val="00250640"/>
    <w:rsid w:val="0025728B"/>
    <w:rsid w:val="002649BE"/>
    <w:rsid w:val="00270F6B"/>
    <w:rsid w:val="00277B30"/>
    <w:rsid w:val="00281F72"/>
    <w:rsid w:val="00282585"/>
    <w:rsid w:val="0028795E"/>
    <w:rsid w:val="00293FF6"/>
    <w:rsid w:val="002A6B09"/>
    <w:rsid w:val="002A7EFC"/>
    <w:rsid w:val="002B62F5"/>
    <w:rsid w:val="002B6F8E"/>
    <w:rsid w:val="002C0AED"/>
    <w:rsid w:val="002C2C28"/>
    <w:rsid w:val="002C46D0"/>
    <w:rsid w:val="002C4DEF"/>
    <w:rsid w:val="002D043E"/>
    <w:rsid w:val="002D31E1"/>
    <w:rsid w:val="002E3EAC"/>
    <w:rsid w:val="002E49DB"/>
    <w:rsid w:val="002F0D54"/>
    <w:rsid w:val="002F59B6"/>
    <w:rsid w:val="00301D13"/>
    <w:rsid w:val="00302737"/>
    <w:rsid w:val="003045B0"/>
    <w:rsid w:val="00313870"/>
    <w:rsid w:val="00321B07"/>
    <w:rsid w:val="00322592"/>
    <w:rsid w:val="00326F71"/>
    <w:rsid w:val="003279FF"/>
    <w:rsid w:val="00336D5E"/>
    <w:rsid w:val="003447E8"/>
    <w:rsid w:val="00352FEF"/>
    <w:rsid w:val="00356360"/>
    <w:rsid w:val="00356B7B"/>
    <w:rsid w:val="003578D2"/>
    <w:rsid w:val="003618D1"/>
    <w:rsid w:val="003628E7"/>
    <w:rsid w:val="00372C01"/>
    <w:rsid w:val="00373A56"/>
    <w:rsid w:val="00380C6C"/>
    <w:rsid w:val="00381952"/>
    <w:rsid w:val="00382A3D"/>
    <w:rsid w:val="00382C39"/>
    <w:rsid w:val="00383BB8"/>
    <w:rsid w:val="00392E30"/>
    <w:rsid w:val="0039535F"/>
    <w:rsid w:val="00396920"/>
    <w:rsid w:val="00396BCB"/>
    <w:rsid w:val="003A08D9"/>
    <w:rsid w:val="003A178B"/>
    <w:rsid w:val="003A2AA6"/>
    <w:rsid w:val="003A2C03"/>
    <w:rsid w:val="003A4113"/>
    <w:rsid w:val="003A4C17"/>
    <w:rsid w:val="003A760C"/>
    <w:rsid w:val="003B244F"/>
    <w:rsid w:val="003C22D6"/>
    <w:rsid w:val="003C7FF1"/>
    <w:rsid w:val="003D1192"/>
    <w:rsid w:val="003D327C"/>
    <w:rsid w:val="003E0FCC"/>
    <w:rsid w:val="003E333D"/>
    <w:rsid w:val="003E542E"/>
    <w:rsid w:val="003E7519"/>
    <w:rsid w:val="003F269F"/>
    <w:rsid w:val="003F2D47"/>
    <w:rsid w:val="003F46EC"/>
    <w:rsid w:val="003F50AD"/>
    <w:rsid w:val="0040105E"/>
    <w:rsid w:val="0041129E"/>
    <w:rsid w:val="00412D30"/>
    <w:rsid w:val="0041339D"/>
    <w:rsid w:val="00415630"/>
    <w:rsid w:val="00420359"/>
    <w:rsid w:val="00421CE4"/>
    <w:rsid w:val="00424162"/>
    <w:rsid w:val="00426796"/>
    <w:rsid w:val="00427021"/>
    <w:rsid w:val="00430233"/>
    <w:rsid w:val="00430ECA"/>
    <w:rsid w:val="00433CEA"/>
    <w:rsid w:val="0043612D"/>
    <w:rsid w:val="0044561E"/>
    <w:rsid w:val="00450095"/>
    <w:rsid w:val="004559BB"/>
    <w:rsid w:val="00457838"/>
    <w:rsid w:val="0046040B"/>
    <w:rsid w:val="00460718"/>
    <w:rsid w:val="004648D2"/>
    <w:rsid w:val="004663E1"/>
    <w:rsid w:val="00470531"/>
    <w:rsid w:val="004739A1"/>
    <w:rsid w:val="004755CD"/>
    <w:rsid w:val="00475937"/>
    <w:rsid w:val="0048016B"/>
    <w:rsid w:val="00480A37"/>
    <w:rsid w:val="00483779"/>
    <w:rsid w:val="00484863"/>
    <w:rsid w:val="00486B2A"/>
    <w:rsid w:val="00494994"/>
    <w:rsid w:val="00495B0F"/>
    <w:rsid w:val="004A0051"/>
    <w:rsid w:val="004A746E"/>
    <w:rsid w:val="004A7D20"/>
    <w:rsid w:val="004B02A2"/>
    <w:rsid w:val="004C0BC8"/>
    <w:rsid w:val="004C1E94"/>
    <w:rsid w:val="004C2559"/>
    <w:rsid w:val="004C4292"/>
    <w:rsid w:val="004C4D1D"/>
    <w:rsid w:val="004C5CE5"/>
    <w:rsid w:val="004C6AF2"/>
    <w:rsid w:val="004D462A"/>
    <w:rsid w:val="004D7C8F"/>
    <w:rsid w:val="004E37E8"/>
    <w:rsid w:val="004E739F"/>
    <w:rsid w:val="004E78CF"/>
    <w:rsid w:val="00502552"/>
    <w:rsid w:val="00515D94"/>
    <w:rsid w:val="00515DA7"/>
    <w:rsid w:val="00523739"/>
    <w:rsid w:val="00535CC5"/>
    <w:rsid w:val="00541485"/>
    <w:rsid w:val="005429A8"/>
    <w:rsid w:val="00546906"/>
    <w:rsid w:val="00546D1F"/>
    <w:rsid w:val="00547434"/>
    <w:rsid w:val="00547A78"/>
    <w:rsid w:val="00550602"/>
    <w:rsid w:val="00555DD2"/>
    <w:rsid w:val="005610CD"/>
    <w:rsid w:val="00561472"/>
    <w:rsid w:val="00562C16"/>
    <w:rsid w:val="005675E2"/>
    <w:rsid w:val="00567DE9"/>
    <w:rsid w:val="00572050"/>
    <w:rsid w:val="005731F9"/>
    <w:rsid w:val="0057456D"/>
    <w:rsid w:val="00575CFA"/>
    <w:rsid w:val="00576EDE"/>
    <w:rsid w:val="0058174B"/>
    <w:rsid w:val="00582876"/>
    <w:rsid w:val="005830A5"/>
    <w:rsid w:val="005838D8"/>
    <w:rsid w:val="005A71DB"/>
    <w:rsid w:val="005E261B"/>
    <w:rsid w:val="005E47B8"/>
    <w:rsid w:val="005F09DA"/>
    <w:rsid w:val="005F189B"/>
    <w:rsid w:val="005F42FF"/>
    <w:rsid w:val="005F462B"/>
    <w:rsid w:val="0060038A"/>
    <w:rsid w:val="00601594"/>
    <w:rsid w:val="006050FB"/>
    <w:rsid w:val="00610FD7"/>
    <w:rsid w:val="006174D1"/>
    <w:rsid w:val="00621422"/>
    <w:rsid w:val="006411AF"/>
    <w:rsid w:val="00641971"/>
    <w:rsid w:val="006419D8"/>
    <w:rsid w:val="006419E2"/>
    <w:rsid w:val="00642DC3"/>
    <w:rsid w:val="0064393B"/>
    <w:rsid w:val="006446C3"/>
    <w:rsid w:val="00660E1B"/>
    <w:rsid w:val="00661872"/>
    <w:rsid w:val="0066189F"/>
    <w:rsid w:val="00665A96"/>
    <w:rsid w:val="00694C94"/>
    <w:rsid w:val="006978BB"/>
    <w:rsid w:val="006B06E3"/>
    <w:rsid w:val="006B19EB"/>
    <w:rsid w:val="006B732C"/>
    <w:rsid w:val="006C176D"/>
    <w:rsid w:val="006C2089"/>
    <w:rsid w:val="006D2F26"/>
    <w:rsid w:val="006E19F6"/>
    <w:rsid w:val="006E66CE"/>
    <w:rsid w:val="006F502E"/>
    <w:rsid w:val="006F6463"/>
    <w:rsid w:val="0070276E"/>
    <w:rsid w:val="00705D0C"/>
    <w:rsid w:val="00710586"/>
    <w:rsid w:val="00717E59"/>
    <w:rsid w:val="00720D08"/>
    <w:rsid w:val="0072111F"/>
    <w:rsid w:val="00734873"/>
    <w:rsid w:val="00741296"/>
    <w:rsid w:val="007428D0"/>
    <w:rsid w:val="0074329A"/>
    <w:rsid w:val="00744FEB"/>
    <w:rsid w:val="007578E9"/>
    <w:rsid w:val="00760674"/>
    <w:rsid w:val="0076197F"/>
    <w:rsid w:val="007631AA"/>
    <w:rsid w:val="00774EC9"/>
    <w:rsid w:val="00776DF8"/>
    <w:rsid w:val="00783675"/>
    <w:rsid w:val="007861D5"/>
    <w:rsid w:val="00786EE4"/>
    <w:rsid w:val="00790C38"/>
    <w:rsid w:val="007973D3"/>
    <w:rsid w:val="007A0974"/>
    <w:rsid w:val="007A27EE"/>
    <w:rsid w:val="007C1C85"/>
    <w:rsid w:val="007C5A29"/>
    <w:rsid w:val="007D09A4"/>
    <w:rsid w:val="007F755B"/>
    <w:rsid w:val="007F7FFE"/>
    <w:rsid w:val="00800C7A"/>
    <w:rsid w:val="0081035A"/>
    <w:rsid w:val="00810AE8"/>
    <w:rsid w:val="008131AA"/>
    <w:rsid w:val="00822915"/>
    <w:rsid w:val="0082341F"/>
    <w:rsid w:val="00824FEF"/>
    <w:rsid w:val="00825E34"/>
    <w:rsid w:val="008277ED"/>
    <w:rsid w:val="00834819"/>
    <w:rsid w:val="00837C47"/>
    <w:rsid w:val="00841626"/>
    <w:rsid w:val="00841D17"/>
    <w:rsid w:val="008441A6"/>
    <w:rsid w:val="00847EC9"/>
    <w:rsid w:val="008510AB"/>
    <w:rsid w:val="0085615A"/>
    <w:rsid w:val="008612DC"/>
    <w:rsid w:val="00861635"/>
    <w:rsid w:val="00862105"/>
    <w:rsid w:val="0087007A"/>
    <w:rsid w:val="00871C5B"/>
    <w:rsid w:val="008866DB"/>
    <w:rsid w:val="008A2143"/>
    <w:rsid w:val="008A253D"/>
    <w:rsid w:val="008A6402"/>
    <w:rsid w:val="008B110E"/>
    <w:rsid w:val="008B2B9C"/>
    <w:rsid w:val="008C29E8"/>
    <w:rsid w:val="008D3CB2"/>
    <w:rsid w:val="008D41E3"/>
    <w:rsid w:val="008D619D"/>
    <w:rsid w:val="008E5B9E"/>
    <w:rsid w:val="008E6E54"/>
    <w:rsid w:val="008F3B8F"/>
    <w:rsid w:val="0090084D"/>
    <w:rsid w:val="00901208"/>
    <w:rsid w:val="009014F7"/>
    <w:rsid w:val="00901B59"/>
    <w:rsid w:val="00904F58"/>
    <w:rsid w:val="00906291"/>
    <w:rsid w:val="0090671C"/>
    <w:rsid w:val="00915A6A"/>
    <w:rsid w:val="00917071"/>
    <w:rsid w:val="009245F3"/>
    <w:rsid w:val="00930000"/>
    <w:rsid w:val="009372D5"/>
    <w:rsid w:val="00937855"/>
    <w:rsid w:val="00940BAE"/>
    <w:rsid w:val="00942C74"/>
    <w:rsid w:val="00950805"/>
    <w:rsid w:val="00951D71"/>
    <w:rsid w:val="00962309"/>
    <w:rsid w:val="00965357"/>
    <w:rsid w:val="00965A2D"/>
    <w:rsid w:val="009703A8"/>
    <w:rsid w:val="00976B62"/>
    <w:rsid w:val="0098235A"/>
    <w:rsid w:val="00987260"/>
    <w:rsid w:val="0099151B"/>
    <w:rsid w:val="009921AC"/>
    <w:rsid w:val="00994208"/>
    <w:rsid w:val="00997A73"/>
    <w:rsid w:val="009A1417"/>
    <w:rsid w:val="009A1FD7"/>
    <w:rsid w:val="009A588C"/>
    <w:rsid w:val="009B0422"/>
    <w:rsid w:val="009B059E"/>
    <w:rsid w:val="009B491E"/>
    <w:rsid w:val="009B62EA"/>
    <w:rsid w:val="009D50D4"/>
    <w:rsid w:val="009D5EA8"/>
    <w:rsid w:val="009E2270"/>
    <w:rsid w:val="009E56D4"/>
    <w:rsid w:val="009F2B3C"/>
    <w:rsid w:val="009F4D8F"/>
    <w:rsid w:val="009F7096"/>
    <w:rsid w:val="00A02F7E"/>
    <w:rsid w:val="00A039B6"/>
    <w:rsid w:val="00A04F50"/>
    <w:rsid w:val="00A11874"/>
    <w:rsid w:val="00A16408"/>
    <w:rsid w:val="00A17628"/>
    <w:rsid w:val="00A2205A"/>
    <w:rsid w:val="00A31860"/>
    <w:rsid w:val="00A3275C"/>
    <w:rsid w:val="00A34BBA"/>
    <w:rsid w:val="00A4000B"/>
    <w:rsid w:val="00A43452"/>
    <w:rsid w:val="00A446E2"/>
    <w:rsid w:val="00A44BD9"/>
    <w:rsid w:val="00A519FC"/>
    <w:rsid w:val="00A6254F"/>
    <w:rsid w:val="00A648FA"/>
    <w:rsid w:val="00A64B3C"/>
    <w:rsid w:val="00A652D2"/>
    <w:rsid w:val="00A73104"/>
    <w:rsid w:val="00A75AB7"/>
    <w:rsid w:val="00A81753"/>
    <w:rsid w:val="00A85E6C"/>
    <w:rsid w:val="00A90D00"/>
    <w:rsid w:val="00A96381"/>
    <w:rsid w:val="00AA30DA"/>
    <w:rsid w:val="00AA5AB9"/>
    <w:rsid w:val="00AA7101"/>
    <w:rsid w:val="00AB2824"/>
    <w:rsid w:val="00AB53F6"/>
    <w:rsid w:val="00AB5702"/>
    <w:rsid w:val="00AC287B"/>
    <w:rsid w:val="00AC3DA4"/>
    <w:rsid w:val="00AD0792"/>
    <w:rsid w:val="00AD0E8A"/>
    <w:rsid w:val="00AD118D"/>
    <w:rsid w:val="00AD1767"/>
    <w:rsid w:val="00AD5780"/>
    <w:rsid w:val="00AD59BB"/>
    <w:rsid w:val="00AD7B36"/>
    <w:rsid w:val="00AE0255"/>
    <w:rsid w:val="00AE261C"/>
    <w:rsid w:val="00AF01CB"/>
    <w:rsid w:val="00AF4077"/>
    <w:rsid w:val="00B0211B"/>
    <w:rsid w:val="00B02739"/>
    <w:rsid w:val="00B02F63"/>
    <w:rsid w:val="00B06E73"/>
    <w:rsid w:val="00B07DFB"/>
    <w:rsid w:val="00B105B2"/>
    <w:rsid w:val="00B11B22"/>
    <w:rsid w:val="00B204C5"/>
    <w:rsid w:val="00B21683"/>
    <w:rsid w:val="00B22703"/>
    <w:rsid w:val="00B249D6"/>
    <w:rsid w:val="00B26532"/>
    <w:rsid w:val="00B3045B"/>
    <w:rsid w:val="00B305D8"/>
    <w:rsid w:val="00B3180A"/>
    <w:rsid w:val="00B3565B"/>
    <w:rsid w:val="00B45690"/>
    <w:rsid w:val="00B47522"/>
    <w:rsid w:val="00B4758F"/>
    <w:rsid w:val="00B501DC"/>
    <w:rsid w:val="00B568C4"/>
    <w:rsid w:val="00B66B12"/>
    <w:rsid w:val="00B67A16"/>
    <w:rsid w:val="00B71FC7"/>
    <w:rsid w:val="00B73C4A"/>
    <w:rsid w:val="00B76171"/>
    <w:rsid w:val="00B77980"/>
    <w:rsid w:val="00B858E9"/>
    <w:rsid w:val="00B9142A"/>
    <w:rsid w:val="00B92042"/>
    <w:rsid w:val="00B93EF2"/>
    <w:rsid w:val="00BA004D"/>
    <w:rsid w:val="00BA0383"/>
    <w:rsid w:val="00BA08C8"/>
    <w:rsid w:val="00BA13CF"/>
    <w:rsid w:val="00BA4360"/>
    <w:rsid w:val="00BB551D"/>
    <w:rsid w:val="00BC187F"/>
    <w:rsid w:val="00BC220F"/>
    <w:rsid w:val="00BC29F1"/>
    <w:rsid w:val="00BE0BD1"/>
    <w:rsid w:val="00BE20A4"/>
    <w:rsid w:val="00BE5C5F"/>
    <w:rsid w:val="00BE7DC2"/>
    <w:rsid w:val="00BF135F"/>
    <w:rsid w:val="00BF2FAA"/>
    <w:rsid w:val="00BF3873"/>
    <w:rsid w:val="00C015BA"/>
    <w:rsid w:val="00C1035B"/>
    <w:rsid w:val="00C22106"/>
    <w:rsid w:val="00C301DE"/>
    <w:rsid w:val="00C32DD2"/>
    <w:rsid w:val="00C427C7"/>
    <w:rsid w:val="00C42BFA"/>
    <w:rsid w:val="00C51E4E"/>
    <w:rsid w:val="00C51E91"/>
    <w:rsid w:val="00C526E1"/>
    <w:rsid w:val="00C57171"/>
    <w:rsid w:val="00C603EE"/>
    <w:rsid w:val="00C62E66"/>
    <w:rsid w:val="00C63158"/>
    <w:rsid w:val="00C660C4"/>
    <w:rsid w:val="00C664EC"/>
    <w:rsid w:val="00C674A9"/>
    <w:rsid w:val="00C70A13"/>
    <w:rsid w:val="00C74CB6"/>
    <w:rsid w:val="00C755D7"/>
    <w:rsid w:val="00C7569A"/>
    <w:rsid w:val="00C769F2"/>
    <w:rsid w:val="00C8203C"/>
    <w:rsid w:val="00C855B3"/>
    <w:rsid w:val="00C8665B"/>
    <w:rsid w:val="00C95398"/>
    <w:rsid w:val="00C95F58"/>
    <w:rsid w:val="00C97AF6"/>
    <w:rsid w:val="00CB6192"/>
    <w:rsid w:val="00CB74D7"/>
    <w:rsid w:val="00CC0248"/>
    <w:rsid w:val="00CC23CB"/>
    <w:rsid w:val="00CC6FD7"/>
    <w:rsid w:val="00CC7B8B"/>
    <w:rsid w:val="00CD3020"/>
    <w:rsid w:val="00CD5F75"/>
    <w:rsid w:val="00CD7AC4"/>
    <w:rsid w:val="00CE1BB6"/>
    <w:rsid w:val="00CF3CCE"/>
    <w:rsid w:val="00CF40B0"/>
    <w:rsid w:val="00CF57CC"/>
    <w:rsid w:val="00D05A4B"/>
    <w:rsid w:val="00D07D4C"/>
    <w:rsid w:val="00D145E2"/>
    <w:rsid w:val="00D149CD"/>
    <w:rsid w:val="00D163E7"/>
    <w:rsid w:val="00D16E00"/>
    <w:rsid w:val="00D2587A"/>
    <w:rsid w:val="00D268F7"/>
    <w:rsid w:val="00D26E3E"/>
    <w:rsid w:val="00D26F7A"/>
    <w:rsid w:val="00D27356"/>
    <w:rsid w:val="00D327FB"/>
    <w:rsid w:val="00D33944"/>
    <w:rsid w:val="00D402AF"/>
    <w:rsid w:val="00D41754"/>
    <w:rsid w:val="00D44CAC"/>
    <w:rsid w:val="00D46D35"/>
    <w:rsid w:val="00D50527"/>
    <w:rsid w:val="00D606FB"/>
    <w:rsid w:val="00D66026"/>
    <w:rsid w:val="00D71F96"/>
    <w:rsid w:val="00D73A57"/>
    <w:rsid w:val="00D73B5B"/>
    <w:rsid w:val="00D7663B"/>
    <w:rsid w:val="00D848B1"/>
    <w:rsid w:val="00D85C3D"/>
    <w:rsid w:val="00D85D62"/>
    <w:rsid w:val="00D86BB4"/>
    <w:rsid w:val="00D87E7B"/>
    <w:rsid w:val="00D91112"/>
    <w:rsid w:val="00DA16C3"/>
    <w:rsid w:val="00DA1D85"/>
    <w:rsid w:val="00DA2D82"/>
    <w:rsid w:val="00DB4022"/>
    <w:rsid w:val="00DC1231"/>
    <w:rsid w:val="00DC3B3D"/>
    <w:rsid w:val="00DC4298"/>
    <w:rsid w:val="00DC487E"/>
    <w:rsid w:val="00DC605E"/>
    <w:rsid w:val="00DD196A"/>
    <w:rsid w:val="00DD3CBE"/>
    <w:rsid w:val="00DE2971"/>
    <w:rsid w:val="00DE4462"/>
    <w:rsid w:val="00DE5123"/>
    <w:rsid w:val="00DE5576"/>
    <w:rsid w:val="00DF0361"/>
    <w:rsid w:val="00DF1559"/>
    <w:rsid w:val="00DF1B70"/>
    <w:rsid w:val="00DF387A"/>
    <w:rsid w:val="00E105F0"/>
    <w:rsid w:val="00E1066F"/>
    <w:rsid w:val="00E13FBD"/>
    <w:rsid w:val="00E14656"/>
    <w:rsid w:val="00E21A26"/>
    <w:rsid w:val="00E23145"/>
    <w:rsid w:val="00E2333D"/>
    <w:rsid w:val="00E25B4C"/>
    <w:rsid w:val="00E33295"/>
    <w:rsid w:val="00E34396"/>
    <w:rsid w:val="00E34A5C"/>
    <w:rsid w:val="00E3655A"/>
    <w:rsid w:val="00E450D0"/>
    <w:rsid w:val="00E513FE"/>
    <w:rsid w:val="00E51ADA"/>
    <w:rsid w:val="00E52A6A"/>
    <w:rsid w:val="00E541C4"/>
    <w:rsid w:val="00E559D6"/>
    <w:rsid w:val="00E610FC"/>
    <w:rsid w:val="00E61653"/>
    <w:rsid w:val="00E61839"/>
    <w:rsid w:val="00E625E7"/>
    <w:rsid w:val="00E64F9B"/>
    <w:rsid w:val="00E675E3"/>
    <w:rsid w:val="00E7035E"/>
    <w:rsid w:val="00E70D5B"/>
    <w:rsid w:val="00E775B6"/>
    <w:rsid w:val="00E77C3D"/>
    <w:rsid w:val="00E867FB"/>
    <w:rsid w:val="00E90D4F"/>
    <w:rsid w:val="00E93C27"/>
    <w:rsid w:val="00E95327"/>
    <w:rsid w:val="00E959BC"/>
    <w:rsid w:val="00EA04FC"/>
    <w:rsid w:val="00EA06D5"/>
    <w:rsid w:val="00EA2309"/>
    <w:rsid w:val="00EA3FE4"/>
    <w:rsid w:val="00EA4710"/>
    <w:rsid w:val="00EB0A90"/>
    <w:rsid w:val="00EB4ECE"/>
    <w:rsid w:val="00EC0E29"/>
    <w:rsid w:val="00EC4349"/>
    <w:rsid w:val="00EC670E"/>
    <w:rsid w:val="00ED040A"/>
    <w:rsid w:val="00ED5DD3"/>
    <w:rsid w:val="00ED6351"/>
    <w:rsid w:val="00EE5730"/>
    <w:rsid w:val="00F0073A"/>
    <w:rsid w:val="00F07562"/>
    <w:rsid w:val="00F10345"/>
    <w:rsid w:val="00F10C53"/>
    <w:rsid w:val="00F1579F"/>
    <w:rsid w:val="00F206BC"/>
    <w:rsid w:val="00F260CA"/>
    <w:rsid w:val="00F2637A"/>
    <w:rsid w:val="00F304FE"/>
    <w:rsid w:val="00F41BD1"/>
    <w:rsid w:val="00F43C8F"/>
    <w:rsid w:val="00F45B5C"/>
    <w:rsid w:val="00F5091D"/>
    <w:rsid w:val="00F51E81"/>
    <w:rsid w:val="00F53603"/>
    <w:rsid w:val="00F5501E"/>
    <w:rsid w:val="00F6507C"/>
    <w:rsid w:val="00F673AF"/>
    <w:rsid w:val="00F7204E"/>
    <w:rsid w:val="00F8197B"/>
    <w:rsid w:val="00F85D1A"/>
    <w:rsid w:val="00F87744"/>
    <w:rsid w:val="00F944B0"/>
    <w:rsid w:val="00F94A4F"/>
    <w:rsid w:val="00F95B59"/>
    <w:rsid w:val="00FA0160"/>
    <w:rsid w:val="00FA1F07"/>
    <w:rsid w:val="00FA2D2B"/>
    <w:rsid w:val="00FA2DEE"/>
    <w:rsid w:val="00FA2ED2"/>
    <w:rsid w:val="00FA3AF4"/>
    <w:rsid w:val="00FA690E"/>
    <w:rsid w:val="00FB05D3"/>
    <w:rsid w:val="00FB0CE6"/>
    <w:rsid w:val="00FB10AF"/>
    <w:rsid w:val="00FB3A02"/>
    <w:rsid w:val="00FB5343"/>
    <w:rsid w:val="00FB5A34"/>
    <w:rsid w:val="00FC66F3"/>
    <w:rsid w:val="00FD1CB1"/>
    <w:rsid w:val="00FD26FD"/>
    <w:rsid w:val="00FD5AFD"/>
    <w:rsid w:val="00FD6D06"/>
    <w:rsid w:val="00FE1737"/>
    <w:rsid w:val="00FF0300"/>
    <w:rsid w:val="00FF2D1E"/>
    <w:rsid w:val="00FF4A26"/>
    <w:rsid w:val="00FF69A2"/>
    <w:rsid w:val="0B52D7C5"/>
    <w:rsid w:val="0BB46B91"/>
    <w:rsid w:val="10737436"/>
    <w:rsid w:val="10B0CC70"/>
    <w:rsid w:val="1646B2BB"/>
    <w:rsid w:val="17AAEFF7"/>
    <w:rsid w:val="1B12C3DF"/>
    <w:rsid w:val="1CF78991"/>
    <w:rsid w:val="2FAE8324"/>
    <w:rsid w:val="30A2E9B9"/>
    <w:rsid w:val="353557EF"/>
    <w:rsid w:val="386D3580"/>
    <w:rsid w:val="3C1665E9"/>
    <w:rsid w:val="3D5FBFCA"/>
    <w:rsid w:val="476BA635"/>
    <w:rsid w:val="4D809975"/>
    <w:rsid w:val="4FCCF895"/>
    <w:rsid w:val="53A7274F"/>
    <w:rsid w:val="58189C96"/>
    <w:rsid w:val="5EBC6380"/>
    <w:rsid w:val="640426F4"/>
    <w:rsid w:val="6722E661"/>
    <w:rsid w:val="6857E9A1"/>
    <w:rsid w:val="6ADD7A16"/>
    <w:rsid w:val="6D294105"/>
    <w:rsid w:val="73CFA108"/>
    <w:rsid w:val="7549B654"/>
    <w:rsid w:val="7C3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5809A44-5045-4FA0-B1D8-B73A1808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6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80A37"/>
  </w:style>
  <w:style w:type="character" w:customStyle="1" w:styleId="apple-converted-space">
    <w:name w:val="apple-converted-space"/>
    <w:basedOn w:val="DefaultParagraphFont"/>
    <w:rsid w:val="00EA2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2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93C27"/>
  </w:style>
  <w:style w:type="character" w:customStyle="1" w:styleId="w">
    <w:name w:val="w"/>
    <w:basedOn w:val="DefaultParagraphFont"/>
    <w:rsid w:val="00E93C27"/>
  </w:style>
  <w:style w:type="character" w:customStyle="1" w:styleId="s2">
    <w:name w:val="s2"/>
    <w:basedOn w:val="DefaultParagraphFont"/>
    <w:rsid w:val="00E93C27"/>
  </w:style>
  <w:style w:type="character" w:customStyle="1" w:styleId="p">
    <w:name w:val="p"/>
    <w:basedOn w:val="DefaultParagraphFont"/>
    <w:rsid w:val="00E9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je/dyy004" TargetMode="External"/><Relationship Id="rId3" Type="http://schemas.openxmlformats.org/officeDocument/2006/relationships/hyperlink" Target="https://doi.org/10.2105/ajph.2015.302955" TargetMode="External"/><Relationship Id="rId7" Type="http://schemas.openxmlformats.org/officeDocument/2006/relationships/hyperlink" Target="https://doi.org/10.1007/s11524-018-0272-4" TargetMode="External"/><Relationship Id="rId2" Type="http://schemas.openxmlformats.org/officeDocument/2006/relationships/hyperlink" Target="https://www.pewresearch.org/social-trends/2020/01/09/trends-in-income-and-wealth-inequality/" TargetMode="External"/><Relationship Id="rId1" Type="http://schemas.openxmlformats.org/officeDocument/2006/relationships/hyperlink" Target="https://www.federalreserve.gov/econres/notes/feds-notes/disparities-in-wealth-by-race-and-ethnicity-in-the-2019-survey-of-consumer-finances-20200928.htm" TargetMode="External"/><Relationship Id="rId6" Type="http://schemas.openxmlformats.org/officeDocument/2006/relationships/hyperlink" Target="https://doi.org/10.1136/jech-2015-205728" TargetMode="External"/><Relationship Id="rId5" Type="http://schemas.openxmlformats.org/officeDocument/2006/relationships/hyperlink" Target="https://doi.org/10.1002/wps.20492" TargetMode="External"/><Relationship Id="rId4" Type="http://schemas.openxmlformats.org/officeDocument/2006/relationships/hyperlink" Target="https://doi.org/10.1016/j.socscimed.2014.12.0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424</cp:revision>
  <dcterms:created xsi:type="dcterms:W3CDTF">2021-06-22T18:06:00Z</dcterms:created>
  <dcterms:modified xsi:type="dcterms:W3CDTF">2021-12-07T20:20:00Z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