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954" w14:textId="3883FDB4" w:rsidR="002B6F8E" w:rsidRPr="00715FDF" w:rsidRDefault="002B6F8E">
      <w:pPr>
        <w:rPr>
          <w:rFonts w:asciiTheme="minorHAnsi" w:hAnsiTheme="minorHAnsi" w:cstheme="minorHAnsi"/>
        </w:rPr>
      </w:pPr>
      <w:r w:rsidRPr="00715FDF">
        <w:rPr>
          <w:rFonts w:asciiTheme="minorHAnsi" w:hAnsiTheme="minorHAnsi" w:cstheme="minorHAnsi"/>
          <w:b/>
          <w:bCs/>
        </w:rPr>
        <w:t>Name</w:t>
      </w:r>
      <w:r w:rsidR="00D44CAC" w:rsidRPr="00715FDF">
        <w:rPr>
          <w:rFonts w:asciiTheme="minorHAnsi" w:hAnsiTheme="minorHAnsi" w:cstheme="minorHAnsi"/>
        </w:rPr>
        <w:t>:</w:t>
      </w:r>
      <w:r w:rsidR="009B7B4D" w:rsidRPr="00715FDF">
        <w:rPr>
          <w:rFonts w:asciiTheme="minorHAnsi" w:hAnsiTheme="minorHAnsi" w:cstheme="minorHAnsi"/>
        </w:rPr>
        <w:t xml:space="preserve"> Substance Use Treatment Facility Access</w:t>
      </w:r>
    </w:p>
    <w:p w14:paraId="0D41E867" w14:textId="77777777" w:rsidR="00AA5AB9" w:rsidRPr="00715FDF" w:rsidRDefault="00AA5AB9">
      <w:pPr>
        <w:rPr>
          <w:rFonts w:asciiTheme="minorHAnsi" w:hAnsiTheme="minorHAnsi" w:cstheme="minorHAnsi"/>
        </w:rPr>
      </w:pPr>
    </w:p>
    <w:p w14:paraId="100E41DE" w14:textId="2B6FAB08" w:rsidR="00EC670E" w:rsidRPr="00715FDF" w:rsidRDefault="002B6F8E">
      <w:pPr>
        <w:rPr>
          <w:rFonts w:asciiTheme="minorHAnsi" w:hAnsiTheme="minorHAnsi" w:cstheme="minorHAnsi"/>
        </w:rPr>
      </w:pPr>
      <w:r w:rsidRPr="00715FDF">
        <w:rPr>
          <w:rFonts w:asciiTheme="minorHAnsi" w:hAnsiTheme="minorHAnsi" w:cstheme="minorHAnsi"/>
          <w:b/>
          <w:bCs/>
        </w:rPr>
        <w:t>Short Description</w:t>
      </w:r>
      <w:r w:rsidR="00D44CAC" w:rsidRPr="00715FDF">
        <w:rPr>
          <w:rFonts w:asciiTheme="minorHAnsi" w:hAnsiTheme="minorHAnsi" w:cstheme="minorHAnsi"/>
        </w:rPr>
        <w:t>:</w:t>
      </w:r>
      <w:r w:rsidR="009B7B4D" w:rsidRPr="00715FDF">
        <w:rPr>
          <w:rFonts w:asciiTheme="minorHAnsi" w:hAnsiTheme="minorHAnsi" w:cstheme="minorHAnsi"/>
        </w:rPr>
        <w:t xml:space="preserve"> </w:t>
      </w:r>
      <w:r w:rsidR="00E80FF7" w:rsidRPr="00715FDF">
        <w:rPr>
          <w:rFonts w:asciiTheme="minorHAnsi" w:hAnsiTheme="minorHAnsi" w:cstheme="minorHAnsi"/>
        </w:rPr>
        <w:t xml:space="preserve">Spatial accessibility of </w:t>
      </w:r>
      <w:r w:rsidR="00534F93" w:rsidRPr="00715FDF">
        <w:rPr>
          <w:rFonts w:asciiTheme="minorHAnsi" w:hAnsiTheme="minorHAnsi" w:cstheme="minorHAnsi"/>
        </w:rPr>
        <w:t>substance use</w:t>
      </w:r>
      <w:r w:rsidR="00E80FF7" w:rsidRPr="00715FDF">
        <w:rPr>
          <w:rFonts w:asciiTheme="minorHAnsi" w:hAnsiTheme="minorHAnsi" w:cstheme="minorHAnsi"/>
        </w:rPr>
        <w:t xml:space="preserve"> treatment facilities, weighted by the range of facility offerings available.</w:t>
      </w:r>
    </w:p>
    <w:p w14:paraId="285F7F9C" w14:textId="72AF4EE6" w:rsidR="002B6F8E" w:rsidRPr="00715FDF" w:rsidRDefault="002B6F8E">
      <w:pPr>
        <w:rPr>
          <w:rFonts w:asciiTheme="minorHAnsi" w:hAnsiTheme="minorHAnsi" w:cstheme="minorHAnsi"/>
        </w:rPr>
      </w:pPr>
    </w:p>
    <w:p w14:paraId="4A72B57B" w14:textId="4F4BC260" w:rsidR="002B6F8E" w:rsidRPr="00715FDF" w:rsidRDefault="00C63158">
      <w:pPr>
        <w:rPr>
          <w:rFonts w:asciiTheme="minorHAnsi" w:hAnsiTheme="minorHAnsi" w:cstheme="minorHAnsi"/>
        </w:rPr>
      </w:pPr>
      <w:r w:rsidRPr="00715FDF">
        <w:rPr>
          <w:rFonts w:asciiTheme="minorHAnsi" w:hAnsiTheme="minorHAnsi" w:cstheme="minorHAnsi"/>
          <w:b/>
          <w:bCs/>
        </w:rPr>
        <w:t xml:space="preserve">Data </w:t>
      </w:r>
      <w:r w:rsidR="002B6F8E" w:rsidRPr="00715FDF">
        <w:rPr>
          <w:rFonts w:asciiTheme="minorHAnsi" w:hAnsiTheme="minorHAnsi" w:cstheme="minorHAnsi"/>
          <w:b/>
          <w:bCs/>
        </w:rPr>
        <w:t>Source</w:t>
      </w:r>
      <w:r w:rsidR="009372D5" w:rsidRPr="00715FDF">
        <w:rPr>
          <w:rFonts w:asciiTheme="minorHAnsi" w:hAnsiTheme="minorHAnsi" w:cstheme="minorHAnsi"/>
          <w:b/>
          <w:bCs/>
        </w:rPr>
        <w:t>(s)</w:t>
      </w:r>
      <w:r w:rsidR="00D44CAC" w:rsidRPr="00715FDF">
        <w:rPr>
          <w:rFonts w:asciiTheme="minorHAnsi" w:hAnsiTheme="minorHAnsi" w:cstheme="minorHAnsi"/>
        </w:rPr>
        <w:t>:</w:t>
      </w:r>
    </w:p>
    <w:p w14:paraId="01CD149B" w14:textId="7B0F3067" w:rsidR="002B6F8E" w:rsidRPr="00715FDF" w:rsidRDefault="00AA5AB9" w:rsidP="00D44CAC">
      <w:pPr>
        <w:pStyle w:val="ListParagraph"/>
        <w:numPr>
          <w:ilvl w:val="0"/>
          <w:numId w:val="8"/>
        </w:numPr>
        <w:rPr>
          <w:rFonts w:cstheme="minorHAnsi"/>
        </w:rPr>
      </w:pPr>
      <w:r w:rsidRPr="00715FDF">
        <w:rPr>
          <w:rFonts w:cstheme="minorHAnsi"/>
          <w:u w:val="single"/>
        </w:rPr>
        <w:t>Name</w:t>
      </w:r>
      <w:r w:rsidRPr="00715FDF">
        <w:rPr>
          <w:rFonts w:cstheme="minorHAnsi"/>
        </w:rPr>
        <w:t>:</w:t>
      </w:r>
      <w:r w:rsidR="009014F7" w:rsidRPr="00715FDF">
        <w:rPr>
          <w:rFonts w:cstheme="minorHAnsi"/>
        </w:rPr>
        <w:t xml:space="preserve"> </w:t>
      </w:r>
      <w:r w:rsidR="00ED20F5" w:rsidRPr="00715FDF">
        <w:rPr>
          <w:rFonts w:cstheme="minorHAnsi"/>
        </w:rPr>
        <w:t>Substance Abuse and Mental Health Services Administration (SAMHSA)</w:t>
      </w:r>
      <w:r w:rsidR="00F23095" w:rsidRPr="00715FDF">
        <w:rPr>
          <w:rFonts w:cstheme="minorHAnsi"/>
        </w:rPr>
        <w:t>,</w:t>
      </w:r>
      <w:r w:rsidR="007D7CD4" w:rsidRPr="00715FDF">
        <w:rPr>
          <w:rFonts w:cstheme="minorHAnsi"/>
        </w:rPr>
        <w:t xml:space="preserve"> Behavioral Health Treatment Services Locator</w:t>
      </w:r>
    </w:p>
    <w:p w14:paraId="7C3A5475" w14:textId="7F09EFDB" w:rsidR="00433CEA" w:rsidRPr="00715FDF" w:rsidRDefault="00AA5AB9" w:rsidP="00D44CAC">
      <w:pPr>
        <w:pStyle w:val="ListParagraph"/>
        <w:numPr>
          <w:ilvl w:val="0"/>
          <w:numId w:val="8"/>
        </w:numPr>
        <w:rPr>
          <w:rFonts w:cstheme="minorHAnsi"/>
        </w:rPr>
      </w:pPr>
      <w:r w:rsidRPr="00715FDF">
        <w:rPr>
          <w:rFonts w:cstheme="minorHAnsi"/>
          <w:u w:val="single"/>
        </w:rPr>
        <w:t>Link to Source</w:t>
      </w:r>
      <w:r w:rsidRPr="00715FDF">
        <w:rPr>
          <w:rFonts w:cstheme="minorHAnsi"/>
        </w:rPr>
        <w:t>:</w:t>
      </w:r>
      <w:r w:rsidR="00B4758F" w:rsidRPr="00715FDF">
        <w:rPr>
          <w:rFonts w:cstheme="minorHAnsi"/>
        </w:rPr>
        <w:t xml:space="preserve"> </w:t>
      </w:r>
      <w:hyperlink r:id="rId11" w:history="1">
        <w:r w:rsidR="00851E9E" w:rsidRPr="00715FDF">
          <w:rPr>
            <w:rStyle w:val="Hyperlink"/>
            <w:rFonts w:cstheme="minorHAnsi"/>
          </w:rPr>
          <w:t>https://findtreatment.samhsa.gov/locator.html</w:t>
        </w:r>
      </w:hyperlink>
      <w:r w:rsidR="00851E9E" w:rsidRPr="00715FDF">
        <w:rPr>
          <w:rFonts w:cstheme="minorHAnsi"/>
        </w:rPr>
        <w:t xml:space="preserve"> </w:t>
      </w:r>
    </w:p>
    <w:p w14:paraId="09098AE3" w14:textId="4E21EED8" w:rsidR="002B6F8E" w:rsidRPr="00715FDF" w:rsidRDefault="002B6F8E">
      <w:pPr>
        <w:rPr>
          <w:rFonts w:asciiTheme="minorHAnsi" w:hAnsiTheme="minorHAnsi" w:cstheme="minorHAnsi"/>
          <w:b/>
          <w:bCs/>
        </w:rPr>
      </w:pPr>
    </w:p>
    <w:p w14:paraId="06D4C025" w14:textId="55DA661F" w:rsidR="002B6F8E" w:rsidRPr="00715FDF" w:rsidRDefault="002B6F8E">
      <w:pPr>
        <w:rPr>
          <w:rFonts w:asciiTheme="minorHAnsi" w:hAnsiTheme="minorHAnsi" w:cstheme="minorHAnsi"/>
          <w:b/>
          <w:bCs/>
        </w:rPr>
      </w:pPr>
      <w:r w:rsidRPr="00715FDF">
        <w:rPr>
          <w:rFonts w:asciiTheme="minorHAnsi" w:hAnsiTheme="minorHAnsi" w:cstheme="minorHAnsi"/>
          <w:b/>
          <w:bCs/>
        </w:rPr>
        <w:t>Year</w:t>
      </w:r>
      <w:r w:rsidR="000F2278" w:rsidRPr="00715FDF">
        <w:rPr>
          <w:rFonts w:asciiTheme="minorHAnsi" w:hAnsiTheme="minorHAnsi" w:cstheme="minorHAnsi"/>
          <w:b/>
          <w:bCs/>
        </w:rPr>
        <w:t>(s)</w:t>
      </w:r>
      <w:r w:rsidR="00082B14" w:rsidRPr="00715FDF">
        <w:rPr>
          <w:rFonts w:asciiTheme="minorHAnsi" w:hAnsiTheme="minorHAnsi" w:cstheme="minorHAnsi"/>
          <w:b/>
          <w:bCs/>
        </w:rPr>
        <w:t>:</w:t>
      </w:r>
      <w:r w:rsidR="001B5F77" w:rsidRPr="00715FDF">
        <w:rPr>
          <w:rFonts w:asciiTheme="minorHAnsi" w:hAnsiTheme="minorHAnsi" w:cstheme="minorHAnsi"/>
          <w:b/>
          <w:bCs/>
        </w:rPr>
        <w:t xml:space="preserve"> </w:t>
      </w:r>
      <w:r w:rsidR="00007F76" w:rsidRPr="00715FDF">
        <w:rPr>
          <w:rFonts w:asciiTheme="minorHAnsi" w:hAnsiTheme="minorHAnsi" w:cstheme="minorHAnsi"/>
        </w:rPr>
        <w:t>2021 (as of May 18)</w:t>
      </w:r>
    </w:p>
    <w:p w14:paraId="169D6C46" w14:textId="2812697E" w:rsidR="002B6F8E" w:rsidRPr="00715FDF" w:rsidRDefault="002B6F8E">
      <w:pPr>
        <w:rPr>
          <w:rFonts w:asciiTheme="minorHAnsi" w:hAnsiTheme="minorHAnsi" w:cstheme="minorHAnsi"/>
        </w:rPr>
      </w:pPr>
    </w:p>
    <w:p w14:paraId="3A134C16" w14:textId="348E96B6" w:rsidR="00DA16C3" w:rsidRPr="00715FDF" w:rsidRDefault="00383B93">
      <w:pPr>
        <w:rPr>
          <w:rFonts w:asciiTheme="minorHAnsi" w:hAnsiTheme="minorHAnsi" w:cstheme="minorHAnsi"/>
        </w:rPr>
      </w:pPr>
      <w:r w:rsidRPr="00715FDF">
        <w:rPr>
          <w:rFonts w:asciiTheme="minorHAnsi" w:hAnsiTheme="minorHAnsi" w:cstheme="minorHAnsi"/>
          <w:b/>
          <w:bCs/>
        </w:rPr>
        <w:t xml:space="preserve">Source </w:t>
      </w:r>
      <w:r w:rsidR="00C63158" w:rsidRPr="00715FDF">
        <w:rPr>
          <w:rFonts w:asciiTheme="minorHAnsi" w:hAnsiTheme="minorHAnsi" w:cstheme="minorHAnsi"/>
          <w:b/>
          <w:bCs/>
        </w:rPr>
        <w:t>Geographic Level</w:t>
      </w:r>
      <w:r w:rsidR="00E775B6" w:rsidRPr="00715FDF">
        <w:rPr>
          <w:rFonts w:asciiTheme="minorHAnsi" w:hAnsiTheme="minorHAnsi" w:cstheme="minorHAnsi"/>
        </w:rPr>
        <w:t xml:space="preserve">: </w:t>
      </w:r>
      <w:r w:rsidR="008B7138" w:rsidRPr="00715FDF">
        <w:rPr>
          <w:rFonts w:asciiTheme="minorHAnsi" w:hAnsiTheme="minorHAnsi" w:cstheme="minorHAnsi"/>
        </w:rPr>
        <w:t>Latitude/Longitude</w:t>
      </w:r>
    </w:p>
    <w:p w14:paraId="17DDA767" w14:textId="77777777" w:rsidR="00C63158" w:rsidRPr="00715FDF" w:rsidRDefault="00C63158">
      <w:pPr>
        <w:rPr>
          <w:rFonts w:asciiTheme="minorHAnsi" w:hAnsiTheme="minorHAnsi" w:cstheme="minorHAnsi"/>
          <w:b/>
          <w:bCs/>
        </w:rPr>
      </w:pPr>
    </w:p>
    <w:p w14:paraId="40A78922" w14:textId="7A3E7AAB" w:rsidR="00302737" w:rsidRPr="00715FDF" w:rsidRDefault="002E012B" w:rsidP="00C333EA">
      <w:pPr>
        <w:rPr>
          <w:rFonts w:asciiTheme="minorHAnsi" w:hAnsiTheme="minorHAnsi" w:cstheme="minorHAnsi"/>
        </w:rPr>
      </w:pPr>
      <w:r w:rsidRPr="00715FDF">
        <w:rPr>
          <w:rFonts w:asciiTheme="minorHAnsi" w:hAnsiTheme="minorHAnsi" w:cstheme="minorHAnsi"/>
          <w:b/>
          <w:bCs/>
        </w:rPr>
        <w:t>Stratification</w:t>
      </w:r>
      <w:r w:rsidR="00F8197B" w:rsidRPr="00715FDF">
        <w:rPr>
          <w:rFonts w:asciiTheme="minorHAnsi" w:hAnsiTheme="minorHAnsi" w:cstheme="minorHAnsi"/>
        </w:rPr>
        <w:t>:</w:t>
      </w:r>
      <w:r w:rsidRPr="00715FDF">
        <w:rPr>
          <w:rFonts w:asciiTheme="minorHAnsi" w:hAnsiTheme="minorHAnsi" w:cstheme="minorHAnsi"/>
        </w:rPr>
        <w:t xml:space="preserve"> </w:t>
      </w:r>
      <w:r w:rsidR="00302737" w:rsidRPr="00715FDF">
        <w:rPr>
          <w:rFonts w:asciiTheme="minorHAnsi" w:hAnsiTheme="minorHAnsi" w:cstheme="minorHAnsi"/>
        </w:rPr>
        <w:t>No</w:t>
      </w:r>
      <w:r w:rsidR="00C333EA" w:rsidRPr="00715FDF">
        <w:rPr>
          <w:rFonts w:asciiTheme="minorHAnsi" w:hAnsiTheme="minorHAnsi" w:cstheme="minorHAnsi"/>
        </w:rPr>
        <w:t xml:space="preserve">t applicable to facilities </w:t>
      </w:r>
    </w:p>
    <w:p w14:paraId="76226322" w14:textId="3B492108" w:rsidR="002B6F8E" w:rsidRPr="00715FDF" w:rsidRDefault="002B6F8E">
      <w:pPr>
        <w:rPr>
          <w:rFonts w:asciiTheme="minorHAnsi" w:hAnsiTheme="minorHAnsi" w:cstheme="minorHAnsi"/>
        </w:rPr>
      </w:pPr>
    </w:p>
    <w:p w14:paraId="4F7874F1" w14:textId="49F4DF71" w:rsidR="00AA30DA" w:rsidRPr="00715FDF" w:rsidRDefault="0070276E" w:rsidP="00AA30DA">
      <w:pPr>
        <w:rPr>
          <w:rFonts w:asciiTheme="minorHAnsi" w:hAnsiTheme="minorHAnsi" w:cstheme="minorHAnsi"/>
        </w:rPr>
      </w:pPr>
      <w:r w:rsidRPr="00715FDF">
        <w:rPr>
          <w:rFonts w:asciiTheme="minorHAnsi" w:hAnsiTheme="minorHAnsi" w:cstheme="minorHAnsi"/>
          <w:b/>
          <w:bCs/>
        </w:rPr>
        <w:t xml:space="preserve">Selection </w:t>
      </w:r>
      <w:r w:rsidR="00E6619C" w:rsidRPr="00715FDF">
        <w:rPr>
          <w:rFonts w:asciiTheme="minorHAnsi" w:hAnsiTheme="minorHAnsi" w:cstheme="minorHAnsi"/>
          <w:b/>
          <w:bCs/>
        </w:rPr>
        <w:t>Rationale</w:t>
      </w:r>
      <w:r w:rsidR="002649BE" w:rsidRPr="00715FDF">
        <w:rPr>
          <w:rFonts w:asciiTheme="minorHAnsi" w:hAnsiTheme="minorHAnsi" w:cstheme="minorHAnsi"/>
          <w:b/>
          <w:bCs/>
        </w:rPr>
        <w:t>:</w:t>
      </w:r>
      <w:r w:rsidR="00AA30DA" w:rsidRPr="00715FDF">
        <w:rPr>
          <w:rFonts w:asciiTheme="minorHAnsi" w:hAnsiTheme="minorHAnsi" w:cstheme="minorHAnsi"/>
          <w:b/>
          <w:bCs/>
        </w:rPr>
        <w:t xml:space="preserve"> </w:t>
      </w:r>
      <w:r w:rsidR="00912807" w:rsidRPr="00715FDF">
        <w:rPr>
          <w:rFonts w:asciiTheme="minorHAnsi" w:hAnsiTheme="minorHAnsi" w:cstheme="minorHAnsi"/>
        </w:rPr>
        <w:t xml:space="preserve">Access to substance use treatment is necessary to meet substance needs in a community. </w:t>
      </w:r>
      <w:r w:rsidR="00912807" w:rsidRPr="00715FDF">
        <w:rPr>
          <w:rFonts w:asciiTheme="minorHAnsi" w:hAnsiTheme="minorHAnsi" w:cstheme="minorHAnsi"/>
          <w:bCs/>
        </w:rPr>
        <w:t>Use of healthcare facilities is greatly affected by the relative distance a patient must travel to get to a treatment center.</w:t>
      </w:r>
      <w:r w:rsidR="00912807" w:rsidRPr="00715FDF">
        <w:rPr>
          <w:rStyle w:val="FootnoteReference"/>
          <w:rFonts w:asciiTheme="minorHAnsi" w:hAnsiTheme="minorHAnsi" w:cstheme="minorHAnsi"/>
          <w:bCs/>
        </w:rPr>
        <w:footnoteReference w:id="2"/>
      </w:r>
      <w:r w:rsidR="00912807" w:rsidRPr="00715FDF">
        <w:rPr>
          <w:rFonts w:asciiTheme="minorHAnsi" w:hAnsiTheme="minorHAnsi" w:cstheme="minorHAnsi"/>
          <w:bCs/>
        </w:rPr>
        <w:t xml:space="preserve"> </w:t>
      </w:r>
      <w:r w:rsidR="00071969" w:rsidRPr="00715FDF">
        <w:rPr>
          <w:rFonts w:asciiTheme="minorHAnsi" w:hAnsiTheme="minorHAnsi" w:cstheme="minorHAnsi"/>
          <w:bCs/>
        </w:rPr>
        <w:t xml:space="preserve">This is especially true for patients who rely on public transportation and patients in rural and remote areas. </w:t>
      </w:r>
      <w:r w:rsidR="00E22D92" w:rsidRPr="00715FDF">
        <w:rPr>
          <w:rFonts w:asciiTheme="minorHAnsi" w:hAnsiTheme="minorHAnsi" w:cstheme="minorHAnsi"/>
          <w:bCs/>
        </w:rPr>
        <w:t>Additionally, s</w:t>
      </w:r>
      <w:r w:rsidR="009713B5" w:rsidRPr="00715FDF">
        <w:rPr>
          <w:rFonts w:asciiTheme="minorHAnsi" w:hAnsiTheme="minorHAnsi" w:cstheme="minorHAnsi"/>
        </w:rPr>
        <w:t xml:space="preserve">ubstance use treatment occurs almost exclusively </w:t>
      </w:r>
      <w:r w:rsidR="00B2729B" w:rsidRPr="00715FDF">
        <w:rPr>
          <w:rFonts w:asciiTheme="minorHAnsi" w:hAnsiTheme="minorHAnsi" w:cstheme="minorHAnsi"/>
        </w:rPr>
        <w:t xml:space="preserve">in specialty clinics </w:t>
      </w:r>
      <w:r w:rsidR="009713B5" w:rsidRPr="00715FDF">
        <w:rPr>
          <w:rFonts w:asciiTheme="minorHAnsi" w:hAnsiTheme="minorHAnsi" w:cstheme="minorHAnsi"/>
        </w:rPr>
        <w:t>outside of traditional healthcare spaces</w:t>
      </w:r>
      <w:r w:rsidR="00B2729B" w:rsidRPr="00715FDF">
        <w:rPr>
          <w:rFonts w:asciiTheme="minorHAnsi" w:hAnsiTheme="minorHAnsi" w:cstheme="minorHAnsi"/>
        </w:rPr>
        <w:t>.</w:t>
      </w:r>
      <w:r w:rsidR="00B2729B" w:rsidRPr="00715FDF">
        <w:rPr>
          <w:rStyle w:val="FootnoteReference"/>
          <w:rFonts w:asciiTheme="minorHAnsi" w:hAnsiTheme="minorHAnsi" w:cstheme="minorHAnsi"/>
        </w:rPr>
        <w:footnoteReference w:id="3"/>
      </w:r>
      <w:r w:rsidR="00B2729B" w:rsidRPr="00715FDF">
        <w:rPr>
          <w:rFonts w:asciiTheme="minorHAnsi" w:hAnsiTheme="minorHAnsi" w:cstheme="minorHAnsi"/>
        </w:rPr>
        <w:t xml:space="preserve"> </w:t>
      </w:r>
      <w:r w:rsidR="00D626DE" w:rsidRPr="00715FDF">
        <w:rPr>
          <w:rFonts w:asciiTheme="minorHAnsi" w:hAnsiTheme="minorHAnsi" w:cstheme="minorHAnsi"/>
          <w:bCs/>
        </w:rPr>
        <w:t>The brick-and-mortar landscape of mental health treatment facilities is an important factor impacting the accessibility of treatment in an area.</w:t>
      </w:r>
    </w:p>
    <w:p w14:paraId="6505FA47" w14:textId="6F7D7223" w:rsidR="0070276E" w:rsidRPr="00715FDF" w:rsidRDefault="0070276E">
      <w:pPr>
        <w:rPr>
          <w:rFonts w:asciiTheme="minorHAnsi" w:hAnsiTheme="minorHAnsi" w:cstheme="minorHAnsi"/>
          <w:b/>
          <w:bCs/>
        </w:rPr>
      </w:pPr>
    </w:p>
    <w:p w14:paraId="10D8FD63" w14:textId="601FC74B" w:rsidR="00181F4B" w:rsidRPr="00715FDF" w:rsidRDefault="00181F4B">
      <w:pPr>
        <w:rPr>
          <w:rFonts w:asciiTheme="minorHAnsi" w:hAnsiTheme="minorHAnsi" w:cstheme="minorHAnsi"/>
        </w:rPr>
      </w:pPr>
      <w:r w:rsidRPr="00715FDF">
        <w:rPr>
          <w:rFonts w:asciiTheme="minorHAnsi" w:hAnsiTheme="minorHAnsi" w:cstheme="minorHAnsi"/>
          <w:b/>
          <w:bCs/>
        </w:rPr>
        <w:t>Strengths and Limitations</w:t>
      </w:r>
      <w:r w:rsidRPr="00715FDF">
        <w:rPr>
          <w:rFonts w:asciiTheme="minorHAnsi" w:hAnsiTheme="minorHAnsi" w:cstheme="minorHAnsi"/>
        </w:rPr>
        <w:t xml:space="preserve">: </w:t>
      </w:r>
    </w:p>
    <w:p w14:paraId="0FBF05E4" w14:textId="77777777" w:rsidR="00D85C3D" w:rsidRPr="00715FDF" w:rsidRDefault="00D85C3D" w:rsidP="00B21683">
      <w:pPr>
        <w:pStyle w:val="ListParagraph"/>
        <w:numPr>
          <w:ilvl w:val="0"/>
          <w:numId w:val="14"/>
        </w:numPr>
        <w:rPr>
          <w:rFonts w:cstheme="minorHAnsi"/>
          <w:bCs/>
        </w:rPr>
      </w:pPr>
      <w:r w:rsidRPr="00715FDF">
        <w:rPr>
          <w:rFonts w:cstheme="minorHAnsi"/>
          <w:b/>
        </w:rPr>
        <w:t>Strengths</w:t>
      </w:r>
      <w:r w:rsidRPr="00715FDF">
        <w:rPr>
          <w:rFonts w:cstheme="minorHAnsi"/>
          <w:bCs/>
        </w:rPr>
        <w:t xml:space="preserve">: </w:t>
      </w:r>
    </w:p>
    <w:p w14:paraId="122A63CC" w14:textId="186EEFA6" w:rsidR="00A572CF" w:rsidRPr="00715FDF" w:rsidRDefault="00A572CF" w:rsidP="00594478">
      <w:pPr>
        <w:pStyle w:val="ListParagraph"/>
        <w:numPr>
          <w:ilvl w:val="1"/>
          <w:numId w:val="14"/>
        </w:numPr>
        <w:rPr>
          <w:rFonts w:cstheme="minorHAnsi"/>
          <w:bCs/>
        </w:rPr>
      </w:pPr>
      <w:r w:rsidRPr="00715FDF">
        <w:rPr>
          <w:rFonts w:cstheme="minorHAnsi"/>
          <w:bCs/>
        </w:rPr>
        <w:t>[</w:t>
      </w:r>
      <w:r w:rsidRPr="00715FDF">
        <w:rPr>
          <w:rFonts w:cstheme="minorHAnsi"/>
          <w:bCs/>
          <w:i/>
          <w:iCs/>
        </w:rPr>
        <w:t>Importance</w:t>
      </w:r>
      <w:r w:rsidRPr="00715FDF">
        <w:rPr>
          <w:rFonts w:cstheme="minorHAnsi"/>
          <w:bCs/>
        </w:rPr>
        <w:t xml:space="preserve">] </w:t>
      </w:r>
      <w:r w:rsidR="00594478" w:rsidRPr="00715FDF">
        <w:rPr>
          <w:rFonts w:cstheme="minorHAnsi"/>
          <w:bCs/>
        </w:rPr>
        <w:t xml:space="preserve">A lack of treatment facilities in a community signals limited capability to meet substance use needs. Travel distance to a treatment facility is an important indicator of access to and use of treatment, particularly for populations that are underserved. </w:t>
      </w:r>
      <w:r w:rsidRPr="00715FDF">
        <w:rPr>
          <w:rFonts w:cstheme="minorHAnsi"/>
        </w:rPr>
        <w:t>Distance from a</w:t>
      </w:r>
      <w:r w:rsidR="00427FA7" w:rsidRPr="00715FDF">
        <w:rPr>
          <w:rFonts w:cstheme="minorHAnsi"/>
        </w:rPr>
        <w:t xml:space="preserve"> substance use treatment</w:t>
      </w:r>
      <w:r w:rsidRPr="00715FDF">
        <w:rPr>
          <w:rFonts w:cstheme="minorHAnsi"/>
        </w:rPr>
        <w:t xml:space="preserve"> facility greatly impacts the length of a patient’s stay and their likelihood of completing treatment</w:t>
      </w:r>
      <w:r w:rsidR="00427FA7" w:rsidRPr="00715FDF">
        <w:rPr>
          <w:rFonts w:cstheme="minorHAnsi"/>
        </w:rPr>
        <w:t xml:space="preserve">. It </w:t>
      </w:r>
      <w:r w:rsidRPr="00715FDF">
        <w:rPr>
          <w:rFonts w:cstheme="minorHAnsi"/>
        </w:rPr>
        <w:t>is essential to understand the relative distance people in a certain community must travel to access substance use treatment.</w:t>
      </w:r>
      <w:r w:rsidRPr="00715FDF">
        <w:rPr>
          <w:rStyle w:val="FootnoteReference"/>
          <w:rFonts w:cstheme="minorHAnsi"/>
        </w:rPr>
        <w:footnoteReference w:id="4"/>
      </w:r>
    </w:p>
    <w:p w14:paraId="3D409144" w14:textId="77777777" w:rsidR="00560731" w:rsidRPr="00715FDF" w:rsidRDefault="00560731" w:rsidP="00560731">
      <w:pPr>
        <w:pStyle w:val="ListParagraph"/>
        <w:numPr>
          <w:ilvl w:val="1"/>
          <w:numId w:val="14"/>
        </w:numPr>
        <w:rPr>
          <w:rFonts w:cstheme="minorHAnsi"/>
          <w:bCs/>
        </w:rPr>
      </w:pPr>
      <w:r w:rsidRPr="00715FDF">
        <w:rPr>
          <w:rFonts w:cstheme="minorHAnsi"/>
        </w:rPr>
        <w:t>[</w:t>
      </w:r>
      <w:r w:rsidRPr="00715FDF">
        <w:rPr>
          <w:rFonts w:cstheme="minorHAnsi"/>
          <w:i/>
          <w:iCs/>
        </w:rPr>
        <w:t>Relevance and Usability</w:t>
      </w:r>
      <w:r w:rsidRPr="00715FDF">
        <w:rPr>
          <w:rFonts w:cstheme="minorHAnsi"/>
        </w:rPr>
        <w:t xml:space="preserve">] SAMHSA provides coordinate data (longitude and latitude) for the location of all facilities, allowing for accurate measurement of spatial accessibility. </w:t>
      </w:r>
    </w:p>
    <w:p w14:paraId="7111B9A3" w14:textId="77777777" w:rsidR="00560731" w:rsidRPr="00715FDF" w:rsidRDefault="00560731" w:rsidP="00560731">
      <w:pPr>
        <w:pStyle w:val="ListParagraph"/>
        <w:numPr>
          <w:ilvl w:val="1"/>
          <w:numId w:val="14"/>
        </w:numPr>
        <w:rPr>
          <w:rFonts w:cstheme="minorHAnsi"/>
          <w:bCs/>
        </w:rPr>
      </w:pPr>
      <w:r w:rsidRPr="00715FDF">
        <w:rPr>
          <w:rFonts w:cstheme="minorHAnsi"/>
          <w:bCs/>
        </w:rPr>
        <w:lastRenderedPageBreak/>
        <w:t>[</w:t>
      </w:r>
      <w:r w:rsidRPr="00715FDF">
        <w:rPr>
          <w:rFonts w:cstheme="minorHAnsi"/>
          <w:bCs/>
          <w:i/>
          <w:iCs/>
        </w:rPr>
        <w:t>Relevance and Usability</w:t>
      </w:r>
      <w:r w:rsidRPr="00715FDF">
        <w:rPr>
          <w:rFonts w:cstheme="minorHAnsi"/>
          <w:bCs/>
        </w:rPr>
        <w:t xml:space="preserve">] Spatial accessibility and the range of facility offerings available directly affects an individual’s ability to receive treatment. This data may help inform decisions about availability and accessibility of treatment centers and resources. </w:t>
      </w:r>
    </w:p>
    <w:p w14:paraId="0AA9F5C5" w14:textId="1AAA2C61" w:rsidR="00CD1963" w:rsidRPr="00715FDF" w:rsidRDefault="00EB6D7C" w:rsidP="00CF1C0C">
      <w:pPr>
        <w:pStyle w:val="ListParagraph"/>
        <w:numPr>
          <w:ilvl w:val="1"/>
          <w:numId w:val="14"/>
        </w:numPr>
        <w:rPr>
          <w:rFonts w:cstheme="minorHAnsi"/>
          <w:bCs/>
        </w:rPr>
      </w:pPr>
      <w:r w:rsidRPr="00715FDF">
        <w:rPr>
          <w:rFonts w:cstheme="minorHAnsi"/>
          <w:bCs/>
        </w:rPr>
        <w:t>[</w:t>
      </w:r>
      <w:r w:rsidR="00780780" w:rsidRPr="00715FDF">
        <w:rPr>
          <w:rFonts w:cstheme="minorHAnsi"/>
          <w:bCs/>
          <w:i/>
          <w:iCs/>
        </w:rPr>
        <w:t>Equity</w:t>
      </w:r>
      <w:r w:rsidRPr="00715FDF">
        <w:rPr>
          <w:rFonts w:cstheme="minorHAnsi"/>
          <w:bCs/>
        </w:rPr>
        <w:t>]</w:t>
      </w:r>
      <w:r w:rsidR="00286717" w:rsidRPr="00715FDF">
        <w:rPr>
          <w:rFonts w:cstheme="minorHAnsi"/>
          <w:bCs/>
        </w:rPr>
        <w:t xml:space="preserve"> </w:t>
      </w:r>
      <w:r w:rsidR="00CD1963" w:rsidRPr="00715FDF">
        <w:rPr>
          <w:rFonts w:cstheme="minorHAnsi"/>
          <w:bCs/>
        </w:rPr>
        <w:t>These data from SAMHSA include detailed information about services offered at facilities – including non-English language options, specialty support groups (for LGBTQ or formerly incarcerated individuals, for example), and payment assistance options. The presence or absence of these services at a facility speak to its relative accessibility, especially those for whom English is not their first language, paying for services is a challenge, or stigma is a significant barrier to treatment-seeking. The importance of culturally centered care for addressing racial disparities has been well-documented.</w:t>
      </w:r>
      <w:r w:rsidR="00CD1963" w:rsidRPr="00715FDF">
        <w:rPr>
          <w:rStyle w:val="FootnoteReference"/>
          <w:rFonts w:cstheme="minorHAnsi"/>
          <w:bCs/>
        </w:rPr>
        <w:footnoteReference w:id="5"/>
      </w:r>
      <w:r w:rsidR="00CD1963" w:rsidRPr="00715FDF">
        <w:rPr>
          <w:rFonts w:cstheme="minorHAnsi"/>
          <w:bCs/>
        </w:rPr>
        <w:t xml:space="preserve"> </w:t>
      </w:r>
    </w:p>
    <w:p w14:paraId="064580A6" w14:textId="0E317AE3" w:rsidR="00B6742C" w:rsidRPr="00715FDF" w:rsidRDefault="00981ABF" w:rsidP="00CF1C0C">
      <w:pPr>
        <w:pStyle w:val="ListParagraph"/>
        <w:numPr>
          <w:ilvl w:val="1"/>
          <w:numId w:val="14"/>
        </w:numPr>
        <w:rPr>
          <w:rFonts w:cstheme="minorHAnsi"/>
          <w:bCs/>
        </w:rPr>
      </w:pPr>
      <w:r w:rsidRPr="00715FDF">
        <w:rPr>
          <w:rFonts w:cstheme="minorHAnsi"/>
          <w:bCs/>
        </w:rPr>
        <w:t>[</w:t>
      </w:r>
      <w:r w:rsidRPr="00715FDF">
        <w:rPr>
          <w:rFonts w:cstheme="minorHAnsi"/>
          <w:bCs/>
          <w:i/>
          <w:iCs/>
        </w:rPr>
        <w:t>Feasibility</w:t>
      </w:r>
      <w:r w:rsidRPr="00715FDF">
        <w:rPr>
          <w:rFonts w:cstheme="minorHAnsi"/>
          <w:bCs/>
        </w:rPr>
        <w:t xml:space="preserve">] SAMHSA updates the facility locator with new facilities monthly and updates information about existing facilities annually. These data are pulled from the yearly National </w:t>
      </w:r>
      <w:r w:rsidR="00E705A3" w:rsidRPr="00715FDF">
        <w:rPr>
          <w:rFonts w:cstheme="minorHAnsi"/>
          <w:bCs/>
        </w:rPr>
        <w:t>Survey of Substance Abuse Treatment Services (N-SSATS)</w:t>
      </w:r>
      <w:r w:rsidRPr="00715FDF">
        <w:rPr>
          <w:rFonts w:cstheme="minorHAnsi"/>
          <w:bCs/>
        </w:rPr>
        <w:t>. Smaller facility changes (name, address, phone number, available services) are updated weekly. The data are publicly accessible and can be obtained directly from the SAMHSA facility locator website.</w:t>
      </w:r>
      <w:r w:rsidRPr="00715FDF">
        <w:rPr>
          <w:rStyle w:val="FootnoteReference"/>
          <w:rFonts w:cstheme="minorHAnsi"/>
          <w:bCs/>
        </w:rPr>
        <w:footnoteReference w:id="6"/>
      </w:r>
    </w:p>
    <w:p w14:paraId="2E51B7B2" w14:textId="77777777" w:rsidR="00D85C3D" w:rsidRPr="00715FDF" w:rsidRDefault="00D85C3D" w:rsidP="00B21683">
      <w:pPr>
        <w:pStyle w:val="ListParagraph"/>
        <w:numPr>
          <w:ilvl w:val="0"/>
          <w:numId w:val="14"/>
        </w:numPr>
        <w:rPr>
          <w:rFonts w:cstheme="minorHAnsi"/>
          <w:b/>
        </w:rPr>
      </w:pPr>
      <w:r w:rsidRPr="00715FDF">
        <w:rPr>
          <w:rFonts w:cstheme="minorHAnsi"/>
          <w:b/>
        </w:rPr>
        <w:t>Limitations</w:t>
      </w:r>
      <w:r w:rsidRPr="00715FDF">
        <w:rPr>
          <w:rFonts w:cstheme="minorHAnsi"/>
          <w:bCs/>
        </w:rPr>
        <w:t>:</w:t>
      </w:r>
      <w:r w:rsidRPr="00715FDF">
        <w:rPr>
          <w:rFonts w:cstheme="minorHAnsi"/>
          <w:b/>
        </w:rPr>
        <w:t xml:space="preserve"> </w:t>
      </w:r>
    </w:p>
    <w:p w14:paraId="2A589054" w14:textId="77777777" w:rsidR="00AD4440" w:rsidRPr="00715FDF" w:rsidRDefault="00AD4440" w:rsidP="00AD4440">
      <w:pPr>
        <w:pStyle w:val="ListParagraph"/>
        <w:numPr>
          <w:ilvl w:val="1"/>
          <w:numId w:val="14"/>
        </w:numPr>
        <w:rPr>
          <w:rFonts w:cstheme="minorHAnsi"/>
          <w:bCs/>
        </w:rPr>
      </w:pPr>
      <w:r w:rsidRPr="00715FDF">
        <w:rPr>
          <w:rFonts w:cstheme="minorHAnsi"/>
          <w:bCs/>
        </w:rPr>
        <w:t>[</w:t>
      </w:r>
      <w:r w:rsidRPr="00715FDF">
        <w:rPr>
          <w:rFonts w:cstheme="minorHAnsi"/>
          <w:bCs/>
          <w:i/>
          <w:iCs/>
        </w:rPr>
        <w:t>Relevance and Usability</w:t>
      </w:r>
      <w:r w:rsidRPr="00715FDF">
        <w:rPr>
          <w:rFonts w:cstheme="minorHAnsi"/>
          <w:bCs/>
        </w:rPr>
        <w:t>] This dataset does not provide information on the number of providers or the relative capacity at each facility.</w:t>
      </w:r>
    </w:p>
    <w:p w14:paraId="22A5A23C" w14:textId="77777777" w:rsidR="00AD4440" w:rsidRPr="00715FDF" w:rsidRDefault="00AD4440" w:rsidP="00AD4440">
      <w:pPr>
        <w:pStyle w:val="ListParagraph"/>
        <w:numPr>
          <w:ilvl w:val="1"/>
          <w:numId w:val="14"/>
        </w:numPr>
        <w:rPr>
          <w:rFonts w:cstheme="minorHAnsi"/>
          <w:b/>
        </w:rPr>
      </w:pPr>
      <w:r w:rsidRPr="00715FDF">
        <w:rPr>
          <w:rFonts w:cstheme="minorHAnsi"/>
        </w:rPr>
        <w:t>[</w:t>
      </w:r>
      <w:r w:rsidRPr="00715FDF">
        <w:rPr>
          <w:rFonts w:cstheme="minorHAnsi"/>
          <w:i/>
        </w:rPr>
        <w:t>Equity</w:t>
      </w:r>
      <w:r w:rsidRPr="00715FDF">
        <w:rPr>
          <w:rFonts w:cstheme="minorHAnsi"/>
        </w:rPr>
        <w:t xml:space="preserve">] Treatment organizations that do not receive SAMHSA funding, or those that use non-traditional methods of care </w:t>
      </w:r>
      <w:r w:rsidRPr="00715FDF">
        <w:rPr>
          <w:rFonts w:cstheme="minorHAnsi"/>
          <w:bCs/>
        </w:rPr>
        <w:t xml:space="preserve">may not be included </w:t>
      </w:r>
      <w:r w:rsidRPr="00715FDF">
        <w:rPr>
          <w:rFonts w:cstheme="minorHAnsi"/>
        </w:rPr>
        <w:t xml:space="preserve">in this dataset. </w:t>
      </w:r>
    </w:p>
    <w:p w14:paraId="664C79BD" w14:textId="77777777" w:rsidR="00CC1898" w:rsidRPr="00715FDF" w:rsidRDefault="00CC1898" w:rsidP="00CC1898">
      <w:pPr>
        <w:pStyle w:val="ListParagraph"/>
        <w:ind w:left="1440"/>
        <w:rPr>
          <w:rFonts w:cstheme="minorHAnsi"/>
          <w:bCs/>
        </w:rPr>
      </w:pPr>
    </w:p>
    <w:p w14:paraId="400BBB33" w14:textId="6DBA896C" w:rsidR="00A16408" w:rsidRPr="00715FDF" w:rsidRDefault="00A16408" w:rsidP="00A16408">
      <w:pPr>
        <w:rPr>
          <w:rFonts w:asciiTheme="minorHAnsi" w:hAnsiTheme="minorHAnsi" w:cstheme="minorHAnsi"/>
        </w:rPr>
      </w:pPr>
      <w:r w:rsidRPr="00715FDF">
        <w:rPr>
          <w:rFonts w:asciiTheme="minorHAnsi" w:hAnsiTheme="minorHAnsi" w:cstheme="minorHAnsi"/>
          <w:b/>
          <w:bCs/>
        </w:rPr>
        <w:t>Calculation</w:t>
      </w:r>
      <w:r w:rsidR="00FA2ED2" w:rsidRPr="00715FDF">
        <w:rPr>
          <w:rFonts w:asciiTheme="minorHAnsi" w:hAnsiTheme="minorHAnsi" w:cstheme="minorHAnsi"/>
        </w:rPr>
        <w:t>:</w:t>
      </w:r>
    </w:p>
    <w:p w14:paraId="5425F398" w14:textId="77777777" w:rsidR="0043612D" w:rsidRPr="00715FDF" w:rsidRDefault="0043612D" w:rsidP="00A16408">
      <w:pPr>
        <w:jc w:val="center"/>
        <w:rPr>
          <w:rFonts w:asciiTheme="minorHAnsi" w:hAnsiTheme="minorHAnsi" w:cstheme="minorHAnsi"/>
        </w:rPr>
      </w:pPr>
    </w:p>
    <w:p w14:paraId="0A1ADEE1" w14:textId="7D580E2E" w:rsidR="00491FA5" w:rsidRPr="00715FDF" w:rsidRDefault="00491FA5" w:rsidP="00491FA5">
      <w:pPr>
        <w:rPr>
          <w:rFonts w:asciiTheme="minorHAnsi" w:hAnsiTheme="minorHAnsi" w:cstheme="minorHAnsi"/>
        </w:rPr>
      </w:pPr>
      <w:r w:rsidRPr="00715FDF">
        <w:rPr>
          <w:rFonts w:asciiTheme="minorHAnsi" w:hAnsiTheme="minorHAnsi" w:cstheme="minorHAnsi"/>
        </w:rPr>
        <w:t xml:space="preserve">The </w:t>
      </w:r>
      <w:r w:rsidR="002A3ADA" w:rsidRPr="00715FDF">
        <w:rPr>
          <w:rFonts w:asciiTheme="minorHAnsi" w:hAnsiTheme="minorHAnsi" w:cstheme="minorHAnsi"/>
        </w:rPr>
        <w:t>substance use</w:t>
      </w:r>
      <w:r w:rsidRPr="00715FDF">
        <w:rPr>
          <w:rFonts w:asciiTheme="minorHAnsi" w:hAnsiTheme="minorHAnsi" w:cstheme="minorHAnsi"/>
        </w:rPr>
        <w:t xml:space="preserve"> treatment facilities access measure uses the two-step floating catchment area method (2SFCA) to determine spatial accessibility and incorporates facility weights based on </w:t>
      </w:r>
      <w:r w:rsidR="00C13672" w:rsidRPr="00715FDF">
        <w:rPr>
          <w:rFonts w:asciiTheme="minorHAnsi" w:hAnsiTheme="minorHAnsi" w:cstheme="minorHAnsi"/>
        </w:rPr>
        <w:t>four dimensions of quality (described below)</w:t>
      </w:r>
      <w:r w:rsidRPr="00715FDF">
        <w:rPr>
          <w:rFonts w:asciiTheme="minorHAnsi" w:hAnsiTheme="minorHAnsi" w:cstheme="minorHAnsi"/>
        </w:rPr>
        <w:t xml:space="preserve">. </w:t>
      </w:r>
    </w:p>
    <w:p w14:paraId="43E51C3B" w14:textId="77777777" w:rsidR="00491FA5" w:rsidRPr="00715FDF" w:rsidRDefault="00491FA5" w:rsidP="00491FA5">
      <w:pPr>
        <w:rPr>
          <w:rFonts w:asciiTheme="minorHAnsi" w:hAnsiTheme="minorHAnsi" w:cstheme="minorHAnsi"/>
        </w:rPr>
      </w:pPr>
    </w:p>
    <w:p w14:paraId="4778C9A4" w14:textId="45ABFE4E" w:rsidR="00491FA5" w:rsidRPr="00715FDF" w:rsidRDefault="00491FA5" w:rsidP="00491FA5">
      <w:pPr>
        <w:rPr>
          <w:rFonts w:asciiTheme="minorHAnsi" w:eastAsiaTheme="minorEastAsia" w:hAnsiTheme="minorHAnsi" w:cstheme="minorHAnsi"/>
        </w:rPr>
      </w:pPr>
      <w:r w:rsidRPr="00715FDF">
        <w:rPr>
          <w:rFonts w:asciiTheme="minorHAnsi" w:hAnsiTheme="minorHAnsi" w:cstheme="minorHAnsi"/>
        </w:rPr>
        <w:t>The 2SFCA is a method initially developed by researchers to measure spatial accessibility to primary care physicians. It calculates ratios of behavioral health facilities-to-residents within a service area centered at a facility’s location (step 1) and subsequently sums the ratios for residents located in areas where different provider services overlap (step 2). The larger the summed proportion</w:t>
      </w:r>
      <w:r w:rsidRPr="00715FDF">
        <w:rPr>
          <w:rFonts w:asciiTheme="minorHAnsi" w:eastAsiaTheme="minorEastAsia" w:hAnsiTheme="minorHAnsi" w:cstheme="minorHAnsi"/>
        </w:rPr>
        <w:t xml:space="preserve"> is, the better facility accessibility, given a geographic location</w:t>
      </w:r>
      <w:r w:rsidR="002A3ADA" w:rsidRPr="00715FDF">
        <w:rPr>
          <w:rFonts w:asciiTheme="minorHAnsi" w:eastAsiaTheme="minorEastAsia" w:hAnsiTheme="minorHAnsi" w:cstheme="minorHAnsi"/>
        </w:rPr>
        <w:t>.</w:t>
      </w:r>
      <w:r w:rsidRPr="00715FDF">
        <w:rPr>
          <w:rStyle w:val="FootnoteReference"/>
          <w:rFonts w:asciiTheme="minorHAnsi" w:hAnsiTheme="minorHAnsi" w:cstheme="minorHAnsi"/>
        </w:rPr>
        <w:footnoteReference w:id="7"/>
      </w:r>
      <w:r w:rsidRPr="00715FDF" w:rsidDel="006D0250">
        <w:rPr>
          <w:rFonts w:asciiTheme="minorHAnsi" w:hAnsiTheme="minorHAnsi" w:cstheme="minorHAnsi"/>
          <w:highlight w:val="yellow"/>
        </w:rPr>
        <w:t xml:space="preserve"> </w:t>
      </w:r>
    </w:p>
    <w:p w14:paraId="7FDC79FB" w14:textId="77777777" w:rsidR="00491FA5" w:rsidRPr="00715FDF" w:rsidRDefault="00491FA5" w:rsidP="00491FA5">
      <w:pPr>
        <w:rPr>
          <w:rFonts w:asciiTheme="minorHAnsi" w:hAnsiTheme="minorHAnsi" w:cstheme="minorHAnsi"/>
        </w:rPr>
      </w:pPr>
    </w:p>
    <w:p w14:paraId="4840977B" w14:textId="77777777" w:rsidR="00491FA5" w:rsidRPr="00715FDF" w:rsidRDefault="00491FA5" w:rsidP="00491FA5">
      <w:pPr>
        <w:rPr>
          <w:rFonts w:asciiTheme="minorHAnsi" w:hAnsiTheme="minorHAnsi" w:cstheme="minorHAnsi"/>
        </w:rPr>
      </w:pPr>
      <w:r w:rsidRPr="00715FDF">
        <w:rPr>
          <w:rFonts w:asciiTheme="minorHAnsi" w:hAnsiTheme="minorHAnsi" w:cstheme="minorHAnsi"/>
        </w:rPr>
        <w:lastRenderedPageBreak/>
        <w:t xml:space="preserve">Facility weights are determined by examining facility attributes along four dimensions of quality: Access, Continuum of Treatment, Continuum of Care, and Special Groups of Focus. </w:t>
      </w:r>
    </w:p>
    <w:p w14:paraId="710028EA" w14:textId="77777777" w:rsidR="00491FA5" w:rsidRPr="00715FDF" w:rsidRDefault="00491FA5" w:rsidP="00491FA5">
      <w:pPr>
        <w:pStyle w:val="ListParagraph"/>
        <w:numPr>
          <w:ilvl w:val="0"/>
          <w:numId w:val="7"/>
        </w:numPr>
        <w:rPr>
          <w:rFonts w:cstheme="minorHAnsi"/>
        </w:rPr>
      </w:pPr>
      <w:r w:rsidRPr="00715FDF">
        <w:rPr>
          <w:rFonts w:cstheme="minorHAnsi"/>
        </w:rPr>
        <w:t>Access is evaluated by examining the types of payment accepted and language services offered.</w:t>
      </w:r>
    </w:p>
    <w:p w14:paraId="2E2E940B" w14:textId="77777777" w:rsidR="00491FA5" w:rsidRPr="00715FDF" w:rsidRDefault="00491FA5" w:rsidP="00491FA5">
      <w:pPr>
        <w:pStyle w:val="ListParagraph"/>
        <w:numPr>
          <w:ilvl w:val="0"/>
          <w:numId w:val="7"/>
        </w:numPr>
        <w:rPr>
          <w:rFonts w:cstheme="minorHAnsi"/>
        </w:rPr>
      </w:pPr>
      <w:r w:rsidRPr="00715FDF">
        <w:rPr>
          <w:rFonts w:cstheme="minorHAnsi"/>
        </w:rPr>
        <w:t xml:space="preserve">Continuum of Treatment is evaluated by examining the range of treatment services offered, including testing, treatment, transition from care, and recovery services and support. </w:t>
      </w:r>
    </w:p>
    <w:p w14:paraId="4BF2275D" w14:textId="77777777" w:rsidR="00491FA5" w:rsidRPr="00715FDF" w:rsidRDefault="00491FA5" w:rsidP="00491FA5">
      <w:pPr>
        <w:pStyle w:val="ListParagraph"/>
        <w:numPr>
          <w:ilvl w:val="0"/>
          <w:numId w:val="7"/>
        </w:numPr>
        <w:rPr>
          <w:rFonts w:cstheme="minorHAnsi"/>
        </w:rPr>
      </w:pPr>
      <w:r w:rsidRPr="00715FDF">
        <w:rPr>
          <w:rFonts w:cstheme="minorHAnsi"/>
        </w:rPr>
        <w:t>Continuum of Care is evaluated by examining the range of additional services offered, including housing, employment, education, peer support services, social skills, financial support and education, and crisis services.</w:t>
      </w:r>
    </w:p>
    <w:p w14:paraId="23DCEB8F" w14:textId="77777777" w:rsidR="00491FA5" w:rsidRPr="00715FDF" w:rsidRDefault="00491FA5" w:rsidP="00491FA5">
      <w:pPr>
        <w:pStyle w:val="ListParagraph"/>
        <w:numPr>
          <w:ilvl w:val="0"/>
          <w:numId w:val="7"/>
        </w:numPr>
        <w:rPr>
          <w:rFonts w:cstheme="minorHAnsi"/>
        </w:rPr>
      </w:pPr>
      <w:r w:rsidRPr="00715FDF">
        <w:rPr>
          <w:rFonts w:cstheme="minorHAnsi"/>
        </w:rPr>
        <w:t>Special Groups of Focus is evaluated by examining provision of services to specific populations based on condition, age, or other defining features.</w:t>
      </w:r>
    </w:p>
    <w:p w14:paraId="1E9FAF92" w14:textId="649D8597" w:rsidR="00A16408" w:rsidRPr="00715FDF" w:rsidRDefault="00A16408" w:rsidP="00491FA5">
      <w:pPr>
        <w:rPr>
          <w:rFonts w:asciiTheme="minorHAnsi" w:hAnsiTheme="minorHAnsi" w:cstheme="minorHAnsi"/>
          <w:b/>
          <w:bCs/>
        </w:rPr>
      </w:pPr>
    </w:p>
    <w:sectPr w:rsidR="00A16408" w:rsidRPr="00715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19293" w14:textId="77777777" w:rsidR="00A74F70" w:rsidRDefault="00A74F70" w:rsidP="00621422">
      <w:r>
        <w:separator/>
      </w:r>
    </w:p>
  </w:endnote>
  <w:endnote w:type="continuationSeparator" w:id="0">
    <w:p w14:paraId="1B9159FA" w14:textId="77777777" w:rsidR="00A74F70" w:rsidRDefault="00A74F70" w:rsidP="00621422">
      <w:r>
        <w:continuationSeparator/>
      </w:r>
    </w:p>
  </w:endnote>
  <w:endnote w:type="continuationNotice" w:id="1">
    <w:p w14:paraId="4C91BF0E" w14:textId="77777777" w:rsidR="00A74F70" w:rsidRDefault="00A74F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CCBBC" w14:textId="77777777" w:rsidR="00A74F70" w:rsidRDefault="00A74F70" w:rsidP="00621422">
      <w:r>
        <w:separator/>
      </w:r>
    </w:p>
  </w:footnote>
  <w:footnote w:type="continuationSeparator" w:id="0">
    <w:p w14:paraId="4C3905F8" w14:textId="77777777" w:rsidR="00A74F70" w:rsidRDefault="00A74F70" w:rsidP="00621422">
      <w:r>
        <w:continuationSeparator/>
      </w:r>
    </w:p>
  </w:footnote>
  <w:footnote w:type="continuationNotice" w:id="1">
    <w:p w14:paraId="167FD846" w14:textId="77777777" w:rsidR="00A74F70" w:rsidRDefault="00A74F70"/>
  </w:footnote>
  <w:footnote w:id="2">
    <w:p w14:paraId="3F80613B" w14:textId="77777777" w:rsidR="00912807" w:rsidRPr="00055CF7" w:rsidRDefault="00912807" w:rsidP="00055CF7">
      <w:pPr>
        <w:pStyle w:val="NormalWeb"/>
        <w:spacing w:before="0" w:beforeAutospacing="0" w:after="0" w:afterAutospacing="0"/>
        <w:ind w:left="720" w:hanging="720"/>
        <w:rPr>
          <w:rFonts w:asciiTheme="minorHAnsi" w:hAnsiTheme="minorHAnsi" w:cstheme="minorHAnsi"/>
          <w:sz w:val="20"/>
          <w:szCs w:val="20"/>
          <w:vertAlign w:val="superscript"/>
        </w:rPr>
      </w:pPr>
      <w:r w:rsidRPr="00055CF7">
        <w:rPr>
          <w:rStyle w:val="FootnoteReference"/>
          <w:rFonts w:asciiTheme="minorHAnsi" w:hAnsiTheme="minorHAnsi" w:cstheme="minorHAnsi"/>
          <w:sz w:val="20"/>
          <w:szCs w:val="20"/>
        </w:rPr>
        <w:footnoteRef/>
      </w:r>
      <w:r w:rsidRPr="00055CF7">
        <w:rPr>
          <w:rStyle w:val="FootnoteReference"/>
          <w:rFonts w:asciiTheme="minorHAnsi" w:hAnsiTheme="minorHAnsi" w:cstheme="minorHAnsi"/>
          <w:sz w:val="20"/>
          <w:szCs w:val="20"/>
        </w:rPr>
        <w:t xml:space="preserve"> </w:t>
      </w:r>
      <w:r w:rsidRPr="00055CF7">
        <w:rPr>
          <w:rFonts w:asciiTheme="minorHAnsi" w:eastAsiaTheme="minorHAnsi" w:hAnsiTheme="minorHAnsi" w:cstheme="minorHAnsi"/>
          <w:sz w:val="20"/>
          <w:szCs w:val="20"/>
        </w:rPr>
        <w:t xml:space="preserve">Syed, S. T., Gerber, B. S., &amp; Sharp, L. K. (2013). </w:t>
      </w:r>
      <w:r w:rsidRPr="00715FDF">
        <w:rPr>
          <w:rFonts w:asciiTheme="minorHAnsi" w:eastAsiaTheme="minorHAnsi" w:hAnsiTheme="minorHAnsi" w:cstheme="minorHAnsi"/>
          <w:i/>
          <w:iCs/>
          <w:sz w:val="20"/>
          <w:szCs w:val="20"/>
        </w:rPr>
        <w:t>Traveling Towards Disease: Transportation Barriers to Health Care Access. Journal of Community Health, 38</w:t>
      </w:r>
      <w:r w:rsidRPr="00055CF7">
        <w:rPr>
          <w:rFonts w:asciiTheme="minorHAnsi" w:eastAsiaTheme="minorHAnsi" w:hAnsiTheme="minorHAnsi" w:cstheme="minorHAnsi"/>
          <w:sz w:val="20"/>
          <w:szCs w:val="20"/>
        </w:rPr>
        <w:t xml:space="preserve">(5), 976–993. </w:t>
      </w:r>
      <w:hyperlink r:id="rId1" w:history="1">
        <w:r w:rsidRPr="00055CF7">
          <w:rPr>
            <w:rStyle w:val="Hyperlink"/>
            <w:rFonts w:asciiTheme="minorHAnsi" w:eastAsiaTheme="minorHAnsi" w:hAnsiTheme="minorHAnsi" w:cstheme="minorHAnsi"/>
            <w:sz w:val="20"/>
            <w:szCs w:val="20"/>
          </w:rPr>
          <w:t>https://doi.org/10.1007/s10900-013-9681-1</w:t>
        </w:r>
      </w:hyperlink>
      <w:r w:rsidRPr="00055CF7">
        <w:rPr>
          <w:rFonts w:asciiTheme="minorHAnsi" w:eastAsiaTheme="minorHAnsi" w:hAnsiTheme="minorHAnsi" w:cstheme="minorHAnsi"/>
          <w:sz w:val="20"/>
          <w:szCs w:val="20"/>
        </w:rPr>
        <w:t xml:space="preserve"> </w:t>
      </w:r>
    </w:p>
  </w:footnote>
  <w:footnote w:id="3">
    <w:p w14:paraId="27BD648A" w14:textId="6E6789EE" w:rsidR="00B2729B" w:rsidRPr="00715FDF" w:rsidRDefault="00B2729B" w:rsidP="00715FDF">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055CF7">
        <w:rPr>
          <w:rStyle w:val="FootnoteReference"/>
          <w:rFonts w:asciiTheme="minorHAnsi" w:hAnsiTheme="minorHAnsi" w:cstheme="minorHAnsi"/>
          <w:sz w:val="20"/>
          <w:szCs w:val="20"/>
        </w:rPr>
        <w:footnoteRef/>
      </w:r>
      <w:r w:rsidRPr="00055CF7">
        <w:rPr>
          <w:rFonts w:asciiTheme="minorHAnsi" w:hAnsiTheme="minorHAnsi" w:cstheme="minorHAnsi"/>
          <w:sz w:val="20"/>
          <w:szCs w:val="20"/>
        </w:rPr>
        <w:t xml:space="preserve"> </w:t>
      </w:r>
      <w:r w:rsidR="00C62F3B" w:rsidRPr="00715FDF">
        <w:rPr>
          <w:rFonts w:asciiTheme="minorHAnsi" w:hAnsiTheme="minorHAnsi" w:cstheme="minorHAnsi"/>
          <w:color w:val="000000"/>
          <w:sz w:val="20"/>
          <w:szCs w:val="20"/>
        </w:rPr>
        <w:t>U.S. Department of Health and Human Services, Office of the Surgeon General. (2016). </w:t>
      </w:r>
      <w:r w:rsidR="00C62F3B" w:rsidRPr="00715FDF">
        <w:rPr>
          <w:rFonts w:asciiTheme="minorHAnsi" w:hAnsiTheme="minorHAnsi" w:cstheme="minorHAnsi"/>
          <w:i/>
          <w:iCs/>
          <w:color w:val="000000"/>
          <w:sz w:val="20"/>
          <w:szCs w:val="20"/>
        </w:rPr>
        <w:t>Facing Addiction in America: The Surgeon General’s Report on Alcohol, Drugs, and Health</w:t>
      </w:r>
      <w:r w:rsidR="00C62F3B" w:rsidRPr="00715FDF">
        <w:rPr>
          <w:rFonts w:asciiTheme="minorHAnsi" w:hAnsiTheme="minorHAnsi" w:cstheme="minorHAnsi"/>
          <w:color w:val="000000"/>
          <w:sz w:val="20"/>
          <w:szCs w:val="20"/>
        </w:rPr>
        <w:t xml:space="preserve">. </w:t>
      </w:r>
      <w:hyperlink r:id="rId2" w:history="1">
        <w:r w:rsidR="00C62F3B" w:rsidRPr="00715FDF">
          <w:rPr>
            <w:rStyle w:val="Hyperlink"/>
            <w:rFonts w:asciiTheme="minorHAnsi" w:hAnsiTheme="minorHAnsi" w:cstheme="minorHAnsi"/>
            <w:sz w:val="20"/>
            <w:szCs w:val="20"/>
          </w:rPr>
          <w:t>https://www.ncbi.nlm.nih.gov/books/NBK424848/</w:t>
        </w:r>
      </w:hyperlink>
      <w:r w:rsidR="00C62F3B" w:rsidRPr="00715FDF">
        <w:rPr>
          <w:rFonts w:asciiTheme="minorHAnsi" w:hAnsiTheme="minorHAnsi" w:cstheme="minorHAnsi"/>
          <w:color w:val="000000"/>
          <w:sz w:val="20"/>
          <w:szCs w:val="20"/>
        </w:rPr>
        <w:t xml:space="preserve"> </w:t>
      </w:r>
    </w:p>
  </w:footnote>
  <w:footnote w:id="4">
    <w:p w14:paraId="67C0172C" w14:textId="1B830181" w:rsidR="00A572CF" w:rsidRPr="00055CF7" w:rsidRDefault="00A572CF" w:rsidP="00055CF7">
      <w:pPr>
        <w:pStyle w:val="NormalWeb"/>
        <w:spacing w:before="0" w:beforeAutospacing="0" w:after="0" w:afterAutospacing="0"/>
        <w:ind w:left="720" w:hanging="720"/>
        <w:rPr>
          <w:rFonts w:asciiTheme="minorHAnsi" w:hAnsiTheme="minorHAnsi" w:cstheme="minorHAnsi"/>
          <w:sz w:val="20"/>
          <w:szCs w:val="20"/>
        </w:rPr>
      </w:pPr>
      <w:r w:rsidRPr="00055CF7">
        <w:rPr>
          <w:rStyle w:val="FootnoteReference"/>
          <w:rFonts w:asciiTheme="minorHAnsi" w:hAnsiTheme="minorHAnsi" w:cstheme="minorHAnsi"/>
          <w:sz w:val="20"/>
          <w:szCs w:val="20"/>
        </w:rPr>
        <w:footnoteRef/>
      </w:r>
      <w:r w:rsidRPr="00055CF7">
        <w:rPr>
          <w:rFonts w:asciiTheme="minorHAnsi" w:hAnsiTheme="minorHAnsi" w:cstheme="minorHAnsi"/>
          <w:sz w:val="20"/>
          <w:szCs w:val="20"/>
        </w:rPr>
        <w:t xml:space="preserve"> </w:t>
      </w:r>
      <w:r w:rsidR="00B259E7" w:rsidRPr="00055CF7">
        <w:rPr>
          <w:rFonts w:asciiTheme="minorHAnsi" w:hAnsiTheme="minorHAnsi" w:cstheme="minorHAnsi"/>
          <w:sz w:val="20"/>
          <w:szCs w:val="20"/>
        </w:rPr>
        <w:t xml:space="preserve">Pullen, E., &amp; </w:t>
      </w:r>
      <w:proofErr w:type="spellStart"/>
      <w:r w:rsidR="00B259E7" w:rsidRPr="00055CF7">
        <w:rPr>
          <w:rFonts w:asciiTheme="minorHAnsi" w:hAnsiTheme="minorHAnsi" w:cstheme="minorHAnsi"/>
          <w:sz w:val="20"/>
          <w:szCs w:val="20"/>
        </w:rPr>
        <w:t>Oser</w:t>
      </w:r>
      <w:proofErr w:type="spellEnd"/>
      <w:r w:rsidR="00B259E7" w:rsidRPr="00055CF7">
        <w:rPr>
          <w:rFonts w:asciiTheme="minorHAnsi" w:hAnsiTheme="minorHAnsi" w:cstheme="minorHAnsi"/>
          <w:sz w:val="20"/>
          <w:szCs w:val="20"/>
        </w:rPr>
        <w:t xml:space="preserve">, C. (2014). Barriers to Substance Abuse Treatment in Rural and Urban Communities: Counselor Perspectives. </w:t>
      </w:r>
      <w:r w:rsidR="00B259E7" w:rsidRPr="00055CF7">
        <w:rPr>
          <w:rFonts w:asciiTheme="minorHAnsi" w:hAnsiTheme="minorHAnsi" w:cstheme="minorHAnsi"/>
          <w:i/>
          <w:iCs/>
          <w:sz w:val="20"/>
          <w:szCs w:val="20"/>
        </w:rPr>
        <w:t>Substance Use &amp; Misuse</w:t>
      </w:r>
      <w:r w:rsidR="00B259E7" w:rsidRPr="00055CF7">
        <w:rPr>
          <w:rFonts w:asciiTheme="minorHAnsi" w:hAnsiTheme="minorHAnsi" w:cstheme="minorHAnsi"/>
          <w:sz w:val="20"/>
          <w:szCs w:val="20"/>
        </w:rPr>
        <w:t xml:space="preserve">, </w:t>
      </w:r>
      <w:r w:rsidR="00B259E7" w:rsidRPr="00055CF7">
        <w:rPr>
          <w:rFonts w:asciiTheme="minorHAnsi" w:hAnsiTheme="minorHAnsi" w:cstheme="minorHAnsi"/>
          <w:i/>
          <w:iCs/>
          <w:sz w:val="20"/>
          <w:szCs w:val="20"/>
        </w:rPr>
        <w:t>49</w:t>
      </w:r>
      <w:r w:rsidR="00B259E7" w:rsidRPr="00055CF7">
        <w:rPr>
          <w:rFonts w:asciiTheme="minorHAnsi" w:hAnsiTheme="minorHAnsi" w:cstheme="minorHAnsi"/>
          <w:sz w:val="20"/>
          <w:szCs w:val="20"/>
        </w:rPr>
        <w:t xml:space="preserve">(7), 891–901. </w:t>
      </w:r>
      <w:hyperlink r:id="rId3" w:history="1">
        <w:r w:rsidR="00F038C8" w:rsidRPr="00055CF7">
          <w:rPr>
            <w:rStyle w:val="Hyperlink"/>
            <w:rFonts w:asciiTheme="minorHAnsi" w:hAnsiTheme="minorHAnsi" w:cstheme="minorHAnsi"/>
            <w:sz w:val="20"/>
            <w:szCs w:val="20"/>
          </w:rPr>
          <w:t>https://doi.org/10.3109/10826084.2014.891615</w:t>
        </w:r>
      </w:hyperlink>
      <w:r w:rsidR="00F038C8" w:rsidRPr="00055CF7">
        <w:rPr>
          <w:rFonts w:asciiTheme="minorHAnsi" w:hAnsiTheme="minorHAnsi" w:cstheme="minorHAnsi"/>
          <w:sz w:val="20"/>
          <w:szCs w:val="20"/>
        </w:rPr>
        <w:t xml:space="preserve"> </w:t>
      </w:r>
    </w:p>
  </w:footnote>
  <w:footnote w:id="5">
    <w:p w14:paraId="1E7B4DB7" w14:textId="250B0FE6" w:rsidR="00CD1963" w:rsidRPr="00055CF7" w:rsidRDefault="00CD1963" w:rsidP="00055CF7">
      <w:pPr>
        <w:pStyle w:val="NormalWeb"/>
        <w:spacing w:before="0" w:beforeAutospacing="0" w:after="0" w:afterAutospacing="0"/>
        <w:ind w:left="720" w:hanging="720"/>
        <w:rPr>
          <w:rFonts w:asciiTheme="minorHAnsi" w:hAnsiTheme="minorHAnsi" w:cstheme="minorHAnsi"/>
          <w:sz w:val="20"/>
          <w:szCs w:val="20"/>
        </w:rPr>
      </w:pPr>
      <w:r w:rsidRPr="00055CF7">
        <w:rPr>
          <w:rStyle w:val="FootnoteReference"/>
          <w:rFonts w:asciiTheme="minorHAnsi" w:hAnsiTheme="minorHAnsi" w:cstheme="minorHAnsi"/>
          <w:sz w:val="20"/>
          <w:szCs w:val="20"/>
        </w:rPr>
        <w:footnoteRef/>
      </w:r>
      <w:r w:rsidRPr="00055CF7">
        <w:rPr>
          <w:rFonts w:asciiTheme="minorHAnsi" w:hAnsiTheme="minorHAnsi" w:cstheme="minorHAnsi"/>
          <w:sz w:val="20"/>
          <w:szCs w:val="20"/>
        </w:rPr>
        <w:t xml:space="preserve"> Holden, K., McGregor, B., Thandi, P., Fresh, E., </w:t>
      </w:r>
      <w:proofErr w:type="spellStart"/>
      <w:r w:rsidRPr="00055CF7">
        <w:rPr>
          <w:rFonts w:asciiTheme="minorHAnsi" w:hAnsiTheme="minorHAnsi" w:cstheme="minorHAnsi"/>
          <w:sz w:val="20"/>
          <w:szCs w:val="20"/>
        </w:rPr>
        <w:t>Sheats</w:t>
      </w:r>
      <w:proofErr w:type="spellEnd"/>
      <w:r w:rsidRPr="00055CF7">
        <w:rPr>
          <w:rFonts w:asciiTheme="minorHAnsi" w:hAnsiTheme="minorHAnsi" w:cstheme="minorHAnsi"/>
          <w:sz w:val="20"/>
          <w:szCs w:val="20"/>
        </w:rPr>
        <w:t xml:space="preserve">, K., Belton, A., Mattox, G., &amp; </w:t>
      </w:r>
      <w:proofErr w:type="spellStart"/>
      <w:r w:rsidRPr="00055CF7">
        <w:rPr>
          <w:rFonts w:asciiTheme="minorHAnsi" w:hAnsiTheme="minorHAnsi" w:cstheme="minorHAnsi"/>
          <w:sz w:val="20"/>
          <w:szCs w:val="20"/>
        </w:rPr>
        <w:t>Satcher</w:t>
      </w:r>
      <w:proofErr w:type="spellEnd"/>
      <w:r w:rsidRPr="00055CF7">
        <w:rPr>
          <w:rFonts w:asciiTheme="minorHAnsi" w:hAnsiTheme="minorHAnsi" w:cstheme="minorHAnsi"/>
          <w:sz w:val="20"/>
          <w:szCs w:val="20"/>
        </w:rPr>
        <w:t xml:space="preserve">, D. (2014). Toward culturally centered integrative care for addressing mental health disparities among ethnic minorities. </w:t>
      </w:r>
      <w:r w:rsidRPr="00055CF7">
        <w:rPr>
          <w:rFonts w:asciiTheme="minorHAnsi" w:hAnsiTheme="minorHAnsi" w:cstheme="minorHAnsi"/>
          <w:i/>
          <w:iCs/>
          <w:sz w:val="20"/>
          <w:szCs w:val="20"/>
        </w:rPr>
        <w:t>Psychological Services</w:t>
      </w:r>
      <w:r w:rsidRPr="00055CF7">
        <w:rPr>
          <w:rFonts w:asciiTheme="minorHAnsi" w:hAnsiTheme="minorHAnsi" w:cstheme="minorHAnsi"/>
          <w:sz w:val="20"/>
          <w:szCs w:val="20"/>
        </w:rPr>
        <w:t xml:space="preserve">, </w:t>
      </w:r>
      <w:r w:rsidRPr="00055CF7">
        <w:rPr>
          <w:rFonts w:asciiTheme="minorHAnsi" w:hAnsiTheme="minorHAnsi" w:cstheme="minorHAnsi"/>
          <w:i/>
          <w:iCs/>
          <w:sz w:val="20"/>
          <w:szCs w:val="20"/>
        </w:rPr>
        <w:t>11</w:t>
      </w:r>
      <w:r w:rsidRPr="00055CF7">
        <w:rPr>
          <w:rFonts w:asciiTheme="minorHAnsi" w:hAnsiTheme="minorHAnsi" w:cstheme="minorHAnsi"/>
          <w:sz w:val="20"/>
          <w:szCs w:val="20"/>
        </w:rPr>
        <w:t xml:space="preserve">(4), 357–368. </w:t>
      </w:r>
      <w:hyperlink r:id="rId4" w:history="1">
        <w:r w:rsidRPr="00055CF7">
          <w:rPr>
            <w:rStyle w:val="Hyperlink"/>
            <w:rFonts w:asciiTheme="minorHAnsi" w:hAnsiTheme="minorHAnsi" w:cstheme="minorHAnsi"/>
            <w:sz w:val="20"/>
            <w:szCs w:val="20"/>
          </w:rPr>
          <w:t>https://doi.org/10.1037/a0038122</w:t>
        </w:r>
      </w:hyperlink>
      <w:r w:rsidRPr="00055CF7">
        <w:rPr>
          <w:rFonts w:asciiTheme="minorHAnsi" w:hAnsiTheme="minorHAnsi" w:cstheme="minorHAnsi"/>
          <w:sz w:val="20"/>
          <w:szCs w:val="20"/>
        </w:rPr>
        <w:t xml:space="preserve"> </w:t>
      </w:r>
    </w:p>
  </w:footnote>
  <w:footnote w:id="6">
    <w:p w14:paraId="273CFD3D" w14:textId="27CF76B1" w:rsidR="00981ABF" w:rsidRPr="00715FDF" w:rsidRDefault="00981ABF" w:rsidP="00715FDF">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055CF7">
        <w:rPr>
          <w:rStyle w:val="FootnoteReference"/>
          <w:rFonts w:asciiTheme="minorHAnsi" w:hAnsiTheme="minorHAnsi" w:cstheme="minorHAnsi"/>
          <w:sz w:val="20"/>
          <w:szCs w:val="20"/>
        </w:rPr>
        <w:footnoteRef/>
      </w:r>
      <w:r w:rsidRPr="00055CF7">
        <w:rPr>
          <w:rFonts w:asciiTheme="minorHAnsi" w:hAnsiTheme="minorHAnsi" w:cstheme="minorHAnsi"/>
          <w:sz w:val="20"/>
          <w:szCs w:val="20"/>
        </w:rPr>
        <w:t xml:space="preserve"> </w:t>
      </w:r>
      <w:r w:rsidR="00B46DE0" w:rsidRPr="00715FDF">
        <w:rPr>
          <w:rFonts w:asciiTheme="minorHAnsi" w:hAnsiTheme="minorHAnsi" w:cstheme="minorHAnsi"/>
          <w:color w:val="000000"/>
          <w:sz w:val="20"/>
          <w:szCs w:val="20"/>
        </w:rPr>
        <w:t>Substance Abuse and Mental Health Services Administration. (2019). </w:t>
      </w:r>
      <w:r w:rsidR="00B46DE0" w:rsidRPr="00715FDF">
        <w:rPr>
          <w:rFonts w:asciiTheme="minorHAnsi" w:hAnsiTheme="minorHAnsi" w:cstheme="minorHAnsi"/>
          <w:i/>
          <w:iCs/>
          <w:color w:val="000000"/>
          <w:sz w:val="20"/>
          <w:szCs w:val="20"/>
        </w:rPr>
        <w:t>Behavioral Health Treatment Services Locator</w:t>
      </w:r>
      <w:r w:rsidR="00B46DE0" w:rsidRPr="00715FDF">
        <w:rPr>
          <w:rFonts w:asciiTheme="minorHAnsi" w:hAnsiTheme="minorHAnsi" w:cstheme="minorHAnsi"/>
          <w:color w:val="000000"/>
          <w:sz w:val="20"/>
          <w:szCs w:val="20"/>
        </w:rPr>
        <w:t xml:space="preserve">. U.S. Department of Health and Human Services. </w:t>
      </w:r>
      <w:hyperlink r:id="rId5" w:history="1">
        <w:r w:rsidR="00C62F3B" w:rsidRPr="00715FDF">
          <w:rPr>
            <w:rStyle w:val="Hyperlink"/>
            <w:rFonts w:asciiTheme="minorHAnsi" w:hAnsiTheme="minorHAnsi" w:cstheme="minorHAnsi"/>
            <w:sz w:val="20"/>
            <w:szCs w:val="20"/>
          </w:rPr>
          <w:t>https://findtreatment.samhsa.gov/locator.html</w:t>
        </w:r>
      </w:hyperlink>
      <w:r w:rsidR="00C62F3B" w:rsidRPr="00715FDF">
        <w:rPr>
          <w:rFonts w:asciiTheme="minorHAnsi" w:hAnsiTheme="minorHAnsi" w:cstheme="minorHAnsi"/>
          <w:color w:val="000000"/>
          <w:sz w:val="20"/>
          <w:szCs w:val="20"/>
        </w:rPr>
        <w:t xml:space="preserve"> </w:t>
      </w:r>
    </w:p>
  </w:footnote>
  <w:footnote w:id="7">
    <w:p w14:paraId="6D459F71" w14:textId="07C8293E" w:rsidR="00491FA5" w:rsidRPr="00715FDF" w:rsidRDefault="00491FA5" w:rsidP="00715FDF">
      <w:pPr>
        <w:pStyle w:val="NormalWeb"/>
        <w:shd w:val="clear" w:color="auto" w:fill="FFFFFF"/>
        <w:spacing w:before="0" w:beforeAutospacing="0" w:after="0" w:afterAutospacing="0"/>
        <w:ind w:left="720" w:hanging="720"/>
        <w:rPr>
          <w:rFonts w:ascii="Calibri" w:hAnsi="Calibri" w:cs="Calibri"/>
          <w:color w:val="000000"/>
          <w:sz w:val="20"/>
          <w:szCs w:val="20"/>
        </w:rPr>
      </w:pPr>
      <w:r w:rsidRPr="00715FDF">
        <w:rPr>
          <w:rStyle w:val="FootnoteReference"/>
          <w:rFonts w:asciiTheme="minorHAnsi" w:hAnsiTheme="minorHAnsi" w:cstheme="minorHAnsi"/>
          <w:sz w:val="20"/>
          <w:szCs w:val="20"/>
        </w:rPr>
        <w:footnoteRef/>
      </w:r>
      <w:r w:rsidRPr="00715FDF">
        <w:rPr>
          <w:rFonts w:asciiTheme="minorHAnsi" w:hAnsiTheme="minorHAnsi" w:cstheme="minorHAnsi"/>
          <w:sz w:val="20"/>
          <w:szCs w:val="20"/>
        </w:rPr>
        <w:t xml:space="preserve"> </w:t>
      </w:r>
      <w:r w:rsidR="00055CF7" w:rsidRPr="00715FDF">
        <w:rPr>
          <w:rFonts w:ascii="Calibri" w:hAnsi="Calibri" w:cs="Calibri"/>
          <w:color w:val="000000"/>
          <w:sz w:val="20"/>
          <w:szCs w:val="20"/>
        </w:rPr>
        <w:t>Luo, W., &amp; Wang, F. (2003). </w:t>
      </w:r>
      <w:r w:rsidR="00055CF7" w:rsidRPr="00715FDF">
        <w:rPr>
          <w:rFonts w:ascii="Calibri" w:hAnsi="Calibri" w:cs="Calibri"/>
          <w:i/>
          <w:iCs/>
          <w:color w:val="000000"/>
          <w:sz w:val="20"/>
          <w:szCs w:val="20"/>
        </w:rPr>
        <w:t>Spatial Accessibility to Primary Care and Physician Shortage Area Designation: A Case Study in Illinois with GIS Approaches</w:t>
      </w:r>
      <w:r w:rsidR="00055CF7" w:rsidRPr="00715FDF">
        <w:rPr>
          <w:rFonts w:ascii="Calibri" w:hAnsi="Calibri" w:cs="Calibri"/>
          <w:color w:val="000000"/>
          <w:sz w:val="20"/>
          <w:szCs w:val="20"/>
        </w:rPr>
        <w:t xml:space="preserve">. Geographic Information Systems and Health Applications. </w:t>
      </w:r>
      <w:hyperlink r:id="rId6" w:history="1">
        <w:r w:rsidR="00055CF7" w:rsidRPr="00715FDF">
          <w:rPr>
            <w:rStyle w:val="Hyperlink"/>
            <w:rFonts w:ascii="Calibri" w:hAnsi="Calibri" w:cs="Calibri"/>
            <w:sz w:val="20"/>
            <w:szCs w:val="20"/>
          </w:rPr>
          <w:t>https://www.igi-global.com/chapter/spatial-accessibility-primary-care-physician/18846</w:t>
        </w:r>
      </w:hyperlink>
      <w:r w:rsidR="00055CF7" w:rsidRPr="00715FDF">
        <w:rPr>
          <w:rFonts w:ascii="Calibri" w:hAnsi="Calibri" w:cs="Calibri"/>
          <w:color w:val="000000"/>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38"/>
    <w:multiLevelType w:val="hybridMultilevel"/>
    <w:tmpl w:val="21B6BB4C"/>
    <w:lvl w:ilvl="0" w:tplc="E760EE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C497D"/>
    <w:multiLevelType w:val="hybridMultilevel"/>
    <w:tmpl w:val="EBBC194C"/>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87D76"/>
    <w:multiLevelType w:val="hybridMultilevel"/>
    <w:tmpl w:val="CC8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0008B"/>
    <w:multiLevelType w:val="hybridMultilevel"/>
    <w:tmpl w:val="FE36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B07D7"/>
    <w:multiLevelType w:val="hybridMultilevel"/>
    <w:tmpl w:val="CD7222D0"/>
    <w:lvl w:ilvl="0" w:tplc="C6C285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DF4C52"/>
    <w:multiLevelType w:val="hybridMultilevel"/>
    <w:tmpl w:val="450A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34212"/>
    <w:multiLevelType w:val="hybridMultilevel"/>
    <w:tmpl w:val="DD243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5F03C1"/>
    <w:multiLevelType w:val="hybridMultilevel"/>
    <w:tmpl w:val="943AD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A01D1"/>
    <w:multiLevelType w:val="hybridMultilevel"/>
    <w:tmpl w:val="94AAB6E8"/>
    <w:lvl w:ilvl="0" w:tplc="C6C2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0009C"/>
    <w:multiLevelType w:val="hybridMultilevel"/>
    <w:tmpl w:val="861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24E1C25"/>
    <w:multiLevelType w:val="hybridMultilevel"/>
    <w:tmpl w:val="4AC868FA"/>
    <w:lvl w:ilvl="0" w:tplc="3168A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1820BD"/>
    <w:multiLevelType w:val="hybridMultilevel"/>
    <w:tmpl w:val="351E3E82"/>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10"/>
  </w:num>
  <w:num w:numId="5">
    <w:abstractNumId w:val="6"/>
  </w:num>
  <w:num w:numId="6">
    <w:abstractNumId w:val="0"/>
  </w:num>
  <w:num w:numId="7">
    <w:abstractNumId w:val="11"/>
  </w:num>
  <w:num w:numId="8">
    <w:abstractNumId w:val="1"/>
  </w:num>
  <w:num w:numId="9">
    <w:abstractNumId w:val="14"/>
  </w:num>
  <w:num w:numId="10">
    <w:abstractNumId w:val="3"/>
  </w:num>
  <w:num w:numId="11">
    <w:abstractNumId w:val="15"/>
  </w:num>
  <w:num w:numId="12">
    <w:abstractNumId w:val="2"/>
  </w:num>
  <w:num w:numId="13">
    <w:abstractNumId w:val="13"/>
  </w:num>
  <w:num w:numId="14">
    <w:abstractNumId w:val="5"/>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7"/>
    <w:rsid w:val="000005FF"/>
    <w:rsid w:val="00003EA1"/>
    <w:rsid w:val="00005E13"/>
    <w:rsid w:val="00007F76"/>
    <w:rsid w:val="00010A16"/>
    <w:rsid w:val="00055CF7"/>
    <w:rsid w:val="000671DD"/>
    <w:rsid w:val="00067827"/>
    <w:rsid w:val="00071969"/>
    <w:rsid w:val="00082B14"/>
    <w:rsid w:val="00082C3D"/>
    <w:rsid w:val="0008657A"/>
    <w:rsid w:val="000905B5"/>
    <w:rsid w:val="000A36F3"/>
    <w:rsid w:val="000B0048"/>
    <w:rsid w:val="000B2D9B"/>
    <w:rsid w:val="000C06FC"/>
    <w:rsid w:val="000C189E"/>
    <w:rsid w:val="000D5C93"/>
    <w:rsid w:val="000F2278"/>
    <w:rsid w:val="00106957"/>
    <w:rsid w:val="00115761"/>
    <w:rsid w:val="00126260"/>
    <w:rsid w:val="00143CCB"/>
    <w:rsid w:val="00144D3F"/>
    <w:rsid w:val="001634AE"/>
    <w:rsid w:val="00180268"/>
    <w:rsid w:val="00181F4B"/>
    <w:rsid w:val="00187A45"/>
    <w:rsid w:val="00190959"/>
    <w:rsid w:val="00196195"/>
    <w:rsid w:val="001B437D"/>
    <w:rsid w:val="001B4CDB"/>
    <w:rsid w:val="001B5F77"/>
    <w:rsid w:val="001B6722"/>
    <w:rsid w:val="00246A24"/>
    <w:rsid w:val="002473F9"/>
    <w:rsid w:val="00247C44"/>
    <w:rsid w:val="002649BE"/>
    <w:rsid w:val="00265091"/>
    <w:rsid w:val="00270F6B"/>
    <w:rsid w:val="00274DB9"/>
    <w:rsid w:val="00282585"/>
    <w:rsid w:val="00286717"/>
    <w:rsid w:val="00296E5A"/>
    <w:rsid w:val="002A2D69"/>
    <w:rsid w:val="002A3AC0"/>
    <w:rsid w:val="002A3ADA"/>
    <w:rsid w:val="002B604A"/>
    <w:rsid w:val="002B6F8E"/>
    <w:rsid w:val="002D31E1"/>
    <w:rsid w:val="002E012B"/>
    <w:rsid w:val="002E6813"/>
    <w:rsid w:val="00302737"/>
    <w:rsid w:val="003046F3"/>
    <w:rsid w:val="00312CBD"/>
    <w:rsid w:val="00313870"/>
    <w:rsid w:val="00314176"/>
    <w:rsid w:val="00321DB0"/>
    <w:rsid w:val="00321FDF"/>
    <w:rsid w:val="00326F71"/>
    <w:rsid w:val="003628E7"/>
    <w:rsid w:val="00374E2B"/>
    <w:rsid w:val="00383B93"/>
    <w:rsid w:val="003A178B"/>
    <w:rsid w:val="003A2AA6"/>
    <w:rsid w:val="003C7FF1"/>
    <w:rsid w:val="003D1192"/>
    <w:rsid w:val="003E3EFF"/>
    <w:rsid w:val="003E542E"/>
    <w:rsid w:val="003E7519"/>
    <w:rsid w:val="003F50AD"/>
    <w:rsid w:val="004065B7"/>
    <w:rsid w:val="00412D30"/>
    <w:rsid w:val="00427FA7"/>
    <w:rsid w:val="00433CEA"/>
    <w:rsid w:val="0043612D"/>
    <w:rsid w:val="00445C06"/>
    <w:rsid w:val="004559BB"/>
    <w:rsid w:val="00455A5F"/>
    <w:rsid w:val="00491FA5"/>
    <w:rsid w:val="00496853"/>
    <w:rsid w:val="004A7D20"/>
    <w:rsid w:val="004B2BB7"/>
    <w:rsid w:val="004C1E94"/>
    <w:rsid w:val="004D1428"/>
    <w:rsid w:val="00523739"/>
    <w:rsid w:val="005331A2"/>
    <w:rsid w:val="005332B0"/>
    <w:rsid w:val="00534F93"/>
    <w:rsid w:val="00541485"/>
    <w:rsid w:val="005429A8"/>
    <w:rsid w:val="00546906"/>
    <w:rsid w:val="00547A78"/>
    <w:rsid w:val="00550602"/>
    <w:rsid w:val="00554904"/>
    <w:rsid w:val="00560731"/>
    <w:rsid w:val="00594478"/>
    <w:rsid w:val="005A7BCE"/>
    <w:rsid w:val="005C2F97"/>
    <w:rsid w:val="005C3063"/>
    <w:rsid w:val="00601594"/>
    <w:rsid w:val="00602888"/>
    <w:rsid w:val="00621422"/>
    <w:rsid w:val="006411AF"/>
    <w:rsid w:val="00647167"/>
    <w:rsid w:val="00660E1B"/>
    <w:rsid w:val="00661902"/>
    <w:rsid w:val="006624E1"/>
    <w:rsid w:val="00665F32"/>
    <w:rsid w:val="0067200F"/>
    <w:rsid w:val="00694C94"/>
    <w:rsid w:val="006A0653"/>
    <w:rsid w:val="006B06E3"/>
    <w:rsid w:val="006B19EB"/>
    <w:rsid w:val="006C7869"/>
    <w:rsid w:val="006E19F6"/>
    <w:rsid w:val="006F6463"/>
    <w:rsid w:val="0070276E"/>
    <w:rsid w:val="00715FDF"/>
    <w:rsid w:val="00717E59"/>
    <w:rsid w:val="007222A0"/>
    <w:rsid w:val="00741DD2"/>
    <w:rsid w:val="00762746"/>
    <w:rsid w:val="00774EC9"/>
    <w:rsid w:val="00780780"/>
    <w:rsid w:val="007A0974"/>
    <w:rsid w:val="007A27EE"/>
    <w:rsid w:val="007A340A"/>
    <w:rsid w:val="007C5A29"/>
    <w:rsid w:val="007D09A4"/>
    <w:rsid w:val="007D7CD4"/>
    <w:rsid w:val="00805F08"/>
    <w:rsid w:val="0081035A"/>
    <w:rsid w:val="0081539A"/>
    <w:rsid w:val="008277ED"/>
    <w:rsid w:val="00834819"/>
    <w:rsid w:val="00841D17"/>
    <w:rsid w:val="00851741"/>
    <w:rsid w:val="00851E9E"/>
    <w:rsid w:val="00855076"/>
    <w:rsid w:val="0086035A"/>
    <w:rsid w:val="0086193E"/>
    <w:rsid w:val="0087007A"/>
    <w:rsid w:val="008B110E"/>
    <w:rsid w:val="008B7138"/>
    <w:rsid w:val="008E6E54"/>
    <w:rsid w:val="009014F7"/>
    <w:rsid w:val="00906322"/>
    <w:rsid w:val="00912807"/>
    <w:rsid w:val="009162FB"/>
    <w:rsid w:val="009245F3"/>
    <w:rsid w:val="00924831"/>
    <w:rsid w:val="00930000"/>
    <w:rsid w:val="009372D5"/>
    <w:rsid w:val="00943339"/>
    <w:rsid w:val="009713B5"/>
    <w:rsid w:val="009810A5"/>
    <w:rsid w:val="00981ABF"/>
    <w:rsid w:val="009A1748"/>
    <w:rsid w:val="009B059E"/>
    <w:rsid w:val="009B1617"/>
    <w:rsid w:val="009B7B4D"/>
    <w:rsid w:val="009E56D4"/>
    <w:rsid w:val="00A16408"/>
    <w:rsid w:val="00A31860"/>
    <w:rsid w:val="00A34619"/>
    <w:rsid w:val="00A34BBA"/>
    <w:rsid w:val="00A56D59"/>
    <w:rsid w:val="00A572CF"/>
    <w:rsid w:val="00A73104"/>
    <w:rsid w:val="00A74F70"/>
    <w:rsid w:val="00A75AB7"/>
    <w:rsid w:val="00A85E6C"/>
    <w:rsid w:val="00A96381"/>
    <w:rsid w:val="00AA30DA"/>
    <w:rsid w:val="00AA38EC"/>
    <w:rsid w:val="00AA5AB9"/>
    <w:rsid w:val="00AA6ABB"/>
    <w:rsid w:val="00AB156D"/>
    <w:rsid w:val="00AB5702"/>
    <w:rsid w:val="00AB77AB"/>
    <w:rsid w:val="00AC38E9"/>
    <w:rsid w:val="00AC3DA4"/>
    <w:rsid w:val="00AD4440"/>
    <w:rsid w:val="00AE261C"/>
    <w:rsid w:val="00AE6DD8"/>
    <w:rsid w:val="00AE77BE"/>
    <w:rsid w:val="00AF01CB"/>
    <w:rsid w:val="00B06E73"/>
    <w:rsid w:val="00B105B2"/>
    <w:rsid w:val="00B21683"/>
    <w:rsid w:val="00B259E7"/>
    <w:rsid w:val="00B2729B"/>
    <w:rsid w:val="00B3143B"/>
    <w:rsid w:val="00B46DE0"/>
    <w:rsid w:val="00B4758F"/>
    <w:rsid w:val="00B53D81"/>
    <w:rsid w:val="00B6742C"/>
    <w:rsid w:val="00B67A16"/>
    <w:rsid w:val="00B71842"/>
    <w:rsid w:val="00B77980"/>
    <w:rsid w:val="00B93EF2"/>
    <w:rsid w:val="00BA13CF"/>
    <w:rsid w:val="00BB3AFE"/>
    <w:rsid w:val="00BB41DA"/>
    <w:rsid w:val="00BB551D"/>
    <w:rsid w:val="00BD3D97"/>
    <w:rsid w:val="00BD4B9D"/>
    <w:rsid w:val="00BE20A4"/>
    <w:rsid w:val="00BF135F"/>
    <w:rsid w:val="00C13672"/>
    <w:rsid w:val="00C333EA"/>
    <w:rsid w:val="00C33E0A"/>
    <w:rsid w:val="00C430C9"/>
    <w:rsid w:val="00C505D0"/>
    <w:rsid w:val="00C566E2"/>
    <w:rsid w:val="00C62F3B"/>
    <w:rsid w:val="00C63158"/>
    <w:rsid w:val="00C660C4"/>
    <w:rsid w:val="00C674A9"/>
    <w:rsid w:val="00C72E1C"/>
    <w:rsid w:val="00C755D7"/>
    <w:rsid w:val="00C8203C"/>
    <w:rsid w:val="00C93069"/>
    <w:rsid w:val="00CC1898"/>
    <w:rsid w:val="00CC6FD7"/>
    <w:rsid w:val="00CC7B1F"/>
    <w:rsid w:val="00CD1963"/>
    <w:rsid w:val="00CD53C4"/>
    <w:rsid w:val="00CE1BB6"/>
    <w:rsid w:val="00CE35AA"/>
    <w:rsid w:val="00CF3CCE"/>
    <w:rsid w:val="00D07D4C"/>
    <w:rsid w:val="00D1653B"/>
    <w:rsid w:val="00D268F7"/>
    <w:rsid w:val="00D44CAC"/>
    <w:rsid w:val="00D626DE"/>
    <w:rsid w:val="00D66B78"/>
    <w:rsid w:val="00D73B5B"/>
    <w:rsid w:val="00D85C3D"/>
    <w:rsid w:val="00D86ECC"/>
    <w:rsid w:val="00D91112"/>
    <w:rsid w:val="00DA16C3"/>
    <w:rsid w:val="00DC487E"/>
    <w:rsid w:val="00DF0361"/>
    <w:rsid w:val="00DF1559"/>
    <w:rsid w:val="00DF1B70"/>
    <w:rsid w:val="00E21A26"/>
    <w:rsid w:val="00E22D92"/>
    <w:rsid w:val="00E25B4C"/>
    <w:rsid w:val="00E34396"/>
    <w:rsid w:val="00E354BB"/>
    <w:rsid w:val="00E6619C"/>
    <w:rsid w:val="00E675E3"/>
    <w:rsid w:val="00E7035E"/>
    <w:rsid w:val="00E705A3"/>
    <w:rsid w:val="00E70D5B"/>
    <w:rsid w:val="00E775B6"/>
    <w:rsid w:val="00E80FF7"/>
    <w:rsid w:val="00EA3FE4"/>
    <w:rsid w:val="00EB6D7C"/>
    <w:rsid w:val="00EC4349"/>
    <w:rsid w:val="00EC5AED"/>
    <w:rsid w:val="00EC670E"/>
    <w:rsid w:val="00ED20F5"/>
    <w:rsid w:val="00ED5DD3"/>
    <w:rsid w:val="00ED6351"/>
    <w:rsid w:val="00EE5730"/>
    <w:rsid w:val="00F038C8"/>
    <w:rsid w:val="00F23095"/>
    <w:rsid w:val="00F2637A"/>
    <w:rsid w:val="00F43C8F"/>
    <w:rsid w:val="00F60CD7"/>
    <w:rsid w:val="00F8197B"/>
    <w:rsid w:val="00F938FA"/>
    <w:rsid w:val="00F94A4F"/>
    <w:rsid w:val="00FA066D"/>
    <w:rsid w:val="00FA2DEE"/>
    <w:rsid w:val="00FA2ED2"/>
    <w:rsid w:val="00FB05D3"/>
    <w:rsid w:val="00FB5343"/>
    <w:rsid w:val="00FC2DA5"/>
    <w:rsid w:val="00FD3C2B"/>
    <w:rsid w:val="00FD76D1"/>
    <w:rsid w:val="00FF2D1E"/>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7E9"/>
  <w15:chartTrackingRefBased/>
  <w15:docId w15:val="{9A14F6A9-EF61-48D8-BCE3-4C45BE96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D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A16408"/>
    <w:rPr>
      <w:color w:val="808080"/>
    </w:rPr>
  </w:style>
  <w:style w:type="character" w:styleId="Hyperlink">
    <w:name w:val="Hyperlink"/>
    <w:basedOn w:val="DefaultParagraphFont"/>
    <w:uiPriority w:val="99"/>
    <w:unhideWhenUsed/>
    <w:rsid w:val="00C8203C"/>
    <w:rPr>
      <w:color w:val="0563C1" w:themeColor="hyperlink"/>
      <w:u w:val="single"/>
    </w:rPr>
  </w:style>
  <w:style w:type="character" w:styleId="UnresolvedMention">
    <w:name w:val="Unresolved Mention"/>
    <w:basedOn w:val="DefaultParagraphFont"/>
    <w:uiPriority w:val="99"/>
    <w:unhideWhenUsed/>
    <w:rsid w:val="00C8203C"/>
    <w:rPr>
      <w:color w:val="605E5C"/>
      <w:shd w:val="clear" w:color="auto" w:fill="E1DFDD"/>
    </w:rPr>
  </w:style>
  <w:style w:type="table" w:styleId="TableGrid">
    <w:name w:val="Table Grid"/>
    <w:basedOn w:val="TableNormal"/>
    <w:uiPriority w:val="39"/>
    <w:rsid w:val="000D5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2C3D"/>
    <w:rPr>
      <w:sz w:val="16"/>
      <w:szCs w:val="16"/>
    </w:rPr>
  </w:style>
  <w:style w:type="paragraph" w:styleId="CommentText">
    <w:name w:val="annotation text"/>
    <w:basedOn w:val="Normal"/>
    <w:link w:val="CommentTextChar"/>
    <w:uiPriority w:val="99"/>
    <w:unhideWhenUsed/>
    <w:rsid w:val="00082C3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82C3D"/>
    <w:rPr>
      <w:sz w:val="20"/>
      <w:szCs w:val="20"/>
    </w:rPr>
  </w:style>
  <w:style w:type="paragraph" w:styleId="CommentSubject">
    <w:name w:val="annotation subject"/>
    <w:basedOn w:val="CommentText"/>
    <w:next w:val="CommentText"/>
    <w:link w:val="CommentSubjectChar"/>
    <w:uiPriority w:val="99"/>
    <w:semiHidden/>
    <w:unhideWhenUsed/>
    <w:rsid w:val="00082C3D"/>
    <w:rPr>
      <w:b/>
      <w:bCs/>
    </w:rPr>
  </w:style>
  <w:style w:type="character" w:customStyle="1" w:styleId="CommentSubjectChar">
    <w:name w:val="Comment Subject Char"/>
    <w:basedOn w:val="CommentTextChar"/>
    <w:link w:val="CommentSubject"/>
    <w:uiPriority w:val="99"/>
    <w:semiHidden/>
    <w:rsid w:val="00082C3D"/>
    <w:rPr>
      <w:b/>
      <w:bCs/>
      <w:sz w:val="20"/>
      <w:szCs w:val="20"/>
    </w:rPr>
  </w:style>
  <w:style w:type="paragraph" w:styleId="FootnoteText">
    <w:name w:val="footnote text"/>
    <w:basedOn w:val="Normal"/>
    <w:link w:val="FootnoteTextChar"/>
    <w:uiPriority w:val="99"/>
    <w:semiHidden/>
    <w:unhideWhenUsed/>
    <w:rsid w:val="00621422"/>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21422"/>
    <w:rPr>
      <w:sz w:val="20"/>
      <w:szCs w:val="20"/>
    </w:rPr>
  </w:style>
  <w:style w:type="character" w:styleId="FootnoteReference">
    <w:name w:val="footnote reference"/>
    <w:basedOn w:val="DefaultParagraphFont"/>
    <w:uiPriority w:val="99"/>
    <w:semiHidden/>
    <w:unhideWhenUsed/>
    <w:rsid w:val="00621422"/>
    <w:rPr>
      <w:vertAlign w:val="superscript"/>
    </w:rPr>
  </w:style>
  <w:style w:type="paragraph" w:styleId="Header">
    <w:name w:val="header"/>
    <w:basedOn w:val="Normal"/>
    <w:link w:val="HeaderChar"/>
    <w:uiPriority w:val="99"/>
    <w:semiHidden/>
    <w:unhideWhenUsed/>
    <w:rsid w:val="00005E13"/>
    <w:pPr>
      <w:tabs>
        <w:tab w:val="center" w:pos="4680"/>
        <w:tab w:val="right" w:pos="9360"/>
      </w:tabs>
    </w:pPr>
  </w:style>
  <w:style w:type="character" w:customStyle="1" w:styleId="HeaderChar">
    <w:name w:val="Header Char"/>
    <w:basedOn w:val="DefaultParagraphFont"/>
    <w:link w:val="Header"/>
    <w:uiPriority w:val="99"/>
    <w:semiHidden/>
    <w:rsid w:val="00005E13"/>
  </w:style>
  <w:style w:type="paragraph" w:styleId="Footer">
    <w:name w:val="footer"/>
    <w:basedOn w:val="Normal"/>
    <w:link w:val="FooterChar"/>
    <w:uiPriority w:val="99"/>
    <w:semiHidden/>
    <w:unhideWhenUsed/>
    <w:rsid w:val="00005E13"/>
    <w:pPr>
      <w:tabs>
        <w:tab w:val="center" w:pos="4680"/>
        <w:tab w:val="right" w:pos="9360"/>
      </w:tabs>
    </w:pPr>
  </w:style>
  <w:style w:type="character" w:customStyle="1" w:styleId="FooterChar">
    <w:name w:val="Footer Char"/>
    <w:basedOn w:val="DefaultParagraphFont"/>
    <w:link w:val="Footer"/>
    <w:uiPriority w:val="99"/>
    <w:semiHidden/>
    <w:rsid w:val="00005E13"/>
  </w:style>
  <w:style w:type="character" w:styleId="Mention">
    <w:name w:val="Mention"/>
    <w:basedOn w:val="DefaultParagraphFont"/>
    <w:uiPriority w:val="99"/>
    <w:unhideWhenUsed/>
    <w:rsid w:val="00E21A26"/>
    <w:rPr>
      <w:color w:val="2B579A"/>
      <w:shd w:val="clear" w:color="auto" w:fill="E1DFDD"/>
    </w:rPr>
  </w:style>
  <w:style w:type="character" w:styleId="FollowedHyperlink">
    <w:name w:val="FollowedHyperlink"/>
    <w:basedOn w:val="DefaultParagraphFont"/>
    <w:uiPriority w:val="99"/>
    <w:semiHidden/>
    <w:unhideWhenUsed/>
    <w:rsid w:val="00FF69A2"/>
    <w:rPr>
      <w:color w:val="954F72" w:themeColor="followedHyperlink"/>
      <w:u w:val="single"/>
    </w:rPr>
  </w:style>
  <w:style w:type="paragraph" w:styleId="NormalWeb">
    <w:name w:val="Normal (Web)"/>
    <w:basedOn w:val="Normal"/>
    <w:uiPriority w:val="99"/>
    <w:unhideWhenUsed/>
    <w:rsid w:val="00CC7B1F"/>
    <w:pPr>
      <w:spacing w:before="100" w:beforeAutospacing="1" w:after="100" w:afterAutospacing="1"/>
    </w:pPr>
  </w:style>
  <w:style w:type="paragraph" w:styleId="Revision">
    <w:name w:val="Revision"/>
    <w:hidden/>
    <w:uiPriority w:val="99"/>
    <w:semiHidden/>
    <w:rsid w:val="002E012B"/>
  </w:style>
  <w:style w:type="character" w:customStyle="1" w:styleId="apple-converted-space">
    <w:name w:val="apple-converted-space"/>
    <w:basedOn w:val="DefaultParagraphFont"/>
    <w:rsid w:val="00B4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0689">
      <w:bodyDiv w:val="1"/>
      <w:marLeft w:val="0"/>
      <w:marRight w:val="0"/>
      <w:marTop w:val="0"/>
      <w:marBottom w:val="0"/>
      <w:divBdr>
        <w:top w:val="none" w:sz="0" w:space="0" w:color="auto"/>
        <w:left w:val="none" w:sz="0" w:space="0" w:color="auto"/>
        <w:bottom w:val="none" w:sz="0" w:space="0" w:color="auto"/>
        <w:right w:val="none" w:sz="0" w:space="0" w:color="auto"/>
      </w:divBdr>
      <w:divsChild>
        <w:div w:id="574127827">
          <w:marLeft w:val="0"/>
          <w:marRight w:val="0"/>
          <w:marTop w:val="0"/>
          <w:marBottom w:val="0"/>
          <w:divBdr>
            <w:top w:val="none" w:sz="0" w:space="0" w:color="auto"/>
            <w:left w:val="none" w:sz="0" w:space="0" w:color="auto"/>
            <w:bottom w:val="none" w:sz="0" w:space="0" w:color="auto"/>
            <w:right w:val="none" w:sz="0" w:space="0" w:color="auto"/>
          </w:divBdr>
        </w:div>
      </w:divsChild>
    </w:div>
    <w:div w:id="416829527">
      <w:bodyDiv w:val="1"/>
      <w:marLeft w:val="0"/>
      <w:marRight w:val="0"/>
      <w:marTop w:val="0"/>
      <w:marBottom w:val="0"/>
      <w:divBdr>
        <w:top w:val="none" w:sz="0" w:space="0" w:color="auto"/>
        <w:left w:val="none" w:sz="0" w:space="0" w:color="auto"/>
        <w:bottom w:val="none" w:sz="0" w:space="0" w:color="auto"/>
        <w:right w:val="none" w:sz="0" w:space="0" w:color="auto"/>
      </w:divBdr>
      <w:divsChild>
        <w:div w:id="582959476">
          <w:marLeft w:val="0"/>
          <w:marRight w:val="0"/>
          <w:marTop w:val="0"/>
          <w:marBottom w:val="0"/>
          <w:divBdr>
            <w:top w:val="none" w:sz="0" w:space="0" w:color="auto"/>
            <w:left w:val="none" w:sz="0" w:space="0" w:color="auto"/>
            <w:bottom w:val="none" w:sz="0" w:space="0" w:color="auto"/>
            <w:right w:val="none" w:sz="0" w:space="0" w:color="auto"/>
          </w:divBdr>
        </w:div>
      </w:divsChild>
    </w:div>
    <w:div w:id="554780376">
      <w:bodyDiv w:val="1"/>
      <w:marLeft w:val="0"/>
      <w:marRight w:val="0"/>
      <w:marTop w:val="0"/>
      <w:marBottom w:val="0"/>
      <w:divBdr>
        <w:top w:val="none" w:sz="0" w:space="0" w:color="auto"/>
        <w:left w:val="none" w:sz="0" w:space="0" w:color="auto"/>
        <w:bottom w:val="none" w:sz="0" w:space="0" w:color="auto"/>
        <w:right w:val="none" w:sz="0" w:space="0" w:color="auto"/>
      </w:divBdr>
    </w:div>
    <w:div w:id="1002128226">
      <w:bodyDiv w:val="1"/>
      <w:marLeft w:val="0"/>
      <w:marRight w:val="0"/>
      <w:marTop w:val="0"/>
      <w:marBottom w:val="0"/>
      <w:divBdr>
        <w:top w:val="none" w:sz="0" w:space="0" w:color="auto"/>
        <w:left w:val="none" w:sz="0" w:space="0" w:color="auto"/>
        <w:bottom w:val="none" w:sz="0" w:space="0" w:color="auto"/>
        <w:right w:val="none" w:sz="0" w:space="0" w:color="auto"/>
      </w:divBdr>
      <w:divsChild>
        <w:div w:id="1386904946">
          <w:marLeft w:val="0"/>
          <w:marRight w:val="0"/>
          <w:marTop w:val="0"/>
          <w:marBottom w:val="0"/>
          <w:divBdr>
            <w:top w:val="none" w:sz="0" w:space="0" w:color="auto"/>
            <w:left w:val="none" w:sz="0" w:space="0" w:color="auto"/>
            <w:bottom w:val="none" w:sz="0" w:space="0" w:color="auto"/>
            <w:right w:val="none" w:sz="0" w:space="0" w:color="auto"/>
          </w:divBdr>
        </w:div>
      </w:divsChild>
    </w:div>
    <w:div w:id="1338338922">
      <w:bodyDiv w:val="1"/>
      <w:marLeft w:val="0"/>
      <w:marRight w:val="0"/>
      <w:marTop w:val="0"/>
      <w:marBottom w:val="0"/>
      <w:divBdr>
        <w:top w:val="none" w:sz="0" w:space="0" w:color="auto"/>
        <w:left w:val="none" w:sz="0" w:space="0" w:color="auto"/>
        <w:bottom w:val="none" w:sz="0" w:space="0" w:color="auto"/>
        <w:right w:val="none" w:sz="0" w:space="0" w:color="auto"/>
      </w:divBdr>
      <w:divsChild>
        <w:div w:id="359013977">
          <w:marLeft w:val="0"/>
          <w:marRight w:val="0"/>
          <w:marTop w:val="0"/>
          <w:marBottom w:val="0"/>
          <w:divBdr>
            <w:top w:val="none" w:sz="0" w:space="0" w:color="auto"/>
            <w:left w:val="none" w:sz="0" w:space="0" w:color="auto"/>
            <w:bottom w:val="none" w:sz="0" w:space="0" w:color="auto"/>
            <w:right w:val="none" w:sz="0" w:space="0" w:color="auto"/>
          </w:divBdr>
        </w:div>
      </w:divsChild>
    </w:div>
    <w:div w:id="1432897009">
      <w:bodyDiv w:val="1"/>
      <w:marLeft w:val="0"/>
      <w:marRight w:val="0"/>
      <w:marTop w:val="0"/>
      <w:marBottom w:val="0"/>
      <w:divBdr>
        <w:top w:val="none" w:sz="0" w:space="0" w:color="auto"/>
        <w:left w:val="none" w:sz="0" w:space="0" w:color="auto"/>
        <w:bottom w:val="none" w:sz="0" w:space="0" w:color="auto"/>
        <w:right w:val="none" w:sz="0" w:space="0" w:color="auto"/>
      </w:divBdr>
      <w:divsChild>
        <w:div w:id="1660689032">
          <w:marLeft w:val="0"/>
          <w:marRight w:val="0"/>
          <w:marTop w:val="0"/>
          <w:marBottom w:val="0"/>
          <w:divBdr>
            <w:top w:val="none" w:sz="0" w:space="0" w:color="auto"/>
            <w:left w:val="none" w:sz="0" w:space="0" w:color="auto"/>
            <w:bottom w:val="none" w:sz="0" w:space="0" w:color="auto"/>
            <w:right w:val="none" w:sz="0" w:space="0" w:color="auto"/>
          </w:divBdr>
        </w:div>
      </w:divsChild>
    </w:div>
    <w:div w:id="1574660907">
      <w:bodyDiv w:val="1"/>
      <w:marLeft w:val="0"/>
      <w:marRight w:val="0"/>
      <w:marTop w:val="0"/>
      <w:marBottom w:val="0"/>
      <w:divBdr>
        <w:top w:val="none" w:sz="0" w:space="0" w:color="auto"/>
        <w:left w:val="none" w:sz="0" w:space="0" w:color="auto"/>
        <w:bottom w:val="none" w:sz="0" w:space="0" w:color="auto"/>
        <w:right w:val="none" w:sz="0" w:space="0" w:color="auto"/>
      </w:divBdr>
    </w:div>
    <w:div w:id="1941645219">
      <w:bodyDiv w:val="1"/>
      <w:marLeft w:val="0"/>
      <w:marRight w:val="0"/>
      <w:marTop w:val="0"/>
      <w:marBottom w:val="0"/>
      <w:divBdr>
        <w:top w:val="none" w:sz="0" w:space="0" w:color="auto"/>
        <w:left w:val="none" w:sz="0" w:space="0" w:color="auto"/>
        <w:bottom w:val="none" w:sz="0" w:space="0" w:color="auto"/>
        <w:right w:val="none" w:sz="0" w:space="0" w:color="auto"/>
      </w:divBdr>
      <w:divsChild>
        <w:div w:id="1207718050">
          <w:marLeft w:val="0"/>
          <w:marRight w:val="0"/>
          <w:marTop w:val="0"/>
          <w:marBottom w:val="0"/>
          <w:divBdr>
            <w:top w:val="none" w:sz="0" w:space="0" w:color="auto"/>
            <w:left w:val="none" w:sz="0" w:space="0" w:color="auto"/>
            <w:bottom w:val="none" w:sz="0" w:space="0" w:color="auto"/>
            <w:right w:val="none" w:sz="0" w:space="0" w:color="auto"/>
          </w:divBdr>
        </w:div>
      </w:divsChild>
    </w:div>
    <w:div w:id="1975526889">
      <w:bodyDiv w:val="1"/>
      <w:marLeft w:val="0"/>
      <w:marRight w:val="0"/>
      <w:marTop w:val="0"/>
      <w:marBottom w:val="0"/>
      <w:divBdr>
        <w:top w:val="none" w:sz="0" w:space="0" w:color="auto"/>
        <w:left w:val="none" w:sz="0" w:space="0" w:color="auto"/>
        <w:bottom w:val="none" w:sz="0" w:space="0" w:color="auto"/>
        <w:right w:val="none" w:sz="0" w:space="0" w:color="auto"/>
      </w:divBdr>
    </w:div>
    <w:div w:id="1999962314">
      <w:bodyDiv w:val="1"/>
      <w:marLeft w:val="0"/>
      <w:marRight w:val="0"/>
      <w:marTop w:val="0"/>
      <w:marBottom w:val="0"/>
      <w:divBdr>
        <w:top w:val="none" w:sz="0" w:space="0" w:color="auto"/>
        <w:left w:val="none" w:sz="0" w:space="0" w:color="auto"/>
        <w:bottom w:val="none" w:sz="0" w:space="0" w:color="auto"/>
        <w:right w:val="none" w:sz="0" w:space="0" w:color="auto"/>
      </w:divBdr>
      <w:divsChild>
        <w:div w:id="347029435">
          <w:marLeft w:val="0"/>
          <w:marRight w:val="0"/>
          <w:marTop w:val="0"/>
          <w:marBottom w:val="0"/>
          <w:divBdr>
            <w:top w:val="none" w:sz="0" w:space="0" w:color="auto"/>
            <w:left w:val="none" w:sz="0" w:space="0" w:color="auto"/>
            <w:bottom w:val="none" w:sz="0" w:space="0" w:color="auto"/>
            <w:right w:val="none" w:sz="0" w:space="0" w:color="auto"/>
          </w:divBdr>
        </w:div>
      </w:divsChild>
    </w:div>
    <w:div w:id="2024091178">
      <w:bodyDiv w:val="1"/>
      <w:marLeft w:val="0"/>
      <w:marRight w:val="0"/>
      <w:marTop w:val="0"/>
      <w:marBottom w:val="0"/>
      <w:divBdr>
        <w:top w:val="none" w:sz="0" w:space="0" w:color="auto"/>
        <w:left w:val="none" w:sz="0" w:space="0" w:color="auto"/>
        <w:bottom w:val="none" w:sz="0" w:space="0" w:color="auto"/>
        <w:right w:val="none" w:sz="0" w:space="0" w:color="auto"/>
      </w:divBdr>
      <w:divsChild>
        <w:div w:id="494885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ndtreatment.samhsa.gov/locator.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3109/10826084.2014.891615" TargetMode="External"/><Relationship Id="rId2" Type="http://schemas.openxmlformats.org/officeDocument/2006/relationships/hyperlink" Target="https://www.ncbi.nlm.nih.gov/books/NBK424848/" TargetMode="External"/><Relationship Id="rId1" Type="http://schemas.openxmlformats.org/officeDocument/2006/relationships/hyperlink" Target="https://doi.org/10.1007/s10900-013-9681-1" TargetMode="External"/><Relationship Id="rId6" Type="http://schemas.openxmlformats.org/officeDocument/2006/relationships/hyperlink" Target="https://www.igi-global.com/chapter/spatial-accessibility-primary-care-physician/18846" TargetMode="External"/><Relationship Id="rId5" Type="http://schemas.openxmlformats.org/officeDocument/2006/relationships/hyperlink" Target="https://findtreatment.samhsa.gov/locator.html" TargetMode="External"/><Relationship Id="rId4" Type="http://schemas.openxmlformats.org/officeDocument/2006/relationships/hyperlink" Target="https://doi.org/10.1037/a0038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5B5A40-BB7D-406C-ADE9-B76CDFEF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E06F1B-715D-48EF-AD9D-1D7D49018D36}">
  <ds:schemaRefs>
    <ds:schemaRef ds:uri="http://schemas.microsoft.com/sharepoint/v3/contenttype/forms"/>
  </ds:schemaRefs>
</ds:datastoreItem>
</file>

<file path=customXml/itemProps3.xml><?xml version="1.0" encoding="utf-8"?>
<ds:datastoreItem xmlns:ds="http://schemas.openxmlformats.org/officeDocument/2006/customXml" ds:itemID="{2ECBB4CC-7B67-234D-A63D-26B30BE95824}">
  <ds:schemaRefs>
    <ds:schemaRef ds:uri="http://schemas.openxmlformats.org/officeDocument/2006/bibliography"/>
  </ds:schemaRefs>
</ds:datastoreItem>
</file>

<file path=customXml/itemProps4.xml><?xml version="1.0" encoding="utf-8"?>
<ds:datastoreItem xmlns:ds="http://schemas.openxmlformats.org/officeDocument/2006/customXml" ds:itemID="{7783798A-4145-450D-BD51-FCDC657218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Links>
    <vt:vector size="12" baseType="variant">
      <vt:variant>
        <vt:i4>589877</vt:i4>
      </vt:variant>
      <vt:variant>
        <vt:i4>3</vt:i4>
      </vt:variant>
      <vt:variant>
        <vt:i4>0</vt:i4>
      </vt:variant>
      <vt:variant>
        <vt:i4>5</vt:i4>
      </vt:variant>
      <vt:variant>
        <vt:lpwstr>mailto:kjiang@mitre.org</vt:lpwstr>
      </vt:variant>
      <vt:variant>
        <vt:lpwstr/>
      </vt:variant>
      <vt:variant>
        <vt:i4>3604516</vt:i4>
      </vt:variant>
      <vt:variant>
        <vt:i4>0</vt:i4>
      </vt:variant>
      <vt:variant>
        <vt:i4>0</vt:i4>
      </vt:variant>
      <vt:variant>
        <vt:i4>5</vt:i4>
      </vt:variant>
      <vt:variant>
        <vt:lpwstr>https://www.cityhealthdashboard.com/metrics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Jiang</dc:creator>
  <cp:keywords/>
  <dc:description/>
  <cp:lastModifiedBy>Hannah G Leker</cp:lastModifiedBy>
  <cp:revision>125</cp:revision>
  <dcterms:created xsi:type="dcterms:W3CDTF">2021-06-08T18:45:00Z</dcterms:created>
  <dcterms:modified xsi:type="dcterms:W3CDTF">2021-12-07T20:21:00Z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