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25C6014" w:rsidR="002B6F8E" w:rsidRDefault="002B6F8E">
      <w:r w:rsidRPr="00AE261C">
        <w:rPr>
          <w:b/>
          <w:bCs/>
        </w:rPr>
        <w:t>Name</w:t>
      </w:r>
      <w:r w:rsidR="00D44CAC">
        <w:t>:</w:t>
      </w:r>
      <w:r w:rsidR="006005C0">
        <w:t xml:space="preserve"> </w:t>
      </w:r>
      <w:r w:rsidR="008D5DD3">
        <w:t xml:space="preserve">Suicide </w:t>
      </w:r>
      <w:r w:rsidR="000014AD">
        <w:t>Mortality</w:t>
      </w:r>
    </w:p>
    <w:p w14:paraId="0D41E867" w14:textId="77777777" w:rsidR="00AA5AB9" w:rsidRDefault="00AA5AB9"/>
    <w:p w14:paraId="100E41DE" w14:textId="20F0ACEF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BF675C">
        <w:t xml:space="preserve"> </w:t>
      </w:r>
      <w:r w:rsidR="00B420C2">
        <w:t>N</w:t>
      </w:r>
      <w:r w:rsidR="00FE575B">
        <w:t>umber of deaths attributed to suicide per 100,000 people</w:t>
      </w:r>
      <w:r w:rsidR="00B91FDD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3E1079C5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7E1153">
        <w:t>The Centers for Disease Control and Prevention (CDC) Wide-ranging Online Data for Epidemiologic Research (WONDER)</w:t>
      </w:r>
    </w:p>
    <w:p w14:paraId="09098AE3" w14:textId="39665B9D" w:rsidR="002B6F8E" w:rsidRPr="008D5DD3" w:rsidRDefault="00AA5AB9" w:rsidP="00ED69F6">
      <w:pPr>
        <w:pStyle w:val="ListParagraph"/>
        <w:numPr>
          <w:ilvl w:val="0"/>
          <w:numId w:val="8"/>
        </w:numPr>
        <w:rPr>
          <w:rStyle w:val="Hyperlink"/>
          <w:b/>
          <w:bCs/>
          <w:color w:val="auto"/>
          <w:u w:val="none"/>
        </w:rPr>
      </w:pPr>
      <w:r w:rsidRPr="008D5DD3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FE575B" w:rsidRPr="00A446F8">
          <w:rPr>
            <w:rStyle w:val="Hyperlink"/>
          </w:rPr>
          <w:t>https://wonder.cdc.gov/Deaths-by-Underlying-Cause.html</w:t>
        </w:r>
      </w:hyperlink>
      <w:r w:rsidR="00FE575B">
        <w:t xml:space="preserve"> </w:t>
      </w:r>
    </w:p>
    <w:p w14:paraId="51FEDE66" w14:textId="77777777" w:rsidR="008D5DD3" w:rsidRPr="008D5DD3" w:rsidRDefault="008D5DD3" w:rsidP="008D5DD3">
      <w:pPr>
        <w:pStyle w:val="ListParagraph"/>
        <w:rPr>
          <w:b/>
          <w:bCs/>
        </w:rPr>
      </w:pPr>
    </w:p>
    <w:p w14:paraId="06D4C025" w14:textId="6568FB28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FE575B">
        <w:t>201</w:t>
      </w:r>
      <w:r w:rsidR="00957EE8">
        <w:t>0</w:t>
      </w:r>
      <w:r w:rsidR="00FE575B">
        <w:t>-2019</w:t>
      </w:r>
    </w:p>
    <w:p w14:paraId="169D6C46" w14:textId="2812697E" w:rsidR="002B6F8E" w:rsidRDefault="002B6F8E"/>
    <w:p w14:paraId="3A134C16" w14:textId="18F2CFCA" w:rsidR="00DA16C3" w:rsidRDefault="00B469C7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BF675C">
        <w:t>C</w:t>
      </w:r>
      <w:r w:rsidR="00FE575B">
        <w:t>ounty</w:t>
      </w:r>
      <w:r w:rsidR="008B0382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76226322" w14:textId="361A3048" w:rsidR="002B6F8E" w:rsidRDefault="00835F51">
      <w:r>
        <w:rPr>
          <w:b/>
          <w:bCs/>
        </w:rPr>
        <w:t>Stratification</w:t>
      </w:r>
      <w:r w:rsidR="00F8197B">
        <w:t>:</w:t>
      </w:r>
      <w:r w:rsidR="00BF675C">
        <w:t xml:space="preserve"> </w:t>
      </w:r>
      <w:r>
        <w:t xml:space="preserve">Black </w:t>
      </w:r>
      <w:r w:rsidR="00925CEF">
        <w:t>population</w:t>
      </w:r>
    </w:p>
    <w:p w14:paraId="3E80EA70" w14:textId="77777777" w:rsidR="00F352CA" w:rsidRDefault="00F352CA"/>
    <w:p w14:paraId="4F7874F1" w14:textId="47F12A3C" w:rsidR="00AA30DA" w:rsidRPr="003042C5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5E62AE">
        <w:rPr>
          <w:b/>
          <w:bCs/>
        </w:rPr>
        <w:t xml:space="preserve"> </w:t>
      </w:r>
      <w:r w:rsidR="0034126F">
        <w:t xml:space="preserve">An estimate of suicide mortality contributes to an overall understanding of mental wellbeing in an area. </w:t>
      </w:r>
      <w:r w:rsidR="005E62AE" w:rsidRPr="009D4DA0">
        <w:t xml:space="preserve">While CDC </w:t>
      </w:r>
      <w:r w:rsidR="00CF6B2F">
        <w:t xml:space="preserve">mortality </w:t>
      </w:r>
      <w:r w:rsidR="00782B1B" w:rsidRPr="00F40F43">
        <w:t>data is only available for</w:t>
      </w:r>
      <w:r w:rsidR="00782B1B">
        <w:rPr>
          <w:b/>
          <w:bCs/>
        </w:rPr>
        <w:t xml:space="preserve"> </w:t>
      </w:r>
      <w:r w:rsidR="00782B1B">
        <w:t>fatal suicide attempts, those who attempt suicide (non-fatal suicides) have been found</w:t>
      </w:r>
      <w:r w:rsidR="009A4AB1">
        <w:rPr>
          <w:b/>
          <w:bCs/>
        </w:rPr>
        <w:t xml:space="preserve"> </w:t>
      </w:r>
      <w:r w:rsidR="009A4AB1">
        <w:t xml:space="preserve">to </w:t>
      </w:r>
      <w:r w:rsidR="00A21FD5">
        <w:t>experience</w:t>
      </w:r>
      <w:r w:rsidR="009A4AB1">
        <w:t xml:space="preserve"> a range of long-term outcomes such as additional suicide attempts, depression, substance use disorders, legal charges, and imprisonment</w:t>
      </w:r>
      <w:r w:rsidR="00DD1B7A">
        <w:t>.</w:t>
      </w:r>
      <w:r w:rsidR="000319EE" w:rsidRPr="000319EE">
        <w:rPr>
          <w:rStyle w:val="FootnoteReference"/>
        </w:rPr>
        <w:t xml:space="preserve"> </w:t>
      </w:r>
      <w:r w:rsidR="000319EE">
        <w:rPr>
          <w:rStyle w:val="FootnoteReference"/>
        </w:rPr>
        <w:footnoteReference w:id="2"/>
      </w:r>
      <w:r w:rsidR="000319EE">
        <w:t xml:space="preserve"> </w:t>
      </w:r>
      <w:r w:rsidR="00490905">
        <w:t xml:space="preserve"> </w:t>
      </w:r>
      <w:r w:rsidR="00BC0285">
        <w:t>S</w:t>
      </w:r>
      <w:r w:rsidR="003917FF">
        <w:t xml:space="preserve">uicide mortality provides additional depth of information alongside </w:t>
      </w:r>
      <w:r w:rsidR="00BC0285">
        <w:t xml:space="preserve">a </w:t>
      </w:r>
      <w:r w:rsidR="003917FF">
        <w:t>suicidal ideation</w:t>
      </w:r>
      <w:r w:rsidR="00BC0285">
        <w:t xml:space="preserve"> measure</w:t>
      </w:r>
      <w:r w:rsidR="003917FF">
        <w:t xml:space="preserve"> </w:t>
      </w:r>
      <w:r w:rsidR="003801E9">
        <w:t xml:space="preserve">for </w:t>
      </w:r>
      <w:r w:rsidR="003917FF">
        <w:t xml:space="preserve">understanding </w:t>
      </w:r>
      <w:r w:rsidR="00A6095F">
        <w:t xml:space="preserve">suicide risk and </w:t>
      </w:r>
      <w:r w:rsidR="003917FF">
        <w:t>mental wellness.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0710127D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4DB90FA8" w:rsidR="006B19EB" w:rsidRPr="00A572EF" w:rsidRDefault="006B19EB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 w:rsidR="00BB5571" w:rsidRPr="00BB5571">
        <w:rPr>
          <w:bCs/>
          <w:i/>
          <w:iCs/>
        </w:rPr>
        <w:t>Importance</w:t>
      </w:r>
      <w:r w:rsidRPr="00033B3E">
        <w:rPr>
          <w:bCs/>
        </w:rPr>
        <w:t>]</w:t>
      </w:r>
      <w:r w:rsidR="00621422" w:rsidRPr="00BB5571">
        <w:rPr>
          <w:bCs/>
          <w:i/>
          <w:iCs/>
        </w:rPr>
        <w:t xml:space="preserve"> </w:t>
      </w:r>
      <w:r w:rsidR="00275997" w:rsidRPr="00275997">
        <w:rPr>
          <w:bCs/>
        </w:rPr>
        <w:t>S</w:t>
      </w:r>
      <w:r w:rsidR="00544743">
        <w:rPr>
          <w:bCs/>
        </w:rPr>
        <w:t xml:space="preserve">uicide </w:t>
      </w:r>
      <w:r w:rsidR="00C879D0">
        <w:rPr>
          <w:bCs/>
        </w:rPr>
        <w:t xml:space="preserve">mortality is </w:t>
      </w:r>
      <w:r w:rsidR="00C2056E">
        <w:rPr>
          <w:bCs/>
        </w:rPr>
        <w:t xml:space="preserve">linked to occurrence of various mental health conditions, including </w:t>
      </w:r>
      <w:r w:rsidR="00FC693B">
        <w:rPr>
          <w:bCs/>
        </w:rPr>
        <w:t>schizophrenia spectrum disorder, bipolar disorder, depressive disorders, anxiety disorders, and ADHD</w:t>
      </w:r>
      <w:r w:rsidR="00BB1CB9">
        <w:rPr>
          <w:bCs/>
        </w:rPr>
        <w:t>.</w:t>
      </w:r>
      <w:r w:rsidR="00D365E2">
        <w:rPr>
          <w:rStyle w:val="FootnoteReference"/>
          <w:bCs/>
        </w:rPr>
        <w:footnoteReference w:id="3"/>
      </w:r>
    </w:p>
    <w:p w14:paraId="24396311" w14:textId="29E30EF5" w:rsidR="004E18B5" w:rsidRPr="00A572EF" w:rsidRDefault="004E18B5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>
        <w:rPr>
          <w:bCs/>
          <w:i/>
          <w:iCs/>
        </w:rPr>
        <w:t>Relevance and Usability</w:t>
      </w:r>
      <w:r w:rsidR="00033B3E" w:rsidRPr="00033B3E">
        <w:rPr>
          <w:bCs/>
        </w:rPr>
        <w:t>]</w:t>
      </w:r>
      <w:r>
        <w:rPr>
          <w:bCs/>
        </w:rPr>
        <w:t xml:space="preserve"> This measure is easy to understand and can provide information </w:t>
      </w:r>
      <w:r w:rsidR="00107E88">
        <w:rPr>
          <w:bCs/>
        </w:rPr>
        <w:t xml:space="preserve">on </w:t>
      </w:r>
      <w:r w:rsidR="00156D49">
        <w:rPr>
          <w:bCs/>
        </w:rPr>
        <w:t xml:space="preserve">geographic areas with a high prevalence of fatal suicides. </w:t>
      </w:r>
    </w:p>
    <w:p w14:paraId="479C53BF" w14:textId="23C44BE1" w:rsidR="0036607A" w:rsidRPr="00F978EC" w:rsidRDefault="0036607A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>
        <w:rPr>
          <w:bCs/>
          <w:i/>
          <w:iCs/>
        </w:rPr>
        <w:t>Equity</w:t>
      </w:r>
      <w:r w:rsidR="00033B3E" w:rsidRPr="00033B3E">
        <w:rPr>
          <w:bCs/>
        </w:rPr>
        <w:t>]</w:t>
      </w:r>
      <w:r w:rsidR="00033B3E">
        <w:rPr>
          <w:bCs/>
        </w:rPr>
        <w:t xml:space="preserve"> </w:t>
      </w:r>
      <w:r w:rsidR="004E1306">
        <w:rPr>
          <w:bCs/>
        </w:rPr>
        <w:t>S</w:t>
      </w:r>
      <w:r w:rsidR="00D05962">
        <w:rPr>
          <w:bCs/>
        </w:rPr>
        <w:t xml:space="preserve">uicide </w:t>
      </w:r>
      <w:r w:rsidR="00A65092">
        <w:rPr>
          <w:bCs/>
        </w:rPr>
        <w:t xml:space="preserve">attempts for Black Americans have increased in recent years, so this measure can help delineate where those attempts are </w:t>
      </w:r>
      <w:r w:rsidR="00731E2F">
        <w:rPr>
          <w:bCs/>
        </w:rPr>
        <w:t>occurring.</w:t>
      </w:r>
      <w:r w:rsidR="00167F4F">
        <w:rPr>
          <w:rStyle w:val="FootnoteReference"/>
          <w:bCs/>
        </w:rPr>
        <w:footnoteReference w:id="4"/>
      </w:r>
      <w:r w:rsidR="00740B83">
        <w:rPr>
          <w:bCs/>
        </w:rPr>
        <w:t xml:space="preserve"> </w:t>
      </w:r>
      <w:r w:rsidR="00ED45F1">
        <w:rPr>
          <w:bCs/>
        </w:rPr>
        <w:t xml:space="preserve">The </w:t>
      </w:r>
      <w:r w:rsidR="006254D9">
        <w:rPr>
          <w:bCs/>
        </w:rPr>
        <w:t xml:space="preserve">Emergency Task Force on Black Youth Suicide &amp; Mental Health </w:t>
      </w:r>
      <w:r w:rsidR="00F37204">
        <w:rPr>
          <w:bCs/>
        </w:rPr>
        <w:t xml:space="preserve">spearheaded by the Congressional Black Caucus cites an uptick in suicide rates among black </w:t>
      </w:r>
      <w:r w:rsidR="00F37204">
        <w:rPr>
          <w:bCs/>
        </w:rPr>
        <w:lastRenderedPageBreak/>
        <w:t>youth over the past</w:t>
      </w:r>
      <w:r w:rsidR="0010158C">
        <w:rPr>
          <w:bCs/>
        </w:rPr>
        <w:t xml:space="preserve"> decade.</w:t>
      </w:r>
      <w:r w:rsidR="008A3C7E">
        <w:rPr>
          <w:rStyle w:val="FootnoteReference"/>
          <w:bCs/>
        </w:rPr>
        <w:footnoteReference w:id="5"/>
      </w:r>
      <w:r w:rsidR="00F978EC">
        <w:rPr>
          <w:bCs/>
        </w:rPr>
        <w:t xml:space="preserve"> This emphasizes the importance of assessing this measure for the Black population. </w:t>
      </w:r>
    </w:p>
    <w:p w14:paraId="336B2BF1" w14:textId="77777777" w:rsidR="00F978EC" w:rsidRPr="00B87EF5" w:rsidRDefault="00F978EC" w:rsidP="00F978EC">
      <w:pPr>
        <w:pStyle w:val="ListParagraph"/>
        <w:numPr>
          <w:ilvl w:val="1"/>
          <w:numId w:val="14"/>
        </w:numPr>
      </w:pPr>
      <w:r w:rsidRPr="00B87EF5">
        <w:t>[</w:t>
      </w:r>
      <w:r w:rsidRPr="00B87EF5">
        <w:rPr>
          <w:i/>
          <w:iCs/>
        </w:rPr>
        <w:t>Scientific Soundness</w:t>
      </w:r>
      <w:r w:rsidRPr="00B87EF5">
        <w:t>]</w:t>
      </w:r>
      <w:r w:rsidRPr="00870977">
        <w:rPr>
          <w:bCs/>
        </w:rPr>
        <w:t xml:space="preserve"> </w:t>
      </w:r>
      <w:r w:rsidRPr="0054776E">
        <w:rPr>
          <w:bCs/>
        </w:rPr>
        <w:t>Mortality data is collected from all death certificates</w:t>
      </w:r>
      <w:r>
        <w:rPr>
          <w:bCs/>
        </w:rPr>
        <w:t xml:space="preserve"> filed in the fifty states and the District of Columbia.</w:t>
      </w:r>
      <w:r w:rsidRPr="005A0690">
        <w:rPr>
          <w:rStyle w:val="FootnoteReference"/>
          <w:bCs/>
        </w:rPr>
        <w:t xml:space="preserve"> </w:t>
      </w:r>
      <w:r w:rsidRPr="0054776E">
        <w:rPr>
          <w:rStyle w:val="FootnoteReference"/>
          <w:bCs/>
        </w:rPr>
        <w:footnoteReference w:id="6"/>
      </w:r>
      <w:r>
        <w:rPr>
          <w:bCs/>
        </w:rPr>
        <w:t xml:space="preserve"> </w:t>
      </w:r>
    </w:p>
    <w:p w14:paraId="32D513F3" w14:textId="06F78C83" w:rsidR="00F978EC" w:rsidRPr="00F978EC" w:rsidRDefault="00F978EC" w:rsidP="00F978EC">
      <w:pPr>
        <w:pStyle w:val="ListParagraph"/>
        <w:numPr>
          <w:ilvl w:val="1"/>
          <w:numId w:val="14"/>
        </w:numPr>
        <w:rPr>
          <w:bCs/>
        </w:rPr>
      </w:pPr>
      <w:r w:rsidRPr="0054776E">
        <w:rPr>
          <w:bCs/>
        </w:rPr>
        <w:t>[</w:t>
      </w:r>
      <w:r w:rsidRPr="0054776E">
        <w:rPr>
          <w:bCs/>
          <w:i/>
          <w:iCs/>
        </w:rPr>
        <w:t>Feasibility</w:t>
      </w:r>
      <w:r w:rsidRPr="0054776E">
        <w:rPr>
          <w:bCs/>
        </w:rPr>
        <w:t xml:space="preserve">] </w:t>
      </w:r>
      <w:r>
        <w:rPr>
          <w:bCs/>
        </w:rPr>
        <w:t>Data are easily downloadable and accessible through CDC WONDER and are updated annually</w:t>
      </w:r>
      <w:r w:rsidRPr="0054776E">
        <w:rPr>
          <w:bCs/>
        </w:rPr>
        <w:t>.</w:t>
      </w:r>
    </w:p>
    <w:p w14:paraId="1564B043" w14:textId="48C55F58" w:rsidR="00D537D3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396830C" w14:textId="2982E0A4" w:rsidR="001C729B" w:rsidRDefault="001C729B" w:rsidP="001C729B">
      <w:pPr>
        <w:pStyle w:val="ListParagraph"/>
        <w:numPr>
          <w:ilvl w:val="1"/>
          <w:numId w:val="14"/>
        </w:numPr>
        <w:rPr>
          <w:bCs/>
        </w:rPr>
      </w:pPr>
      <w:r w:rsidRPr="00033B3E">
        <w:rPr>
          <w:bCs/>
        </w:rPr>
        <w:t>[</w:t>
      </w:r>
      <w:r>
        <w:rPr>
          <w:bCs/>
          <w:i/>
          <w:iCs/>
        </w:rPr>
        <w:t>Equity</w:t>
      </w:r>
      <w:r w:rsidRPr="00033B3E">
        <w:rPr>
          <w:bCs/>
        </w:rPr>
        <w:t xml:space="preserve">] </w:t>
      </w:r>
      <w:r>
        <w:rPr>
          <w:bCs/>
        </w:rPr>
        <w:t xml:space="preserve">Fatal suicides of nonresidents (nonresident aliens, nationals living abroad, Puerto Rico residents, and other territories of the U.S.) are not reported in this measure. </w:t>
      </w:r>
    </w:p>
    <w:p w14:paraId="2AA94370" w14:textId="4F453DB0" w:rsidR="00ED3909" w:rsidRDefault="00ED3909" w:rsidP="00ED3909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</w:t>
      </w:r>
      <w:r w:rsidRPr="005605F5" w:rsidDel="00777C28">
        <w:rPr>
          <w:bCs/>
        </w:rPr>
        <w:t xml:space="preserve">A 10-year period was selected because when this measure is stratified by race for </w:t>
      </w:r>
      <w:r w:rsidDel="00777C28">
        <w:rPr>
          <w:bCs/>
        </w:rPr>
        <w:t xml:space="preserve">the </w:t>
      </w:r>
      <w:r w:rsidRPr="005605F5" w:rsidDel="00777C28">
        <w:rPr>
          <w:bCs/>
        </w:rPr>
        <w:t>Black</w:t>
      </w:r>
      <w:r w:rsidDel="00777C28">
        <w:rPr>
          <w:bCs/>
        </w:rPr>
        <w:t xml:space="preserve"> population</w:t>
      </w:r>
      <w:r w:rsidRPr="005605F5" w:rsidDel="00777C28">
        <w:rPr>
          <w:bCs/>
        </w:rPr>
        <w:t xml:space="preserve"> alone, using a shorter </w:t>
      </w:r>
      <w:proofErr w:type="gramStart"/>
      <w:r w:rsidDel="00777C28">
        <w:rPr>
          <w:bCs/>
        </w:rPr>
        <w:t xml:space="preserve">time </w:t>
      </w:r>
      <w:r w:rsidRPr="005605F5" w:rsidDel="00777C28">
        <w:rPr>
          <w:bCs/>
        </w:rPr>
        <w:t>period</w:t>
      </w:r>
      <w:proofErr w:type="gramEnd"/>
      <w:r w:rsidRPr="005605F5" w:rsidDel="00777C28">
        <w:rPr>
          <w:bCs/>
        </w:rPr>
        <w:t xml:space="preserve"> would result in significant suppression of data. </w:t>
      </w:r>
    </w:p>
    <w:p w14:paraId="2E5C6F84" w14:textId="265C214B" w:rsidR="0061746D" w:rsidRPr="0061746D" w:rsidRDefault="0061746D" w:rsidP="0061746D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>] CDC WONDER uses mortality data that are provided to the National Vital Statistics System by state registries. State registries collect mortality data from death certificates that contain a single underlying cause of death. Suicide rates may be undercounted if a coroner lists a more proximate cause as “cause of death” instead of suicide itself.</w:t>
      </w:r>
    </w:p>
    <w:p w14:paraId="2F38AE90" w14:textId="0B274683" w:rsidR="004D5633" w:rsidRPr="004D5633" w:rsidRDefault="004D5633" w:rsidP="004D5633">
      <w:pPr>
        <w:pStyle w:val="ListParagraph"/>
        <w:numPr>
          <w:ilvl w:val="1"/>
          <w:numId w:val="14"/>
        </w:numPr>
        <w:rPr>
          <w:bCs/>
        </w:rPr>
      </w:pPr>
      <w:r w:rsidRPr="007B6693">
        <w:rPr>
          <w:bCs/>
        </w:rPr>
        <w:t>[</w:t>
      </w:r>
      <w:r w:rsidRPr="007B6693">
        <w:rPr>
          <w:bCs/>
          <w:i/>
          <w:iCs/>
        </w:rPr>
        <w:t>Scientific Soundness</w:t>
      </w:r>
      <w:r w:rsidRPr="007B6693">
        <w:rPr>
          <w:bCs/>
        </w:rPr>
        <w:t xml:space="preserve">] </w:t>
      </w:r>
      <w:r>
        <w:rPr>
          <w:bCs/>
        </w:rPr>
        <w:t>Data representing</w:t>
      </w:r>
      <w:r w:rsidRPr="007B6693">
        <w:rPr>
          <w:bCs/>
        </w:rPr>
        <w:t xml:space="preserve"> less than 10 </w:t>
      </w:r>
      <w:r>
        <w:rPr>
          <w:bCs/>
        </w:rPr>
        <w:t>deaths are suppressed</w:t>
      </w:r>
      <w:r w:rsidRPr="007B6693">
        <w:rPr>
          <w:bCs/>
        </w:rPr>
        <w:t xml:space="preserve">, and county-level </w:t>
      </w:r>
      <w:r>
        <w:rPr>
          <w:bCs/>
        </w:rPr>
        <w:t>deaths</w:t>
      </w:r>
      <w:r w:rsidRPr="007B6693">
        <w:rPr>
          <w:bCs/>
        </w:rPr>
        <w:t xml:space="preserve"> less than 20 people are ma</w:t>
      </w:r>
      <w:r>
        <w:rPr>
          <w:bCs/>
        </w:rPr>
        <w:t>rked</w:t>
      </w:r>
      <w:r w:rsidRPr="007B6693">
        <w:rPr>
          <w:bCs/>
        </w:rPr>
        <w:t xml:space="preserve"> as “unreliable”.</w:t>
      </w:r>
      <w:r>
        <w:rPr>
          <w:rStyle w:val="FootnoteReference"/>
          <w:bCs/>
        </w:rPr>
        <w:footnoteReference w:id="7"/>
      </w:r>
      <w:r w:rsidRPr="007B6693">
        <w:rPr>
          <w:bCs/>
        </w:rPr>
        <w:t xml:space="preserve"> </w:t>
      </w:r>
    </w:p>
    <w:p w14:paraId="6968E38E" w14:textId="33ED3C8D" w:rsidR="00D537D3" w:rsidRPr="008E3AFE" w:rsidRDefault="00D537D3" w:rsidP="002E02F5">
      <w:pPr>
        <w:pStyle w:val="ListParagraph"/>
        <w:numPr>
          <w:ilvl w:val="1"/>
          <w:numId w:val="14"/>
        </w:numPr>
      </w:pPr>
      <w:r w:rsidRPr="008E3AFE">
        <w:t>[</w:t>
      </w:r>
      <w:r w:rsidRPr="002E02F5">
        <w:rPr>
          <w:i/>
          <w:iCs/>
        </w:rPr>
        <w:t>Scientific Soundness</w:t>
      </w:r>
      <w:r>
        <w:t xml:space="preserve">] The smallest geographic level at which this data is available is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rates within a county. </w:t>
      </w:r>
    </w:p>
    <w:p w14:paraId="33B37D83" w14:textId="3029C8DE" w:rsidR="00ED1C2B" w:rsidRPr="00187939" w:rsidRDefault="00ED1C2B" w:rsidP="00ED1C2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Measuring suicide mortality deaths does not reflect the prevalence of non-lethal suicide attempts. </w:t>
      </w:r>
    </w:p>
    <w:p w14:paraId="507A78AC" w14:textId="05744A29" w:rsidR="00A16408" w:rsidRDefault="00A16408" w:rsidP="00A16408"/>
    <w:p w14:paraId="400BBB33" w14:textId="2E98F37C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3CC19525" w14:textId="77777777" w:rsidR="001323F1" w:rsidRPr="00FA2ED2" w:rsidRDefault="001323F1" w:rsidP="00A16408"/>
    <w:p w14:paraId="3614DE2E" w14:textId="77777777" w:rsidR="001323F1" w:rsidRDefault="001323F1" w:rsidP="001323F1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599C50D8" w14:textId="77777777" w:rsidR="001323F1" w:rsidRPr="002E02F5" w:rsidRDefault="001323F1" w:rsidP="001323F1">
      <w:pPr>
        <w:rPr>
          <w:sz w:val="22"/>
          <w:szCs w:val="22"/>
        </w:rPr>
      </w:pPr>
    </w:p>
    <w:p w14:paraId="5CD648E8" w14:textId="0264FD04" w:rsidR="001323F1" w:rsidRPr="002E02F5" w:rsidRDefault="00742BAB" w:rsidP="001323F1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Suicide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total number of deaths attributed to suicide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23B7CF57" w14:textId="77777777" w:rsidR="001323F1" w:rsidRDefault="001323F1" w:rsidP="001323F1">
      <w:pPr>
        <w:rPr>
          <w:i/>
          <w:iCs/>
          <w:u w:val="single"/>
        </w:rPr>
      </w:pPr>
    </w:p>
    <w:p w14:paraId="5D99F506" w14:textId="77777777" w:rsidR="001323F1" w:rsidRPr="008277ED" w:rsidRDefault="001323F1" w:rsidP="001323F1">
      <w:r w:rsidRPr="003900D2">
        <w:rPr>
          <w:i/>
          <w:iCs/>
          <w:u w:val="single"/>
        </w:rPr>
        <w:t>Black Population Calculation</w:t>
      </w:r>
      <w:r>
        <w:t>:</w:t>
      </w:r>
    </w:p>
    <w:p w14:paraId="7659DEC3" w14:textId="77777777" w:rsidR="001323F1" w:rsidRDefault="001323F1" w:rsidP="001323F1">
      <w:pPr>
        <w:jc w:val="center"/>
      </w:pPr>
    </w:p>
    <w:p w14:paraId="70C3DB25" w14:textId="77777777" w:rsidR="001323F1" w:rsidRDefault="001323F1" w:rsidP="001323F1">
      <w:pPr>
        <w:jc w:val="center"/>
      </w:pPr>
    </w:p>
    <w:p w14:paraId="24BB0178" w14:textId="16EBDEB3" w:rsidR="001323F1" w:rsidRPr="002E02F5" w:rsidRDefault="00742BAB" w:rsidP="001323F1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Suicide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deaths attributed to suicide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35342925" w14:textId="77777777" w:rsidR="001323F1" w:rsidRDefault="001323F1" w:rsidP="001323F1">
      <w:pPr>
        <w:jc w:val="center"/>
      </w:pPr>
    </w:p>
    <w:p w14:paraId="2D1B2E09" w14:textId="77777777" w:rsidR="001323F1" w:rsidRDefault="001323F1" w:rsidP="001323F1">
      <w:pPr>
        <w:jc w:val="center"/>
      </w:pPr>
    </w:p>
    <w:p w14:paraId="1E9FAF92" w14:textId="1C1B761A" w:rsidR="00A16408" w:rsidRPr="00DC386C" w:rsidRDefault="00A16408" w:rsidP="001E4780">
      <w:pPr>
        <w:pStyle w:val="ListParagraph"/>
        <w:rPr>
          <w:b/>
          <w:bCs/>
        </w:rPr>
      </w:pPr>
    </w:p>
    <w:sectPr w:rsidR="00A16408" w:rsidRPr="00DC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A65C" w14:textId="77777777" w:rsidR="00742BAB" w:rsidRDefault="00742BAB" w:rsidP="00621422">
      <w:r>
        <w:separator/>
      </w:r>
    </w:p>
  </w:endnote>
  <w:endnote w:type="continuationSeparator" w:id="0">
    <w:p w14:paraId="43CF575E" w14:textId="77777777" w:rsidR="00742BAB" w:rsidRDefault="00742BAB" w:rsidP="00621422">
      <w:r>
        <w:continuationSeparator/>
      </w:r>
    </w:p>
  </w:endnote>
  <w:endnote w:type="continuationNotice" w:id="1">
    <w:p w14:paraId="2CFA8367" w14:textId="77777777" w:rsidR="00742BAB" w:rsidRDefault="00742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32D0" w14:textId="77777777" w:rsidR="00742BAB" w:rsidRDefault="00742BAB" w:rsidP="00621422">
      <w:r>
        <w:separator/>
      </w:r>
    </w:p>
  </w:footnote>
  <w:footnote w:type="continuationSeparator" w:id="0">
    <w:p w14:paraId="6AF7CA25" w14:textId="77777777" w:rsidR="00742BAB" w:rsidRDefault="00742BAB" w:rsidP="00621422">
      <w:r>
        <w:continuationSeparator/>
      </w:r>
    </w:p>
  </w:footnote>
  <w:footnote w:type="continuationNotice" w:id="1">
    <w:p w14:paraId="5392ABEE" w14:textId="77777777" w:rsidR="00742BAB" w:rsidRDefault="00742BAB"/>
  </w:footnote>
  <w:footnote w:id="2">
    <w:p w14:paraId="7BCA957E" w14:textId="3C64CBB1" w:rsidR="000319EE" w:rsidRPr="00A02E50" w:rsidRDefault="000319EE" w:rsidP="00A02E5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A02E5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="00D73465" w:rsidRPr="00A02E5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D163E" w:rsidRPr="00A02E50">
        <w:rPr>
          <w:rFonts w:asciiTheme="minorHAnsi" w:hAnsiTheme="minorHAnsi" w:cstheme="minorHAnsi"/>
          <w:color w:val="000000"/>
          <w:sz w:val="20"/>
          <w:szCs w:val="20"/>
        </w:rPr>
        <w:t>Beautrais</w:t>
      </w:r>
      <w:proofErr w:type="spellEnd"/>
      <w:r w:rsidR="000D163E" w:rsidRPr="00A02E50">
        <w:rPr>
          <w:rFonts w:asciiTheme="minorHAnsi" w:hAnsiTheme="minorHAnsi" w:cstheme="minorHAnsi"/>
          <w:color w:val="000000"/>
          <w:sz w:val="20"/>
          <w:szCs w:val="20"/>
        </w:rPr>
        <w:t>, A., Joyce, P., &amp; Mulder, R. (2000). Unmet need following serious suicide attempt: follow-up of 302 individuals for 30 months. In G. Andrews &amp; S. Henderson (Eds.), </w:t>
      </w:r>
      <w:r w:rsidR="000D163E" w:rsidRPr="00A02E50">
        <w:rPr>
          <w:rFonts w:asciiTheme="minorHAnsi" w:hAnsiTheme="minorHAnsi" w:cstheme="minorHAnsi"/>
          <w:i/>
          <w:iCs/>
          <w:color w:val="000000"/>
          <w:sz w:val="20"/>
          <w:szCs w:val="20"/>
        </w:rPr>
        <w:t>Unmet Need in Psychiatry: Problems, Resources, Responses</w:t>
      </w:r>
      <w:r w:rsidR="000D163E" w:rsidRPr="00A02E50">
        <w:rPr>
          <w:rFonts w:asciiTheme="minorHAnsi" w:hAnsiTheme="minorHAnsi" w:cstheme="minorHAnsi"/>
          <w:color w:val="000000"/>
          <w:sz w:val="20"/>
          <w:szCs w:val="20"/>
        </w:rPr>
        <w:t xml:space="preserve"> (pp. 245–255). Cambridge University Press. </w:t>
      </w:r>
      <w:hyperlink r:id="rId1" w:history="1">
        <w:r w:rsidR="00A02E50" w:rsidRPr="00BA65BB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https://doi.org/10.1017/cbo9780511543562.019</w:t>
        </w:r>
      </w:hyperlink>
      <w:r w:rsidR="00A02E5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4F9A7812" w14:textId="7A13DDC8" w:rsidR="00D365E2" w:rsidRPr="00567483" w:rsidRDefault="00D365E2" w:rsidP="00567483">
      <w:pPr>
        <w:shd w:val="clear" w:color="auto" w:fill="FFFFFF"/>
        <w:ind w:left="720" w:hanging="720"/>
        <w:rPr>
          <w:rFonts w:eastAsia="Times New Roman" w:cstheme="minorHAnsi"/>
          <w:sz w:val="20"/>
          <w:szCs w:val="20"/>
        </w:rPr>
      </w:pPr>
      <w:r w:rsidRPr="00567483">
        <w:rPr>
          <w:rStyle w:val="FootnoteReference"/>
          <w:rFonts w:cstheme="minorHAnsi"/>
          <w:sz w:val="20"/>
          <w:szCs w:val="20"/>
        </w:rPr>
        <w:footnoteRef/>
      </w:r>
      <w:r w:rsidRPr="00567483">
        <w:rPr>
          <w:rFonts w:cstheme="minorHAnsi"/>
          <w:sz w:val="20"/>
          <w:szCs w:val="20"/>
        </w:rPr>
        <w:t xml:space="preserve"> </w:t>
      </w:r>
      <w:r w:rsidRPr="00567483">
        <w:rPr>
          <w:rFonts w:eastAsia="Times New Roman" w:cstheme="minorHAnsi"/>
          <w:sz w:val="20"/>
          <w:szCs w:val="20"/>
        </w:rPr>
        <w:t xml:space="preserve">Yeh, H. H., Westphal, J., Hu, Y., Peterson, E. L., Williams, L. K., Prabhakar, D., Frank, C., </w:t>
      </w:r>
      <w:proofErr w:type="spellStart"/>
      <w:r w:rsidRPr="00567483">
        <w:rPr>
          <w:rFonts w:eastAsia="Times New Roman" w:cstheme="minorHAnsi"/>
          <w:sz w:val="20"/>
          <w:szCs w:val="20"/>
        </w:rPr>
        <w:t>Autio</w:t>
      </w:r>
      <w:proofErr w:type="spellEnd"/>
      <w:r w:rsidRPr="00567483">
        <w:rPr>
          <w:rFonts w:eastAsia="Times New Roman" w:cstheme="minorHAnsi"/>
          <w:sz w:val="20"/>
          <w:szCs w:val="20"/>
        </w:rPr>
        <w:t xml:space="preserve">, K., </w:t>
      </w:r>
      <w:proofErr w:type="spellStart"/>
      <w:r w:rsidRPr="00567483">
        <w:rPr>
          <w:rFonts w:eastAsia="Times New Roman" w:cstheme="minorHAnsi"/>
          <w:sz w:val="20"/>
          <w:szCs w:val="20"/>
        </w:rPr>
        <w:t>Elsiss</w:t>
      </w:r>
      <w:proofErr w:type="spellEnd"/>
      <w:r w:rsidRPr="00567483">
        <w:rPr>
          <w:rFonts w:eastAsia="Times New Roman" w:cstheme="minorHAnsi"/>
          <w:sz w:val="20"/>
          <w:szCs w:val="20"/>
        </w:rPr>
        <w:t xml:space="preserve">, F., Simon, G. E., Beck, A., Lynch, F. L., </w:t>
      </w:r>
      <w:proofErr w:type="spellStart"/>
      <w:r w:rsidRPr="00567483">
        <w:rPr>
          <w:rFonts w:eastAsia="Times New Roman" w:cstheme="minorHAnsi"/>
          <w:sz w:val="20"/>
          <w:szCs w:val="20"/>
        </w:rPr>
        <w:t>Rossom</w:t>
      </w:r>
      <w:proofErr w:type="spellEnd"/>
      <w:r w:rsidRPr="00567483">
        <w:rPr>
          <w:rFonts w:eastAsia="Times New Roman" w:cstheme="minorHAnsi"/>
          <w:sz w:val="20"/>
          <w:szCs w:val="20"/>
        </w:rPr>
        <w:t xml:space="preserve">, R. C., Lu, C. Y., Owen-Smith, A. A., </w:t>
      </w:r>
      <w:proofErr w:type="spellStart"/>
      <w:r w:rsidRPr="00567483">
        <w:rPr>
          <w:rFonts w:eastAsia="Times New Roman" w:cstheme="minorHAnsi"/>
          <w:sz w:val="20"/>
          <w:szCs w:val="20"/>
        </w:rPr>
        <w:t>Waitzfelder</w:t>
      </w:r>
      <w:proofErr w:type="spellEnd"/>
      <w:r w:rsidRPr="00567483">
        <w:rPr>
          <w:rFonts w:eastAsia="Times New Roman" w:cstheme="minorHAnsi"/>
          <w:sz w:val="20"/>
          <w:szCs w:val="20"/>
        </w:rPr>
        <w:t xml:space="preserve">, B. E., &amp; </w:t>
      </w:r>
      <w:proofErr w:type="spellStart"/>
      <w:r w:rsidRPr="00567483">
        <w:rPr>
          <w:rFonts w:eastAsia="Times New Roman" w:cstheme="minorHAnsi"/>
          <w:sz w:val="20"/>
          <w:szCs w:val="20"/>
        </w:rPr>
        <w:t>Ahmedani</w:t>
      </w:r>
      <w:proofErr w:type="spellEnd"/>
      <w:r w:rsidRPr="00567483">
        <w:rPr>
          <w:rFonts w:eastAsia="Times New Roman" w:cstheme="minorHAnsi"/>
          <w:sz w:val="20"/>
          <w:szCs w:val="20"/>
        </w:rPr>
        <w:t>, B. K. (2019). Diagnosed Mental Health Conditions and Risk of Suicide Mortality. </w:t>
      </w:r>
      <w:r w:rsidRPr="00567483">
        <w:rPr>
          <w:rFonts w:eastAsia="Times New Roman" w:cstheme="minorHAnsi"/>
          <w:i/>
          <w:iCs/>
          <w:sz w:val="20"/>
          <w:szCs w:val="20"/>
        </w:rPr>
        <w:t xml:space="preserve">Psychiatric </w:t>
      </w:r>
      <w:r w:rsidR="00F45A35" w:rsidRPr="00567483">
        <w:rPr>
          <w:rFonts w:eastAsia="Times New Roman" w:cstheme="minorHAnsi"/>
          <w:i/>
          <w:iCs/>
          <w:sz w:val="20"/>
          <w:szCs w:val="20"/>
        </w:rPr>
        <w:t>S</w:t>
      </w:r>
      <w:r w:rsidRPr="00567483">
        <w:rPr>
          <w:rFonts w:eastAsia="Times New Roman" w:cstheme="minorHAnsi"/>
          <w:i/>
          <w:iCs/>
          <w:sz w:val="20"/>
          <w:szCs w:val="20"/>
        </w:rPr>
        <w:t>ervices</w:t>
      </w:r>
      <w:r w:rsidRPr="00567483">
        <w:rPr>
          <w:rFonts w:eastAsia="Times New Roman" w:cstheme="minorHAnsi"/>
          <w:sz w:val="20"/>
          <w:szCs w:val="20"/>
        </w:rPr>
        <w:t>, </w:t>
      </w:r>
      <w:r w:rsidRPr="00567483">
        <w:rPr>
          <w:rFonts w:eastAsia="Times New Roman" w:cstheme="minorHAnsi"/>
          <w:i/>
          <w:iCs/>
          <w:sz w:val="20"/>
          <w:szCs w:val="20"/>
        </w:rPr>
        <w:t>70</w:t>
      </w:r>
      <w:r w:rsidRPr="00567483">
        <w:rPr>
          <w:rFonts w:eastAsia="Times New Roman" w:cstheme="minorHAnsi"/>
          <w:sz w:val="20"/>
          <w:szCs w:val="20"/>
        </w:rPr>
        <w:t xml:space="preserve">(9), 750–757. </w:t>
      </w:r>
      <w:hyperlink r:id="rId2" w:history="1">
        <w:r w:rsidRPr="00567483">
          <w:rPr>
            <w:rStyle w:val="Hyperlink"/>
            <w:rFonts w:eastAsia="Times New Roman" w:cstheme="minorHAnsi"/>
            <w:sz w:val="20"/>
            <w:szCs w:val="20"/>
          </w:rPr>
          <w:t>https://doi.org/10.1176/appi.ps.201800346</w:t>
        </w:r>
      </w:hyperlink>
      <w:r w:rsidRPr="00567483">
        <w:rPr>
          <w:rFonts w:eastAsia="Times New Roman" w:cstheme="minorHAnsi"/>
          <w:sz w:val="20"/>
          <w:szCs w:val="20"/>
        </w:rPr>
        <w:t xml:space="preserve"> </w:t>
      </w:r>
    </w:p>
  </w:footnote>
  <w:footnote w:id="4">
    <w:p w14:paraId="57685CD4" w14:textId="7E5EE3F3" w:rsidR="00167F4F" w:rsidRPr="00A02E50" w:rsidRDefault="00167F4F" w:rsidP="00A02E5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A02E5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A02E50">
        <w:rPr>
          <w:rFonts w:asciiTheme="minorHAnsi" w:hAnsiTheme="minorHAnsi" w:cstheme="minorHAnsi"/>
          <w:sz w:val="20"/>
          <w:szCs w:val="20"/>
        </w:rPr>
        <w:t xml:space="preserve"> </w:t>
      </w:r>
      <w:r w:rsidR="00DA46E8" w:rsidRPr="00A02E50">
        <w:rPr>
          <w:rFonts w:asciiTheme="minorHAnsi" w:hAnsiTheme="minorHAnsi" w:cstheme="minorHAnsi"/>
          <w:color w:val="000000"/>
          <w:sz w:val="20"/>
          <w:szCs w:val="20"/>
        </w:rPr>
        <w:t>National Institute of Mental Health. (n.d.). </w:t>
      </w:r>
      <w:r w:rsidR="00DA46E8" w:rsidRPr="00A02E50">
        <w:rPr>
          <w:rFonts w:asciiTheme="minorHAnsi" w:hAnsiTheme="minorHAnsi" w:cstheme="minorHAnsi"/>
          <w:i/>
          <w:iCs/>
          <w:color w:val="000000"/>
          <w:sz w:val="20"/>
          <w:szCs w:val="20"/>
        </w:rPr>
        <w:t>NIMH Suicide Statistics</w:t>
      </w:r>
      <w:r w:rsidR="00DA46E8" w:rsidRPr="00A02E50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3" w:history="1">
        <w:r w:rsidR="00A02E50" w:rsidRPr="00BA65BB">
          <w:rPr>
            <w:rStyle w:val="Hyperlink"/>
            <w:rFonts w:asciiTheme="minorHAnsi" w:hAnsiTheme="minorHAnsi" w:cstheme="minorHAnsi"/>
            <w:sz w:val="20"/>
            <w:szCs w:val="20"/>
          </w:rPr>
          <w:t>https://www.nimh.nih.gov/health/statistics/suicide</w:t>
        </w:r>
      </w:hyperlink>
      <w:r w:rsidR="00A02E5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5">
    <w:p w14:paraId="4FE18106" w14:textId="345D460B" w:rsidR="008A3C7E" w:rsidRPr="00A02E50" w:rsidRDefault="008A3C7E" w:rsidP="00A02E5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A02E5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A02E50">
        <w:rPr>
          <w:rFonts w:asciiTheme="minorHAnsi" w:hAnsiTheme="minorHAnsi" w:cstheme="minorHAnsi"/>
          <w:sz w:val="20"/>
          <w:szCs w:val="20"/>
        </w:rPr>
        <w:t xml:space="preserve"> </w:t>
      </w:r>
      <w:r w:rsidR="00567483" w:rsidRPr="00A02E50">
        <w:rPr>
          <w:rFonts w:asciiTheme="minorHAnsi" w:hAnsiTheme="minorHAnsi" w:cstheme="minorHAnsi"/>
          <w:color w:val="000000"/>
          <w:sz w:val="20"/>
          <w:szCs w:val="20"/>
        </w:rPr>
        <w:t>The Congressional Black Caucus Emergency Taskforce on Black Youth Suicide and Mental Health. (2020). </w:t>
      </w:r>
      <w:r w:rsidR="00567483" w:rsidRPr="00A02E50">
        <w:rPr>
          <w:rFonts w:asciiTheme="minorHAnsi" w:hAnsiTheme="minorHAnsi" w:cstheme="minorHAnsi"/>
          <w:i/>
          <w:iCs/>
          <w:color w:val="000000"/>
          <w:sz w:val="20"/>
          <w:szCs w:val="20"/>
        </w:rPr>
        <w:t>Ring the Alarm: The Crisis of Black Youth Suicide in America</w:t>
      </w:r>
      <w:r w:rsidR="00567483" w:rsidRPr="00A02E50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4" w:history="1">
        <w:r w:rsidR="00A02E50" w:rsidRPr="00BA65BB">
          <w:rPr>
            <w:rStyle w:val="Hyperlink"/>
            <w:rFonts w:asciiTheme="minorHAnsi" w:hAnsiTheme="minorHAnsi" w:cstheme="minorHAnsi"/>
            <w:sz w:val="20"/>
            <w:szCs w:val="20"/>
          </w:rPr>
          <w:t>https://watsoncoleman.house.gov/uploadedfiles/full_taskforce_report.pdf</w:t>
        </w:r>
      </w:hyperlink>
      <w:r w:rsidR="00A02E5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hyperlink w:history="1"/>
    </w:p>
  </w:footnote>
  <w:footnote w:id="6">
    <w:p w14:paraId="52371A3A" w14:textId="58133897" w:rsidR="00F978EC" w:rsidRPr="00567483" w:rsidRDefault="00F978EC" w:rsidP="00567483">
      <w:pPr>
        <w:pStyle w:val="FootnoteText"/>
        <w:ind w:left="720" w:hanging="720"/>
        <w:rPr>
          <w:rFonts w:cstheme="minorHAnsi"/>
        </w:rPr>
      </w:pPr>
      <w:r w:rsidRPr="00567483">
        <w:rPr>
          <w:rStyle w:val="FootnoteReference"/>
          <w:rFonts w:cstheme="minorHAnsi"/>
        </w:rPr>
        <w:footnoteRef/>
      </w:r>
      <w:r w:rsidRPr="00567483">
        <w:rPr>
          <w:rFonts w:cstheme="minorHAnsi"/>
        </w:rPr>
        <w:t xml:space="preserve"> Centers for Disease Control and Prevention</w:t>
      </w:r>
      <w:r w:rsidR="00DA46E8" w:rsidRPr="00567483">
        <w:rPr>
          <w:rFonts w:cstheme="minorHAnsi"/>
        </w:rPr>
        <w:t>.</w:t>
      </w:r>
      <w:r w:rsidRPr="00567483">
        <w:rPr>
          <w:rFonts w:cstheme="minorHAnsi"/>
        </w:rPr>
        <w:t xml:space="preserve"> (2021, March 11). </w:t>
      </w:r>
      <w:r w:rsidRPr="00567483">
        <w:rPr>
          <w:rFonts w:cstheme="minorHAnsi"/>
          <w:i/>
          <w:iCs/>
        </w:rPr>
        <w:t>Underlying Cause of Death 1999-2019</w:t>
      </w:r>
      <w:r w:rsidRPr="00567483">
        <w:rPr>
          <w:rFonts w:cstheme="minorHAnsi"/>
        </w:rPr>
        <w:t xml:space="preserve">. CDC Wonder. </w:t>
      </w:r>
      <w:hyperlink r:id="rId5" w:history="1">
        <w:r w:rsidRPr="00567483">
          <w:rPr>
            <w:rStyle w:val="Hyperlink"/>
            <w:rFonts w:cstheme="minorHAnsi"/>
          </w:rPr>
          <w:t>https://wonder.cdc.gov/wonder/help/ucd.html#</w:t>
        </w:r>
      </w:hyperlink>
      <w:r w:rsidRPr="00567483">
        <w:rPr>
          <w:rFonts w:cstheme="minorHAnsi"/>
        </w:rPr>
        <w:t xml:space="preserve">  </w:t>
      </w:r>
    </w:p>
  </w:footnote>
  <w:footnote w:id="7">
    <w:p w14:paraId="4D5E6630" w14:textId="5D6E58DB" w:rsidR="004D5633" w:rsidRPr="00567483" w:rsidRDefault="004D5633" w:rsidP="00567483">
      <w:pPr>
        <w:pStyle w:val="FootnoteText"/>
        <w:ind w:left="720" w:hanging="720"/>
        <w:rPr>
          <w:rFonts w:cstheme="minorHAnsi"/>
        </w:rPr>
      </w:pPr>
      <w:r w:rsidRPr="00567483">
        <w:rPr>
          <w:rStyle w:val="FootnoteReference"/>
          <w:rFonts w:cstheme="minorHAnsi"/>
        </w:rPr>
        <w:footnoteRef/>
      </w:r>
      <w:r w:rsidRPr="00567483">
        <w:rPr>
          <w:rFonts w:cstheme="minorHAnsi"/>
        </w:rPr>
        <w:t xml:space="preserve"> Ibid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65B"/>
    <w:multiLevelType w:val="hybridMultilevel"/>
    <w:tmpl w:val="0882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157A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88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u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16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10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14AD"/>
    <w:rsid w:val="00005E13"/>
    <w:rsid w:val="000104C5"/>
    <w:rsid w:val="00010A16"/>
    <w:rsid w:val="000319EE"/>
    <w:rsid w:val="00032A2C"/>
    <w:rsid w:val="00033B3E"/>
    <w:rsid w:val="00037624"/>
    <w:rsid w:val="00037718"/>
    <w:rsid w:val="00040596"/>
    <w:rsid w:val="00041A21"/>
    <w:rsid w:val="00062079"/>
    <w:rsid w:val="00070DA5"/>
    <w:rsid w:val="00077110"/>
    <w:rsid w:val="00082B14"/>
    <w:rsid w:val="00082C3D"/>
    <w:rsid w:val="00082F1A"/>
    <w:rsid w:val="0008657A"/>
    <w:rsid w:val="0008735C"/>
    <w:rsid w:val="00087899"/>
    <w:rsid w:val="000905B5"/>
    <w:rsid w:val="00096A18"/>
    <w:rsid w:val="000A17F8"/>
    <w:rsid w:val="000A7C82"/>
    <w:rsid w:val="000B0048"/>
    <w:rsid w:val="000B2D9B"/>
    <w:rsid w:val="000C5BF5"/>
    <w:rsid w:val="000C788F"/>
    <w:rsid w:val="000D163E"/>
    <w:rsid w:val="000D5C93"/>
    <w:rsid w:val="000E3679"/>
    <w:rsid w:val="000F2278"/>
    <w:rsid w:val="0010158C"/>
    <w:rsid w:val="001043DB"/>
    <w:rsid w:val="00104556"/>
    <w:rsid w:val="00106957"/>
    <w:rsid w:val="00107E88"/>
    <w:rsid w:val="00111657"/>
    <w:rsid w:val="00115761"/>
    <w:rsid w:val="00122C8B"/>
    <w:rsid w:val="00126B15"/>
    <w:rsid w:val="001323F1"/>
    <w:rsid w:val="001333DD"/>
    <w:rsid w:val="00133EC2"/>
    <w:rsid w:val="001412F2"/>
    <w:rsid w:val="00143CCB"/>
    <w:rsid w:val="00144D3F"/>
    <w:rsid w:val="0014579F"/>
    <w:rsid w:val="0014727D"/>
    <w:rsid w:val="00151115"/>
    <w:rsid w:val="0015378B"/>
    <w:rsid w:val="00156D49"/>
    <w:rsid w:val="00167F4F"/>
    <w:rsid w:val="00170FEB"/>
    <w:rsid w:val="001740B6"/>
    <w:rsid w:val="00180268"/>
    <w:rsid w:val="00181F4B"/>
    <w:rsid w:val="00185DD6"/>
    <w:rsid w:val="00185FE9"/>
    <w:rsid w:val="00187C3A"/>
    <w:rsid w:val="00190959"/>
    <w:rsid w:val="00195475"/>
    <w:rsid w:val="00196195"/>
    <w:rsid w:val="001A3815"/>
    <w:rsid w:val="001A6DA0"/>
    <w:rsid w:val="001A7E03"/>
    <w:rsid w:val="001B437D"/>
    <w:rsid w:val="001B4FF3"/>
    <w:rsid w:val="001B5F77"/>
    <w:rsid w:val="001B6722"/>
    <w:rsid w:val="001C729B"/>
    <w:rsid w:val="001D3C5D"/>
    <w:rsid w:val="001E38CC"/>
    <w:rsid w:val="001E4780"/>
    <w:rsid w:val="001F22A9"/>
    <w:rsid w:val="002121F7"/>
    <w:rsid w:val="00216B01"/>
    <w:rsid w:val="00225668"/>
    <w:rsid w:val="00230EC0"/>
    <w:rsid w:val="00241D6E"/>
    <w:rsid w:val="00247C44"/>
    <w:rsid w:val="00250B3B"/>
    <w:rsid w:val="002649BE"/>
    <w:rsid w:val="00270F6B"/>
    <w:rsid w:val="00273287"/>
    <w:rsid w:val="00275997"/>
    <w:rsid w:val="00282585"/>
    <w:rsid w:val="002826C2"/>
    <w:rsid w:val="002862E8"/>
    <w:rsid w:val="00296ABF"/>
    <w:rsid w:val="002A2C79"/>
    <w:rsid w:val="002A626D"/>
    <w:rsid w:val="002A6500"/>
    <w:rsid w:val="002B4618"/>
    <w:rsid w:val="002B6F8E"/>
    <w:rsid w:val="002C4C97"/>
    <w:rsid w:val="002C5B64"/>
    <w:rsid w:val="002D2BDB"/>
    <w:rsid w:val="002D31E1"/>
    <w:rsid w:val="002D4D2F"/>
    <w:rsid w:val="002E02F5"/>
    <w:rsid w:val="002F2531"/>
    <w:rsid w:val="00300D67"/>
    <w:rsid w:val="00302737"/>
    <w:rsid w:val="003042C5"/>
    <w:rsid w:val="00312B49"/>
    <w:rsid w:val="00313870"/>
    <w:rsid w:val="00315691"/>
    <w:rsid w:val="00315DB9"/>
    <w:rsid w:val="00326F71"/>
    <w:rsid w:val="003372CF"/>
    <w:rsid w:val="0034126F"/>
    <w:rsid w:val="0034489B"/>
    <w:rsid w:val="00352EA2"/>
    <w:rsid w:val="00354872"/>
    <w:rsid w:val="003628E7"/>
    <w:rsid w:val="0036607A"/>
    <w:rsid w:val="00367F2A"/>
    <w:rsid w:val="003702D4"/>
    <w:rsid w:val="00371CFD"/>
    <w:rsid w:val="003801E9"/>
    <w:rsid w:val="003917FF"/>
    <w:rsid w:val="00392743"/>
    <w:rsid w:val="00393CC6"/>
    <w:rsid w:val="003A064D"/>
    <w:rsid w:val="003A178B"/>
    <w:rsid w:val="003A1C49"/>
    <w:rsid w:val="003A2AA6"/>
    <w:rsid w:val="003A70B5"/>
    <w:rsid w:val="003C29C7"/>
    <w:rsid w:val="003C4BF2"/>
    <w:rsid w:val="003C5265"/>
    <w:rsid w:val="003C6DAC"/>
    <w:rsid w:val="003C7498"/>
    <w:rsid w:val="003C7FF1"/>
    <w:rsid w:val="003D1192"/>
    <w:rsid w:val="003E01DF"/>
    <w:rsid w:val="003E51BD"/>
    <w:rsid w:val="003E542E"/>
    <w:rsid w:val="003E7519"/>
    <w:rsid w:val="003F040C"/>
    <w:rsid w:val="003F49B1"/>
    <w:rsid w:val="003F50AD"/>
    <w:rsid w:val="003F7E0D"/>
    <w:rsid w:val="0040000F"/>
    <w:rsid w:val="0040477A"/>
    <w:rsid w:val="00412D30"/>
    <w:rsid w:val="00414A20"/>
    <w:rsid w:val="00421716"/>
    <w:rsid w:val="00433CEA"/>
    <w:rsid w:val="0043612D"/>
    <w:rsid w:val="004559BB"/>
    <w:rsid w:val="00463C44"/>
    <w:rsid w:val="00471664"/>
    <w:rsid w:val="00474AB6"/>
    <w:rsid w:val="00475D88"/>
    <w:rsid w:val="00477909"/>
    <w:rsid w:val="004821D3"/>
    <w:rsid w:val="00490905"/>
    <w:rsid w:val="00497FDB"/>
    <w:rsid w:val="004A7D20"/>
    <w:rsid w:val="004B12C8"/>
    <w:rsid w:val="004B1414"/>
    <w:rsid w:val="004C1E94"/>
    <w:rsid w:val="004C654D"/>
    <w:rsid w:val="004D0DB4"/>
    <w:rsid w:val="004D4766"/>
    <w:rsid w:val="004D5633"/>
    <w:rsid w:val="004D5731"/>
    <w:rsid w:val="004E0D65"/>
    <w:rsid w:val="004E1306"/>
    <w:rsid w:val="004E18B5"/>
    <w:rsid w:val="004E3B5C"/>
    <w:rsid w:val="00511860"/>
    <w:rsid w:val="00523739"/>
    <w:rsid w:val="00532AA2"/>
    <w:rsid w:val="00541485"/>
    <w:rsid w:val="00541694"/>
    <w:rsid w:val="005429A8"/>
    <w:rsid w:val="00544743"/>
    <w:rsid w:val="00546906"/>
    <w:rsid w:val="00547A78"/>
    <w:rsid w:val="00550602"/>
    <w:rsid w:val="005547A5"/>
    <w:rsid w:val="00564571"/>
    <w:rsid w:val="00567483"/>
    <w:rsid w:val="00567BBA"/>
    <w:rsid w:val="005964F7"/>
    <w:rsid w:val="0059685C"/>
    <w:rsid w:val="00597274"/>
    <w:rsid w:val="005C6185"/>
    <w:rsid w:val="005D2B5D"/>
    <w:rsid w:val="005D53E0"/>
    <w:rsid w:val="005D57D3"/>
    <w:rsid w:val="005E1A71"/>
    <w:rsid w:val="005E62AE"/>
    <w:rsid w:val="006005C0"/>
    <w:rsid w:val="00601594"/>
    <w:rsid w:val="0061746D"/>
    <w:rsid w:val="00621422"/>
    <w:rsid w:val="006254D9"/>
    <w:rsid w:val="006406D7"/>
    <w:rsid w:val="006411AF"/>
    <w:rsid w:val="0065795B"/>
    <w:rsid w:val="00660E1B"/>
    <w:rsid w:val="006669C4"/>
    <w:rsid w:val="0067175E"/>
    <w:rsid w:val="00684456"/>
    <w:rsid w:val="006873A1"/>
    <w:rsid w:val="00690AE7"/>
    <w:rsid w:val="00694C94"/>
    <w:rsid w:val="006A7AC9"/>
    <w:rsid w:val="006B06E3"/>
    <w:rsid w:val="006B19EB"/>
    <w:rsid w:val="006B669F"/>
    <w:rsid w:val="006B675E"/>
    <w:rsid w:val="006C7D64"/>
    <w:rsid w:val="006D09C1"/>
    <w:rsid w:val="006E19F6"/>
    <w:rsid w:val="006E5AD9"/>
    <w:rsid w:val="006E7ED0"/>
    <w:rsid w:val="006F0268"/>
    <w:rsid w:val="006F3057"/>
    <w:rsid w:val="006F3C3C"/>
    <w:rsid w:val="006F6463"/>
    <w:rsid w:val="0070276E"/>
    <w:rsid w:val="0070539A"/>
    <w:rsid w:val="00710A01"/>
    <w:rsid w:val="00717E59"/>
    <w:rsid w:val="007224D6"/>
    <w:rsid w:val="00722FDC"/>
    <w:rsid w:val="00731E2F"/>
    <w:rsid w:val="00740B83"/>
    <w:rsid w:val="00741DD2"/>
    <w:rsid w:val="00742BAB"/>
    <w:rsid w:val="00753DF0"/>
    <w:rsid w:val="00762E2A"/>
    <w:rsid w:val="00774EC9"/>
    <w:rsid w:val="0078097F"/>
    <w:rsid w:val="00782B1B"/>
    <w:rsid w:val="0078554E"/>
    <w:rsid w:val="00792BDA"/>
    <w:rsid w:val="00792E8E"/>
    <w:rsid w:val="007A0974"/>
    <w:rsid w:val="007A27EE"/>
    <w:rsid w:val="007A48E8"/>
    <w:rsid w:val="007A7FEC"/>
    <w:rsid w:val="007B3681"/>
    <w:rsid w:val="007B45B7"/>
    <w:rsid w:val="007B7F4F"/>
    <w:rsid w:val="007C0B42"/>
    <w:rsid w:val="007C5A29"/>
    <w:rsid w:val="007D09A4"/>
    <w:rsid w:val="007D1A73"/>
    <w:rsid w:val="007E0C6F"/>
    <w:rsid w:val="007E1153"/>
    <w:rsid w:val="007E1D13"/>
    <w:rsid w:val="007E2468"/>
    <w:rsid w:val="007F2B15"/>
    <w:rsid w:val="0081035A"/>
    <w:rsid w:val="00811D61"/>
    <w:rsid w:val="008277ED"/>
    <w:rsid w:val="00834819"/>
    <w:rsid w:val="00835F51"/>
    <w:rsid w:val="00841D17"/>
    <w:rsid w:val="00844D30"/>
    <w:rsid w:val="008529D3"/>
    <w:rsid w:val="0087007A"/>
    <w:rsid w:val="00871760"/>
    <w:rsid w:val="00871991"/>
    <w:rsid w:val="008725EF"/>
    <w:rsid w:val="008759B0"/>
    <w:rsid w:val="00877A7C"/>
    <w:rsid w:val="00881AE7"/>
    <w:rsid w:val="008847EB"/>
    <w:rsid w:val="008A24B8"/>
    <w:rsid w:val="008A2F89"/>
    <w:rsid w:val="008A3C7E"/>
    <w:rsid w:val="008B0382"/>
    <w:rsid w:val="008B110E"/>
    <w:rsid w:val="008D0733"/>
    <w:rsid w:val="008D5DD3"/>
    <w:rsid w:val="008E4B38"/>
    <w:rsid w:val="008E6E54"/>
    <w:rsid w:val="009014F7"/>
    <w:rsid w:val="00916643"/>
    <w:rsid w:val="009213BD"/>
    <w:rsid w:val="009245F3"/>
    <w:rsid w:val="00925CEF"/>
    <w:rsid w:val="00930000"/>
    <w:rsid w:val="009372D5"/>
    <w:rsid w:val="00940379"/>
    <w:rsid w:val="00957EE8"/>
    <w:rsid w:val="00967295"/>
    <w:rsid w:val="00975991"/>
    <w:rsid w:val="00980346"/>
    <w:rsid w:val="0098745A"/>
    <w:rsid w:val="009A07E2"/>
    <w:rsid w:val="009A219F"/>
    <w:rsid w:val="009A4AB1"/>
    <w:rsid w:val="009A63AB"/>
    <w:rsid w:val="009A708A"/>
    <w:rsid w:val="009B059E"/>
    <w:rsid w:val="009B0EAF"/>
    <w:rsid w:val="009B23E1"/>
    <w:rsid w:val="009B5B1B"/>
    <w:rsid w:val="009C30E7"/>
    <w:rsid w:val="009D23DB"/>
    <w:rsid w:val="009D4342"/>
    <w:rsid w:val="009D4DA0"/>
    <w:rsid w:val="009E5035"/>
    <w:rsid w:val="009E56D4"/>
    <w:rsid w:val="009E7F96"/>
    <w:rsid w:val="009F25CE"/>
    <w:rsid w:val="00A02E50"/>
    <w:rsid w:val="00A035C9"/>
    <w:rsid w:val="00A048DD"/>
    <w:rsid w:val="00A0744D"/>
    <w:rsid w:val="00A16408"/>
    <w:rsid w:val="00A21F24"/>
    <w:rsid w:val="00A21FD5"/>
    <w:rsid w:val="00A242F7"/>
    <w:rsid w:val="00A31860"/>
    <w:rsid w:val="00A34BBA"/>
    <w:rsid w:val="00A56C41"/>
    <w:rsid w:val="00A572EF"/>
    <w:rsid w:val="00A6095F"/>
    <w:rsid w:val="00A65092"/>
    <w:rsid w:val="00A712B4"/>
    <w:rsid w:val="00A73104"/>
    <w:rsid w:val="00A75AB7"/>
    <w:rsid w:val="00A81C1D"/>
    <w:rsid w:val="00A85A40"/>
    <w:rsid w:val="00A85E6C"/>
    <w:rsid w:val="00A94E59"/>
    <w:rsid w:val="00A96381"/>
    <w:rsid w:val="00AA30DA"/>
    <w:rsid w:val="00AA5AB9"/>
    <w:rsid w:val="00AB2B46"/>
    <w:rsid w:val="00AB5702"/>
    <w:rsid w:val="00AC3DA4"/>
    <w:rsid w:val="00AE261C"/>
    <w:rsid w:val="00AF01CB"/>
    <w:rsid w:val="00AF2428"/>
    <w:rsid w:val="00AF314F"/>
    <w:rsid w:val="00AF448F"/>
    <w:rsid w:val="00B06E73"/>
    <w:rsid w:val="00B105B2"/>
    <w:rsid w:val="00B16989"/>
    <w:rsid w:val="00B17142"/>
    <w:rsid w:val="00B21683"/>
    <w:rsid w:val="00B236D2"/>
    <w:rsid w:val="00B25703"/>
    <w:rsid w:val="00B25758"/>
    <w:rsid w:val="00B26886"/>
    <w:rsid w:val="00B26C0D"/>
    <w:rsid w:val="00B4053D"/>
    <w:rsid w:val="00B41FA0"/>
    <w:rsid w:val="00B420C2"/>
    <w:rsid w:val="00B420CA"/>
    <w:rsid w:val="00B44C12"/>
    <w:rsid w:val="00B469C7"/>
    <w:rsid w:val="00B4758F"/>
    <w:rsid w:val="00B53C26"/>
    <w:rsid w:val="00B56054"/>
    <w:rsid w:val="00B6275E"/>
    <w:rsid w:val="00B63AFE"/>
    <w:rsid w:val="00B652CE"/>
    <w:rsid w:val="00B67A16"/>
    <w:rsid w:val="00B71DD1"/>
    <w:rsid w:val="00B77980"/>
    <w:rsid w:val="00B82283"/>
    <w:rsid w:val="00B83B74"/>
    <w:rsid w:val="00B91FDD"/>
    <w:rsid w:val="00B93EF2"/>
    <w:rsid w:val="00BA13CF"/>
    <w:rsid w:val="00BA1BE7"/>
    <w:rsid w:val="00BB1CB9"/>
    <w:rsid w:val="00BB27D1"/>
    <w:rsid w:val="00BB551D"/>
    <w:rsid w:val="00BB5571"/>
    <w:rsid w:val="00BC0285"/>
    <w:rsid w:val="00BC1318"/>
    <w:rsid w:val="00BD03D1"/>
    <w:rsid w:val="00BD053C"/>
    <w:rsid w:val="00BE1F3F"/>
    <w:rsid w:val="00BE20A4"/>
    <w:rsid w:val="00BF135F"/>
    <w:rsid w:val="00BF2285"/>
    <w:rsid w:val="00BF675C"/>
    <w:rsid w:val="00C039FB"/>
    <w:rsid w:val="00C104E9"/>
    <w:rsid w:val="00C2056E"/>
    <w:rsid w:val="00C22389"/>
    <w:rsid w:val="00C237EB"/>
    <w:rsid w:val="00C27558"/>
    <w:rsid w:val="00C34221"/>
    <w:rsid w:val="00C354CB"/>
    <w:rsid w:val="00C42BB9"/>
    <w:rsid w:val="00C44C6C"/>
    <w:rsid w:val="00C50B6A"/>
    <w:rsid w:val="00C63158"/>
    <w:rsid w:val="00C660C4"/>
    <w:rsid w:val="00C674A9"/>
    <w:rsid w:val="00C737B4"/>
    <w:rsid w:val="00C755D7"/>
    <w:rsid w:val="00C8203C"/>
    <w:rsid w:val="00C879D0"/>
    <w:rsid w:val="00CA0D8B"/>
    <w:rsid w:val="00CA242A"/>
    <w:rsid w:val="00CA3B12"/>
    <w:rsid w:val="00CA7089"/>
    <w:rsid w:val="00CC0BD8"/>
    <w:rsid w:val="00CC2229"/>
    <w:rsid w:val="00CC6FD7"/>
    <w:rsid w:val="00CD44EB"/>
    <w:rsid w:val="00CD4F4D"/>
    <w:rsid w:val="00CE1BB6"/>
    <w:rsid w:val="00CE291D"/>
    <w:rsid w:val="00CE546A"/>
    <w:rsid w:val="00CE6561"/>
    <w:rsid w:val="00CF3CCE"/>
    <w:rsid w:val="00CF6B2F"/>
    <w:rsid w:val="00CF7B41"/>
    <w:rsid w:val="00D02197"/>
    <w:rsid w:val="00D05962"/>
    <w:rsid w:val="00D07D4C"/>
    <w:rsid w:val="00D12FEE"/>
    <w:rsid w:val="00D165B9"/>
    <w:rsid w:val="00D268F7"/>
    <w:rsid w:val="00D32BE8"/>
    <w:rsid w:val="00D365E2"/>
    <w:rsid w:val="00D44CAC"/>
    <w:rsid w:val="00D537D3"/>
    <w:rsid w:val="00D57786"/>
    <w:rsid w:val="00D666EC"/>
    <w:rsid w:val="00D67BE4"/>
    <w:rsid w:val="00D73465"/>
    <w:rsid w:val="00D73B5B"/>
    <w:rsid w:val="00D76C65"/>
    <w:rsid w:val="00D84D7C"/>
    <w:rsid w:val="00D855D7"/>
    <w:rsid w:val="00D85C3D"/>
    <w:rsid w:val="00D910D7"/>
    <w:rsid w:val="00D91112"/>
    <w:rsid w:val="00D92C12"/>
    <w:rsid w:val="00DA0B5E"/>
    <w:rsid w:val="00DA16C3"/>
    <w:rsid w:val="00DA46E8"/>
    <w:rsid w:val="00DA7109"/>
    <w:rsid w:val="00DB044D"/>
    <w:rsid w:val="00DC386C"/>
    <w:rsid w:val="00DC487E"/>
    <w:rsid w:val="00DD1B7A"/>
    <w:rsid w:val="00DE0B34"/>
    <w:rsid w:val="00DF0361"/>
    <w:rsid w:val="00DF09C7"/>
    <w:rsid w:val="00DF1559"/>
    <w:rsid w:val="00DF1B70"/>
    <w:rsid w:val="00DF62E1"/>
    <w:rsid w:val="00E10325"/>
    <w:rsid w:val="00E21A26"/>
    <w:rsid w:val="00E25B4C"/>
    <w:rsid w:val="00E34396"/>
    <w:rsid w:val="00E37471"/>
    <w:rsid w:val="00E43D21"/>
    <w:rsid w:val="00E452F0"/>
    <w:rsid w:val="00E554F4"/>
    <w:rsid w:val="00E675E3"/>
    <w:rsid w:val="00E7035E"/>
    <w:rsid w:val="00E70D5B"/>
    <w:rsid w:val="00E7192B"/>
    <w:rsid w:val="00E72294"/>
    <w:rsid w:val="00E7349B"/>
    <w:rsid w:val="00E775B6"/>
    <w:rsid w:val="00E77726"/>
    <w:rsid w:val="00EA3A79"/>
    <w:rsid w:val="00EA3FE4"/>
    <w:rsid w:val="00EB2897"/>
    <w:rsid w:val="00EB365F"/>
    <w:rsid w:val="00EB3C8C"/>
    <w:rsid w:val="00EB6659"/>
    <w:rsid w:val="00EB7E81"/>
    <w:rsid w:val="00EC4349"/>
    <w:rsid w:val="00EC5787"/>
    <w:rsid w:val="00EC670E"/>
    <w:rsid w:val="00ED1C2B"/>
    <w:rsid w:val="00ED3909"/>
    <w:rsid w:val="00ED45F1"/>
    <w:rsid w:val="00ED5DD3"/>
    <w:rsid w:val="00ED6351"/>
    <w:rsid w:val="00ED69F6"/>
    <w:rsid w:val="00EE5730"/>
    <w:rsid w:val="00EE6838"/>
    <w:rsid w:val="00EE76BD"/>
    <w:rsid w:val="00EF043F"/>
    <w:rsid w:val="00F11763"/>
    <w:rsid w:val="00F142F5"/>
    <w:rsid w:val="00F2637A"/>
    <w:rsid w:val="00F30C10"/>
    <w:rsid w:val="00F352CA"/>
    <w:rsid w:val="00F37204"/>
    <w:rsid w:val="00F40F43"/>
    <w:rsid w:val="00F43AA0"/>
    <w:rsid w:val="00F43C8F"/>
    <w:rsid w:val="00F45A35"/>
    <w:rsid w:val="00F5477B"/>
    <w:rsid w:val="00F57907"/>
    <w:rsid w:val="00F77713"/>
    <w:rsid w:val="00F8197B"/>
    <w:rsid w:val="00F831B0"/>
    <w:rsid w:val="00F849D7"/>
    <w:rsid w:val="00F94A4F"/>
    <w:rsid w:val="00F978EC"/>
    <w:rsid w:val="00FA0A86"/>
    <w:rsid w:val="00FA2370"/>
    <w:rsid w:val="00FA2DEE"/>
    <w:rsid w:val="00FA2ED2"/>
    <w:rsid w:val="00FA4564"/>
    <w:rsid w:val="00FA7FB4"/>
    <w:rsid w:val="00FB0510"/>
    <w:rsid w:val="00FB05D3"/>
    <w:rsid w:val="00FB5343"/>
    <w:rsid w:val="00FC693B"/>
    <w:rsid w:val="00FD3F5A"/>
    <w:rsid w:val="00FE0039"/>
    <w:rsid w:val="00FE541B"/>
    <w:rsid w:val="00FE575B"/>
    <w:rsid w:val="00FF2D1E"/>
    <w:rsid w:val="00FF5CD3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A32E4-0F07-304A-B408-8F6D5CDF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1FA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1F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1FA0"/>
    <w:rPr>
      <w:vertAlign w:val="superscript"/>
    </w:rPr>
  </w:style>
  <w:style w:type="paragraph" w:styleId="Revision">
    <w:name w:val="Revision"/>
    <w:hidden/>
    <w:uiPriority w:val="99"/>
    <w:semiHidden/>
    <w:rsid w:val="00DA7109"/>
  </w:style>
  <w:style w:type="paragraph" w:styleId="NormalWeb">
    <w:name w:val="Normal (Web)"/>
    <w:basedOn w:val="Normal"/>
    <w:uiPriority w:val="99"/>
    <w:unhideWhenUsed/>
    <w:rsid w:val="008847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4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77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imh.nih.gov/health/statistics/suicide" TargetMode="External"/><Relationship Id="rId2" Type="http://schemas.openxmlformats.org/officeDocument/2006/relationships/hyperlink" Target="https://doi.org/10.1176/appi.ps.201800346" TargetMode="External"/><Relationship Id="rId1" Type="http://schemas.openxmlformats.org/officeDocument/2006/relationships/hyperlink" Target="https://doi.org/10.1017/cbo9780511543562.019" TargetMode="External"/><Relationship Id="rId5" Type="http://schemas.openxmlformats.org/officeDocument/2006/relationships/hyperlink" Target="https://wonder.cdc.gov/wonder/help/ucd.html" TargetMode="External"/><Relationship Id="rId4" Type="http://schemas.openxmlformats.org/officeDocument/2006/relationships/hyperlink" Target="https://watsoncoleman.house.gov/uploadedfiles/full_taskforce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Links>
    <vt:vector size="48" baseType="variant"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https://wonder.cdc.gov/Deaths-by-Underlying-Cause.html</vt:lpwstr>
      </vt:variant>
      <vt:variant>
        <vt:lpwstr/>
      </vt:variant>
      <vt:variant>
        <vt:i4>7536698</vt:i4>
      </vt:variant>
      <vt:variant>
        <vt:i4>3</vt:i4>
      </vt:variant>
      <vt:variant>
        <vt:i4>0</vt:i4>
      </vt:variant>
      <vt:variant>
        <vt:i4>5</vt:i4>
      </vt:variant>
      <vt:variant>
        <vt:lpwstr>https://www.nimh.nih.gov/health/statistics/suicide</vt:lpwstr>
      </vt:variant>
      <vt:variant>
        <vt:lpwstr/>
      </vt:variant>
      <vt:variant>
        <vt:i4>2818163</vt:i4>
      </vt:variant>
      <vt:variant>
        <vt:i4>0</vt:i4>
      </vt:variant>
      <vt:variant>
        <vt:i4>0</vt:i4>
      </vt:variant>
      <vt:variant>
        <vt:i4>5</vt:i4>
      </vt:variant>
      <vt:variant>
        <vt:lpwstr>https://wonder.cdc.gov/wonder/help/ucd.html</vt:lpwstr>
      </vt:variant>
      <vt:variant>
        <vt:lpwstr/>
      </vt:variant>
      <vt:variant>
        <vt:i4>852012</vt:i4>
      </vt:variant>
      <vt:variant>
        <vt:i4>12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852012</vt:i4>
      </vt:variant>
      <vt:variant>
        <vt:i4>9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5177361</vt:i4>
      </vt:variant>
      <vt:variant>
        <vt:i4>6</vt:i4>
      </vt:variant>
      <vt:variant>
        <vt:i4>0</vt:i4>
      </vt:variant>
      <vt:variant>
        <vt:i4>5</vt:i4>
      </vt:variant>
      <vt:variant>
        <vt:lpwstr>https://www2.psych.ubc.ca/~klonsky/publications/AnnualReview2016.pdf</vt:lpwstr>
      </vt:variant>
      <vt:variant>
        <vt:lpwstr/>
      </vt:variant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https://www.countyhealthrankings.org/explore-health-rankings/measures-data-sources/county-health-rankings-model/health-outcomes/length-of-life/premature-death-ypll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214</cp:revision>
  <dcterms:created xsi:type="dcterms:W3CDTF">2021-06-25T17:47:00Z</dcterms:created>
  <dcterms:modified xsi:type="dcterms:W3CDTF">2021-12-07T20:24:00Z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