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07F7" w14:textId="400ED6C1" w:rsidR="003B1DA4" w:rsidRDefault="003B1DA4" w:rsidP="003B1DA4">
      <w:r w:rsidRPr="00AE261C">
        <w:rPr>
          <w:b/>
          <w:bCs/>
        </w:rPr>
        <w:t>Name</w:t>
      </w:r>
      <w:r>
        <w:t xml:space="preserve">: </w:t>
      </w:r>
      <w:r w:rsidR="00267FEE">
        <w:t>Third</w:t>
      </w:r>
      <w:r>
        <w:t xml:space="preserve"> Places</w:t>
      </w:r>
    </w:p>
    <w:p w14:paraId="1FD35366" w14:textId="145192B7" w:rsidR="003B1DA4" w:rsidRDefault="003B1DA4" w:rsidP="003B1DA4">
      <w:r w:rsidRPr="00AE261C">
        <w:rPr>
          <w:b/>
          <w:bCs/>
        </w:rPr>
        <w:t>Short Description</w:t>
      </w:r>
      <w:r>
        <w:t>:</w:t>
      </w:r>
      <w:r w:rsidR="00D927A2">
        <w:t xml:space="preserve"> </w:t>
      </w:r>
      <w:r w:rsidR="007507AE">
        <w:t>Number of third places</w:t>
      </w:r>
      <w:r w:rsidR="00BB0A1A">
        <w:t xml:space="preserve">, defined as </w:t>
      </w:r>
      <w:r w:rsidR="00BB0A1A" w:rsidRPr="00BB0A1A">
        <w:t xml:space="preserve">places where people spend time </w:t>
      </w:r>
      <w:r w:rsidR="0023558B">
        <w:t>outside of t</w:t>
      </w:r>
      <w:r w:rsidR="00BB0A1A">
        <w:t>heir</w:t>
      </w:r>
      <w:r w:rsidR="00BB0A1A" w:rsidRPr="00BB0A1A">
        <w:t xml:space="preserve"> home (</w:t>
      </w:r>
      <w:r w:rsidR="0023558B">
        <w:t>“</w:t>
      </w:r>
      <w:r w:rsidR="00BB0A1A" w:rsidRPr="00BB0A1A">
        <w:t>first place</w:t>
      </w:r>
      <w:r w:rsidR="0023558B">
        <w:t>”</w:t>
      </w:r>
      <w:r w:rsidR="00BB0A1A" w:rsidRPr="00BB0A1A">
        <w:t xml:space="preserve">) and </w:t>
      </w:r>
      <w:r w:rsidR="00BB0A1A">
        <w:t xml:space="preserve">their </w:t>
      </w:r>
      <w:r w:rsidR="00BB0A1A" w:rsidRPr="00BB0A1A">
        <w:t>work (</w:t>
      </w:r>
      <w:r w:rsidR="0023558B">
        <w:t>“</w:t>
      </w:r>
      <w:r w:rsidR="00BB0A1A" w:rsidRPr="00BB0A1A">
        <w:t>second place</w:t>
      </w:r>
      <w:r w:rsidR="0023558B">
        <w:t>”</w:t>
      </w:r>
      <w:r w:rsidR="00BB0A1A" w:rsidRPr="00BB0A1A">
        <w:t>)</w:t>
      </w:r>
      <w:r w:rsidR="00BB0A1A">
        <w:t xml:space="preserve">, </w:t>
      </w:r>
      <w:r w:rsidR="007507AE">
        <w:t>per</w:t>
      </w:r>
      <w:r w:rsidR="00F22B54">
        <w:t xml:space="preserve"> 100,000 people</w:t>
      </w:r>
      <w:r w:rsidR="009762C4">
        <w:t>.</w:t>
      </w:r>
    </w:p>
    <w:p w14:paraId="0BCF9419" w14:textId="77777777" w:rsidR="003B1DA4" w:rsidRPr="00D44CAC" w:rsidRDefault="003B1DA4" w:rsidP="003B1DA4">
      <w:r>
        <w:rPr>
          <w:b/>
          <w:bCs/>
        </w:rPr>
        <w:t xml:space="preserve">Data </w:t>
      </w:r>
      <w:r w:rsidRPr="002B6F8E">
        <w:rPr>
          <w:b/>
          <w:bCs/>
        </w:rPr>
        <w:t>Source</w:t>
      </w:r>
      <w:r>
        <w:rPr>
          <w:b/>
          <w:bCs/>
        </w:rPr>
        <w:t>(s)</w:t>
      </w:r>
      <w:r>
        <w:t>:</w:t>
      </w:r>
    </w:p>
    <w:p w14:paraId="35712C12" w14:textId="40757C01" w:rsidR="003B1DA4" w:rsidRDefault="003B1DA4" w:rsidP="003B1DA4">
      <w:pPr>
        <w:pStyle w:val="ListParagraph"/>
        <w:numPr>
          <w:ilvl w:val="0"/>
          <w:numId w:val="7"/>
        </w:numPr>
        <w:spacing w:after="0" w:line="240" w:lineRule="auto"/>
      </w:pPr>
      <w:r w:rsidRPr="009014F7">
        <w:rPr>
          <w:u w:val="single"/>
        </w:rPr>
        <w:t>Name</w:t>
      </w:r>
      <w:r>
        <w:t xml:space="preserve">: </w:t>
      </w:r>
      <w:r w:rsidR="008874E6">
        <w:t>County Business Patterns</w:t>
      </w:r>
      <w:r w:rsidR="008567CE">
        <w:t xml:space="preserve"> (CBP)</w:t>
      </w:r>
    </w:p>
    <w:p w14:paraId="51B46FBA" w14:textId="4EC34379" w:rsidR="003B1DA4" w:rsidRPr="00433CEA" w:rsidRDefault="003B1DA4" w:rsidP="003B1DA4">
      <w:pPr>
        <w:pStyle w:val="ListParagraph"/>
        <w:numPr>
          <w:ilvl w:val="0"/>
          <w:numId w:val="7"/>
        </w:numPr>
        <w:spacing w:after="0" w:line="240" w:lineRule="auto"/>
      </w:pPr>
      <w:r w:rsidRPr="009014F7">
        <w:rPr>
          <w:u w:val="single"/>
        </w:rPr>
        <w:t>Link to Source</w:t>
      </w:r>
      <w:r>
        <w:t xml:space="preserve">: </w:t>
      </w:r>
      <w:hyperlink r:id="rId11" w:history="1">
        <w:r w:rsidR="00AF63B4" w:rsidRPr="005B46D2">
          <w:rPr>
            <w:rStyle w:val="Hyperlink"/>
          </w:rPr>
          <w:t>https://www.census.gov/programs-surveys/cbp.html</w:t>
        </w:r>
      </w:hyperlink>
      <w:r w:rsidR="00AF63B4">
        <w:t xml:space="preserve"> </w:t>
      </w:r>
    </w:p>
    <w:p w14:paraId="4865EB79" w14:textId="77777777" w:rsidR="00231ED0" w:rsidRDefault="00231ED0" w:rsidP="003B1DA4">
      <w:pPr>
        <w:rPr>
          <w:b/>
          <w:bCs/>
        </w:rPr>
      </w:pPr>
    </w:p>
    <w:p w14:paraId="32242802" w14:textId="1D0AF501" w:rsidR="003B1DA4" w:rsidRPr="00082B14" w:rsidRDefault="003B1DA4" w:rsidP="003B1DA4">
      <w:pPr>
        <w:rPr>
          <w:b/>
          <w:bCs/>
        </w:rPr>
      </w:pPr>
      <w:r>
        <w:rPr>
          <w:b/>
          <w:bCs/>
        </w:rPr>
        <w:t xml:space="preserve">Year(s): </w:t>
      </w:r>
      <w:r w:rsidR="00410E41">
        <w:t>2019</w:t>
      </w:r>
    </w:p>
    <w:p w14:paraId="4781E47D" w14:textId="0F2C53B6" w:rsidR="003B1DA4" w:rsidRDefault="00325671" w:rsidP="003B1DA4">
      <w:r>
        <w:rPr>
          <w:b/>
          <w:bCs/>
        </w:rPr>
        <w:t xml:space="preserve">Source </w:t>
      </w:r>
      <w:r w:rsidR="003B1DA4">
        <w:rPr>
          <w:b/>
          <w:bCs/>
        </w:rPr>
        <w:t>Geographic Level</w:t>
      </w:r>
      <w:r w:rsidR="003B1DA4">
        <w:t xml:space="preserve">: </w:t>
      </w:r>
      <w:r w:rsidR="00F51097">
        <w:t>Z</w:t>
      </w:r>
      <w:r>
        <w:t>IP</w:t>
      </w:r>
      <w:r w:rsidR="00F51097">
        <w:t xml:space="preserve"> Code</w:t>
      </w:r>
      <w:r w:rsidR="00E61278">
        <w:t xml:space="preserve"> </w:t>
      </w:r>
    </w:p>
    <w:p w14:paraId="0CE0CAF0" w14:textId="4443C7A2" w:rsidR="003B1DA4" w:rsidRDefault="003B1DA4" w:rsidP="003B1DA4">
      <w:r>
        <w:rPr>
          <w:b/>
          <w:bCs/>
        </w:rPr>
        <w:t>Stratifi</w:t>
      </w:r>
      <w:r w:rsidR="00231ED0">
        <w:rPr>
          <w:b/>
          <w:bCs/>
        </w:rPr>
        <w:t>cation</w:t>
      </w:r>
      <w:r>
        <w:t xml:space="preserve">: </w:t>
      </w:r>
      <w:r w:rsidR="00E61278">
        <w:t>Not applicable to</w:t>
      </w:r>
      <w:r w:rsidR="00231ED0">
        <w:t xml:space="preserve"> </w:t>
      </w:r>
      <w:r w:rsidR="00280DBA">
        <w:t xml:space="preserve">third </w:t>
      </w:r>
      <w:r w:rsidR="00231ED0">
        <w:t>places.</w:t>
      </w:r>
    </w:p>
    <w:p w14:paraId="26D615BB" w14:textId="1673885B" w:rsidR="003B1DA4" w:rsidRPr="00E34396" w:rsidRDefault="003B1DA4" w:rsidP="003B1DA4">
      <w:r w:rsidRPr="00AE261C">
        <w:rPr>
          <w:b/>
          <w:bCs/>
        </w:rPr>
        <w:t>Selection Rationale</w:t>
      </w:r>
      <w:r>
        <w:rPr>
          <w:b/>
          <w:bCs/>
        </w:rPr>
        <w:t xml:space="preserve">: </w:t>
      </w:r>
      <w:r w:rsidR="0023558B">
        <w:t xml:space="preserve">Third places provide a </w:t>
      </w:r>
      <w:r w:rsidR="00AD5965">
        <w:t xml:space="preserve">location </w:t>
      </w:r>
      <w:r w:rsidR="00915844">
        <w:t>in</w:t>
      </w:r>
      <w:r w:rsidR="00AD5965">
        <w:t xml:space="preserve"> communities</w:t>
      </w:r>
      <w:r w:rsidR="0023558B">
        <w:t xml:space="preserve"> for social interaction </w:t>
      </w:r>
      <w:r w:rsidR="007C5775">
        <w:t xml:space="preserve">and social support </w:t>
      </w:r>
      <w:r w:rsidR="0023558B">
        <w:t xml:space="preserve">outside of the home and </w:t>
      </w:r>
      <w:r w:rsidR="001227D9">
        <w:t>workplace and</w:t>
      </w:r>
      <w:r w:rsidR="0023558B">
        <w:t xml:space="preserve"> contribute to a sense of connection and belonging.</w:t>
      </w:r>
      <w:r w:rsidR="001227D9">
        <w:t xml:space="preserve"> These community sites (includin</w:t>
      </w:r>
      <w:r w:rsidR="00CF42BE">
        <w:t xml:space="preserve">g </w:t>
      </w:r>
      <w:r w:rsidR="003B15AB">
        <w:t xml:space="preserve">locations such as </w:t>
      </w:r>
      <w:r w:rsidR="00CF42BE">
        <w:t xml:space="preserve">religious institutions, </w:t>
      </w:r>
      <w:r w:rsidR="00427648">
        <w:t xml:space="preserve">community centers, </w:t>
      </w:r>
      <w:r w:rsidR="001227D9">
        <w:t>libraries,</w:t>
      </w:r>
      <w:r w:rsidR="00CF42BE">
        <w:t xml:space="preserve"> cafes, gyms, </w:t>
      </w:r>
      <w:r w:rsidR="00837EF3">
        <w:t>and other neighborhood businesses</w:t>
      </w:r>
      <w:r w:rsidR="003B15AB">
        <w:t>)</w:t>
      </w:r>
      <w:r w:rsidR="001227D9">
        <w:t xml:space="preserve"> can help to buffer against </w:t>
      </w:r>
      <w:r w:rsidR="00837EF3">
        <w:t>loneliness, stress, alienation.</w:t>
      </w:r>
      <w:r w:rsidR="004D0C99">
        <w:rPr>
          <w:rStyle w:val="FootnoteReference"/>
        </w:rPr>
        <w:footnoteReference w:id="2"/>
      </w:r>
      <w:r w:rsidR="0023558B">
        <w:t xml:space="preserve"> </w:t>
      </w:r>
      <w:r w:rsidR="00837EF3">
        <w:t xml:space="preserve">Though this measure does not </w:t>
      </w:r>
      <w:r w:rsidR="00DF0213">
        <w:t>provide information about the relative</w:t>
      </w:r>
      <w:r w:rsidR="00915844">
        <w:t xml:space="preserve"> quality of third places, the presence of third places</w:t>
      </w:r>
      <w:r w:rsidR="0020052B">
        <w:t xml:space="preserve"> </w:t>
      </w:r>
      <w:r w:rsidR="0078214A">
        <w:t xml:space="preserve">is used to represent </w:t>
      </w:r>
      <w:r w:rsidR="0020052B">
        <w:t xml:space="preserve">community assets that can be protective </w:t>
      </w:r>
      <w:r w:rsidR="00CD6D82">
        <w:t>for mental wellness.</w:t>
      </w:r>
      <w:r w:rsidR="00915844">
        <w:t xml:space="preserve"> </w:t>
      </w:r>
    </w:p>
    <w:p w14:paraId="3F5C0D1F" w14:textId="7B7C749D" w:rsidR="003B1DA4" w:rsidRPr="00B21683" w:rsidRDefault="003B1DA4" w:rsidP="003B1DA4">
      <w:r>
        <w:rPr>
          <w:b/>
          <w:bCs/>
        </w:rPr>
        <w:t>Strengths and Limitations</w:t>
      </w:r>
      <w:r>
        <w:t xml:space="preserve">: </w:t>
      </w:r>
    </w:p>
    <w:p w14:paraId="4970339B" w14:textId="77777777" w:rsidR="003B1DA4" w:rsidRPr="00B21683" w:rsidRDefault="003B1DA4" w:rsidP="003B1DA4">
      <w:pPr>
        <w:pStyle w:val="ListParagraph"/>
        <w:numPr>
          <w:ilvl w:val="0"/>
          <w:numId w:val="11"/>
        </w:numPr>
        <w:spacing w:after="0" w:line="240" w:lineRule="auto"/>
        <w:rPr>
          <w:bCs/>
        </w:rPr>
      </w:pPr>
      <w:r w:rsidRPr="00B21683">
        <w:rPr>
          <w:b/>
        </w:rPr>
        <w:t>Strengths</w:t>
      </w:r>
      <w:r w:rsidRPr="00B21683">
        <w:rPr>
          <w:bCs/>
        </w:rPr>
        <w:t xml:space="preserve">: </w:t>
      </w:r>
    </w:p>
    <w:p w14:paraId="707896E0" w14:textId="6CFE9E3A" w:rsidR="003B1DA4" w:rsidRDefault="003B1DA4" w:rsidP="003B1DA4">
      <w:pPr>
        <w:pStyle w:val="ListParagraph"/>
        <w:numPr>
          <w:ilvl w:val="1"/>
          <w:numId w:val="11"/>
        </w:numPr>
        <w:spacing w:after="0" w:line="240" w:lineRule="auto"/>
        <w:rPr>
          <w:bCs/>
        </w:rPr>
      </w:pPr>
      <w:r>
        <w:rPr>
          <w:bCs/>
        </w:rPr>
        <w:t>[</w:t>
      </w:r>
      <w:r w:rsidR="00CD6D82">
        <w:rPr>
          <w:bCs/>
          <w:i/>
          <w:iCs/>
        </w:rPr>
        <w:t>Importance</w:t>
      </w:r>
      <w:r>
        <w:rPr>
          <w:bCs/>
        </w:rPr>
        <w:t xml:space="preserve">] </w:t>
      </w:r>
      <w:r w:rsidR="009B7E4A">
        <w:rPr>
          <w:bCs/>
        </w:rPr>
        <w:t xml:space="preserve">The presence of third places in a community </w:t>
      </w:r>
      <w:r w:rsidR="00AE54BD">
        <w:rPr>
          <w:bCs/>
        </w:rPr>
        <w:t>has been</w:t>
      </w:r>
      <w:r w:rsidR="009B7E4A">
        <w:rPr>
          <w:bCs/>
        </w:rPr>
        <w:t xml:space="preserve"> linked to higher perceived quality of life.</w:t>
      </w:r>
      <w:r w:rsidR="00AE54BD">
        <w:rPr>
          <w:rStyle w:val="FootnoteReference"/>
          <w:bCs/>
        </w:rPr>
        <w:footnoteReference w:id="3"/>
      </w:r>
      <w:r w:rsidR="00BB2B07">
        <w:rPr>
          <w:bCs/>
        </w:rPr>
        <w:t xml:space="preserve"> </w:t>
      </w:r>
      <w:r w:rsidR="00682475">
        <w:rPr>
          <w:bCs/>
        </w:rPr>
        <w:t>A</w:t>
      </w:r>
      <w:r w:rsidR="00893E0A">
        <w:rPr>
          <w:bCs/>
        </w:rPr>
        <w:t>dditionally, a</w:t>
      </w:r>
      <w:r w:rsidR="00682475">
        <w:rPr>
          <w:bCs/>
        </w:rPr>
        <w:t xml:space="preserve"> variety of types of third places</w:t>
      </w:r>
      <w:r w:rsidR="00212CA0">
        <w:rPr>
          <w:bCs/>
        </w:rPr>
        <w:t xml:space="preserve"> (</w:t>
      </w:r>
      <w:r w:rsidR="006D25AA">
        <w:rPr>
          <w:bCs/>
        </w:rPr>
        <w:t>such as</w:t>
      </w:r>
      <w:r w:rsidR="00212CA0">
        <w:rPr>
          <w:bCs/>
        </w:rPr>
        <w:t xml:space="preserve"> coffee shops, video arcades, </w:t>
      </w:r>
      <w:r w:rsidR="004137AD">
        <w:rPr>
          <w:bCs/>
        </w:rPr>
        <w:t>markets, restaurants</w:t>
      </w:r>
      <w:r w:rsidR="00B510D2">
        <w:rPr>
          <w:bCs/>
        </w:rPr>
        <w:t xml:space="preserve">, and religious institutions) have been found to be linked to </w:t>
      </w:r>
      <w:r w:rsidR="00F242A6">
        <w:rPr>
          <w:bCs/>
        </w:rPr>
        <w:t xml:space="preserve">positive behaviors </w:t>
      </w:r>
      <w:r w:rsidR="00C84051">
        <w:rPr>
          <w:bCs/>
        </w:rPr>
        <w:t xml:space="preserve">and outcomes </w:t>
      </w:r>
      <w:r w:rsidR="00F242A6">
        <w:rPr>
          <w:bCs/>
        </w:rPr>
        <w:t>associated with</w:t>
      </w:r>
      <w:r w:rsidR="001D0068">
        <w:rPr>
          <w:bCs/>
        </w:rPr>
        <w:t xml:space="preserve"> mental health</w:t>
      </w:r>
      <w:r w:rsidR="00F242A6">
        <w:rPr>
          <w:bCs/>
        </w:rPr>
        <w:t xml:space="preserve"> coping </w:t>
      </w:r>
      <w:r w:rsidR="001D0068">
        <w:rPr>
          <w:bCs/>
        </w:rPr>
        <w:t>behaviors</w:t>
      </w:r>
      <w:r w:rsidR="00F242A6">
        <w:rPr>
          <w:bCs/>
        </w:rPr>
        <w:t xml:space="preserve"> such as </w:t>
      </w:r>
      <w:r w:rsidR="006D25AA">
        <w:rPr>
          <w:bCs/>
        </w:rPr>
        <w:t xml:space="preserve">higher </w:t>
      </w:r>
      <w:r w:rsidR="00F242A6">
        <w:rPr>
          <w:bCs/>
        </w:rPr>
        <w:t xml:space="preserve">self-reported happiness, </w:t>
      </w:r>
      <w:r w:rsidR="00804438">
        <w:rPr>
          <w:bCs/>
        </w:rPr>
        <w:t xml:space="preserve">use of mental health care, </w:t>
      </w:r>
      <w:r w:rsidR="00F97006">
        <w:rPr>
          <w:bCs/>
        </w:rPr>
        <w:t>high self-esteem</w:t>
      </w:r>
      <w:r w:rsidR="00C84051">
        <w:rPr>
          <w:bCs/>
        </w:rPr>
        <w:t xml:space="preserve">, and reduced ADHD risk among </w:t>
      </w:r>
      <w:r w:rsidR="006D25AA">
        <w:rPr>
          <w:bCs/>
        </w:rPr>
        <w:t>various populations.</w:t>
      </w:r>
      <w:r w:rsidR="00E50855">
        <w:rPr>
          <w:rStyle w:val="FootnoteReference"/>
          <w:bCs/>
        </w:rPr>
        <w:footnoteReference w:id="4"/>
      </w:r>
      <w:r w:rsidR="009F196D" w:rsidRPr="00D04435">
        <w:rPr>
          <w:bCs/>
          <w:vertAlign w:val="superscript"/>
        </w:rPr>
        <w:t>,</w:t>
      </w:r>
      <w:r w:rsidR="009F196D">
        <w:rPr>
          <w:rStyle w:val="FootnoteReference"/>
          <w:bCs/>
        </w:rPr>
        <w:footnoteReference w:id="5"/>
      </w:r>
      <w:r w:rsidR="006064CC" w:rsidRPr="00D04435">
        <w:rPr>
          <w:bCs/>
          <w:vertAlign w:val="superscript"/>
        </w:rPr>
        <w:t>,</w:t>
      </w:r>
      <w:r w:rsidR="006064CC">
        <w:rPr>
          <w:rStyle w:val="FootnoteReference"/>
          <w:bCs/>
        </w:rPr>
        <w:footnoteReference w:id="6"/>
      </w:r>
      <w:r w:rsidR="00021A2F" w:rsidRPr="00D04435">
        <w:rPr>
          <w:bCs/>
          <w:vertAlign w:val="superscript"/>
        </w:rPr>
        <w:t>,</w:t>
      </w:r>
      <w:r w:rsidR="00021A2F">
        <w:rPr>
          <w:rStyle w:val="FootnoteReference"/>
          <w:bCs/>
        </w:rPr>
        <w:footnoteReference w:id="7"/>
      </w:r>
      <w:r w:rsidR="00D04435">
        <w:rPr>
          <w:bCs/>
        </w:rPr>
        <w:t xml:space="preserve"> </w:t>
      </w:r>
      <w:r w:rsidR="000540E4">
        <w:rPr>
          <w:bCs/>
        </w:rPr>
        <w:t>Third places provide information</w:t>
      </w:r>
      <w:r w:rsidR="00434705">
        <w:rPr>
          <w:bCs/>
        </w:rPr>
        <w:t xml:space="preserve"> about an important community asset </w:t>
      </w:r>
      <w:r w:rsidR="00A219FD">
        <w:rPr>
          <w:bCs/>
        </w:rPr>
        <w:t>correlated with</w:t>
      </w:r>
      <w:r w:rsidR="00434705">
        <w:rPr>
          <w:bCs/>
        </w:rPr>
        <w:t xml:space="preserve"> mental wellness. </w:t>
      </w:r>
    </w:p>
    <w:p w14:paraId="6A2D2178" w14:textId="39821F75" w:rsidR="00B3637E" w:rsidRPr="00B3637E" w:rsidRDefault="00B3637E" w:rsidP="00B3637E">
      <w:pPr>
        <w:pStyle w:val="ListParagraph"/>
        <w:numPr>
          <w:ilvl w:val="1"/>
          <w:numId w:val="11"/>
        </w:numPr>
        <w:spacing w:after="0" w:line="240" w:lineRule="auto"/>
        <w:rPr>
          <w:bCs/>
        </w:rPr>
      </w:pPr>
      <w:r>
        <w:rPr>
          <w:bCs/>
        </w:rPr>
        <w:lastRenderedPageBreak/>
        <w:t>[</w:t>
      </w:r>
      <w:r>
        <w:rPr>
          <w:bCs/>
          <w:i/>
          <w:iCs/>
        </w:rPr>
        <w:t>Relevance and Usability</w:t>
      </w:r>
      <w:r>
        <w:rPr>
          <w:bCs/>
        </w:rPr>
        <w:t xml:space="preserve">] </w:t>
      </w:r>
      <w:r w:rsidR="001B0731">
        <w:rPr>
          <w:bCs/>
        </w:rPr>
        <w:t xml:space="preserve">This measure is easily understood </w:t>
      </w:r>
      <w:r w:rsidR="00DA79AC">
        <w:rPr>
          <w:bCs/>
        </w:rPr>
        <w:t xml:space="preserve">and can be used to inform decisions around </w:t>
      </w:r>
      <w:r w:rsidR="00036E65">
        <w:rPr>
          <w:bCs/>
        </w:rPr>
        <w:t xml:space="preserve">where funding is needed for community gathering places. </w:t>
      </w:r>
    </w:p>
    <w:p w14:paraId="0EE1CEB1" w14:textId="46BB1631" w:rsidR="00263C1C" w:rsidRDefault="00263C1C" w:rsidP="003B1DA4">
      <w:pPr>
        <w:pStyle w:val="ListParagraph"/>
        <w:numPr>
          <w:ilvl w:val="1"/>
          <w:numId w:val="11"/>
        </w:numPr>
        <w:spacing w:after="0" w:line="240" w:lineRule="auto"/>
        <w:rPr>
          <w:bCs/>
        </w:rPr>
      </w:pPr>
      <w:r>
        <w:rPr>
          <w:bCs/>
        </w:rPr>
        <w:t>[</w:t>
      </w:r>
      <w:r>
        <w:rPr>
          <w:bCs/>
          <w:i/>
          <w:iCs/>
        </w:rPr>
        <w:t>Scientific Soundness</w:t>
      </w:r>
      <w:r>
        <w:rPr>
          <w:bCs/>
        </w:rPr>
        <w:t xml:space="preserve">] </w:t>
      </w:r>
      <w:r w:rsidR="007903C0">
        <w:rPr>
          <w:bCs/>
        </w:rPr>
        <w:t>This measure of density of third places is simple to calculate and simple to communicate.</w:t>
      </w:r>
    </w:p>
    <w:p w14:paraId="598142DD" w14:textId="77777777" w:rsidR="00606840" w:rsidRPr="0011658D" w:rsidRDefault="00606840" w:rsidP="00606840">
      <w:pPr>
        <w:pStyle w:val="ListParagraph"/>
        <w:numPr>
          <w:ilvl w:val="1"/>
          <w:numId w:val="11"/>
        </w:numPr>
        <w:spacing w:after="0" w:line="240" w:lineRule="auto"/>
        <w:rPr>
          <w:i/>
          <w:iCs/>
        </w:rPr>
      </w:pPr>
      <w:r w:rsidRPr="00D829C0">
        <w:t>[</w:t>
      </w:r>
      <w:r>
        <w:rPr>
          <w:i/>
          <w:iCs/>
        </w:rPr>
        <w:t>Feasibility</w:t>
      </w:r>
      <w:r w:rsidRPr="00D829C0">
        <w:t>]</w:t>
      </w:r>
      <w:r>
        <w:rPr>
          <w:i/>
          <w:iCs/>
        </w:rPr>
        <w:t xml:space="preserve"> </w:t>
      </w:r>
      <w:r>
        <w:t>CBP is an annual series and has included ZIP Code Business Patterns data since 1986. Full release of CBP statistics is available approximately 16 months after each reference year. CBP data is easily accessible for download.</w:t>
      </w:r>
    </w:p>
    <w:p w14:paraId="71398A12" w14:textId="77777777" w:rsidR="008567CE" w:rsidRDefault="008567CE" w:rsidP="008567CE">
      <w:pPr>
        <w:pStyle w:val="ListParagraph"/>
        <w:spacing w:after="0" w:line="240" w:lineRule="auto"/>
        <w:ind w:left="1440"/>
        <w:rPr>
          <w:bCs/>
        </w:rPr>
      </w:pPr>
    </w:p>
    <w:p w14:paraId="5D40F9D9" w14:textId="77777777" w:rsidR="003B1DA4" w:rsidRPr="00B21683" w:rsidRDefault="003B1DA4" w:rsidP="003B1DA4">
      <w:pPr>
        <w:pStyle w:val="ListParagraph"/>
        <w:numPr>
          <w:ilvl w:val="0"/>
          <w:numId w:val="11"/>
        </w:numPr>
        <w:spacing w:after="0" w:line="240" w:lineRule="auto"/>
        <w:rPr>
          <w:b/>
        </w:rPr>
      </w:pPr>
      <w:r w:rsidRPr="00B21683">
        <w:rPr>
          <w:b/>
        </w:rPr>
        <w:t>Limitations</w:t>
      </w:r>
      <w:r w:rsidRPr="00B21683">
        <w:rPr>
          <w:bCs/>
        </w:rPr>
        <w:t>:</w:t>
      </w:r>
      <w:r w:rsidRPr="00B21683">
        <w:rPr>
          <w:b/>
        </w:rPr>
        <w:t xml:space="preserve"> </w:t>
      </w:r>
    </w:p>
    <w:p w14:paraId="2E14F7A8" w14:textId="15062BD9" w:rsidR="003B1DA4" w:rsidRPr="00C11C6B" w:rsidRDefault="003B1DA4" w:rsidP="00190FCE">
      <w:pPr>
        <w:pStyle w:val="ListParagraph"/>
        <w:numPr>
          <w:ilvl w:val="1"/>
          <w:numId w:val="11"/>
        </w:numPr>
        <w:spacing w:after="0" w:line="240" w:lineRule="auto"/>
        <w:rPr>
          <w:b/>
          <w:bCs/>
        </w:rPr>
      </w:pPr>
      <w:r w:rsidRPr="00D23A34">
        <w:rPr>
          <w:bCs/>
        </w:rPr>
        <w:t>[</w:t>
      </w:r>
      <w:r w:rsidR="00CD6D82" w:rsidRPr="00D23A34">
        <w:rPr>
          <w:bCs/>
          <w:i/>
          <w:iCs/>
        </w:rPr>
        <w:t>Equity</w:t>
      </w:r>
      <w:r w:rsidRPr="00D23A34">
        <w:rPr>
          <w:bCs/>
        </w:rPr>
        <w:t>]</w:t>
      </w:r>
      <w:r w:rsidR="00036E65" w:rsidRPr="00D23A34">
        <w:rPr>
          <w:bCs/>
        </w:rPr>
        <w:t xml:space="preserve"> &amp; </w:t>
      </w:r>
      <w:r w:rsidR="007A6E36" w:rsidRPr="00D23A34">
        <w:rPr>
          <w:bCs/>
        </w:rPr>
        <w:t>[</w:t>
      </w:r>
      <w:r w:rsidR="007A6E36" w:rsidRPr="00D23A34">
        <w:rPr>
          <w:bCs/>
          <w:i/>
          <w:iCs/>
        </w:rPr>
        <w:t>Relevance and Usability</w:t>
      </w:r>
      <w:r w:rsidR="007A6E36" w:rsidRPr="00D23A34">
        <w:rPr>
          <w:bCs/>
        </w:rPr>
        <w:t>]</w:t>
      </w:r>
      <w:r w:rsidRPr="00D23A34">
        <w:rPr>
          <w:bCs/>
        </w:rPr>
        <w:t xml:space="preserve"> </w:t>
      </w:r>
      <w:r w:rsidR="00036E65" w:rsidRPr="00D23A34">
        <w:rPr>
          <w:bCs/>
        </w:rPr>
        <w:t>This measure does not account for the relative q</w:t>
      </w:r>
      <w:r w:rsidR="002F27CB" w:rsidRPr="00D23A34">
        <w:rPr>
          <w:bCs/>
        </w:rPr>
        <w:t>uality</w:t>
      </w:r>
      <w:r w:rsidR="00485BDC">
        <w:rPr>
          <w:bCs/>
        </w:rPr>
        <w:t xml:space="preserve"> and accessibility</w:t>
      </w:r>
      <w:r w:rsidR="002F27CB" w:rsidRPr="00D23A34">
        <w:rPr>
          <w:bCs/>
        </w:rPr>
        <w:t xml:space="preserve"> of third </w:t>
      </w:r>
      <w:r w:rsidR="00D23A34" w:rsidRPr="00D23A34">
        <w:rPr>
          <w:bCs/>
        </w:rPr>
        <w:t>places and relies on the assumption that</w:t>
      </w:r>
      <w:r w:rsidR="00CD546D">
        <w:rPr>
          <w:bCs/>
        </w:rPr>
        <w:t xml:space="preserve"> the presence of</w:t>
      </w:r>
      <w:r w:rsidR="00D23A34" w:rsidRPr="00D23A34">
        <w:rPr>
          <w:bCs/>
        </w:rPr>
        <w:t xml:space="preserve"> more third places is always better for mental wellbeing. </w:t>
      </w:r>
      <w:r w:rsidR="00BF75AF">
        <w:rPr>
          <w:bCs/>
        </w:rPr>
        <w:t xml:space="preserve">This measure also relies on the assumption that third places will be free of discrimination </w:t>
      </w:r>
      <w:r w:rsidR="003E2D6F">
        <w:rPr>
          <w:bCs/>
        </w:rPr>
        <w:t>and social marginalization, which is not always the case.</w:t>
      </w:r>
    </w:p>
    <w:p w14:paraId="28CCD270" w14:textId="42CA4FF2" w:rsidR="00C11C6B" w:rsidRPr="00C11C6B" w:rsidRDefault="00C11C6B" w:rsidP="00C11C6B">
      <w:pPr>
        <w:pStyle w:val="ListParagraph"/>
        <w:numPr>
          <w:ilvl w:val="1"/>
          <w:numId w:val="11"/>
        </w:numPr>
        <w:spacing w:after="0" w:line="240" w:lineRule="auto"/>
        <w:rPr>
          <w:i/>
          <w:iCs/>
        </w:rPr>
      </w:pPr>
      <w:r w:rsidRPr="00D829C0">
        <w:t>[</w:t>
      </w:r>
      <w:r w:rsidRPr="00EC7B2A">
        <w:rPr>
          <w:i/>
          <w:iCs/>
        </w:rPr>
        <w:t>Relevance and Usability</w:t>
      </w:r>
      <w:r w:rsidRPr="00D829C0">
        <w:t>]</w:t>
      </w:r>
      <w:r w:rsidRPr="00EC7B2A">
        <w:rPr>
          <w:i/>
          <w:iCs/>
        </w:rPr>
        <w:t xml:space="preserve"> </w:t>
      </w:r>
      <w:r>
        <w:t>The CBP suppresses data for ZIP Codes with fewer than 3 establishments.</w:t>
      </w:r>
      <w:r>
        <w:rPr>
          <w:rStyle w:val="FootnoteReference"/>
        </w:rPr>
        <w:footnoteReference w:id="8"/>
      </w:r>
      <w:r>
        <w:t xml:space="preserve"> As a result, ZIP Codes with between 0 to 2 third places cannot be distinguished from </w:t>
      </w:r>
      <w:proofErr w:type="gramStart"/>
      <w:r>
        <w:t>each other</w:t>
      </w:r>
      <w:proofErr w:type="gramEnd"/>
      <w:r>
        <w:t xml:space="preserve"> and all are assigned a density value of zero. As a result, this measure will primarily capture variation in third places density for </w:t>
      </w:r>
      <w:r w:rsidR="003D2FC0">
        <w:t>areas with more third places</w:t>
      </w:r>
      <w:r>
        <w:t>.</w:t>
      </w:r>
    </w:p>
    <w:p w14:paraId="3E6875BC" w14:textId="77777777" w:rsidR="00D23A34" w:rsidRPr="00AE261C" w:rsidRDefault="00D23A34" w:rsidP="00D23A34">
      <w:pPr>
        <w:pStyle w:val="ListParagraph"/>
        <w:spacing w:after="0" w:line="240" w:lineRule="auto"/>
        <w:ind w:left="1440"/>
        <w:rPr>
          <w:b/>
          <w:bCs/>
        </w:rPr>
      </w:pPr>
    </w:p>
    <w:p w14:paraId="07FA6C77" w14:textId="77777777" w:rsidR="003B1DA4" w:rsidRPr="00FA2ED2" w:rsidRDefault="003B1DA4" w:rsidP="003B1DA4">
      <w:r w:rsidRPr="00A16408">
        <w:rPr>
          <w:b/>
          <w:bCs/>
        </w:rPr>
        <w:t>Calculation</w:t>
      </w:r>
      <w:r>
        <w:t>:</w:t>
      </w:r>
    </w:p>
    <w:p w14:paraId="7E0432BF" w14:textId="59CB6524" w:rsidR="00003AF6" w:rsidRDefault="009438E8" w:rsidP="003B1DA4">
      <w:pPr>
        <w:jc w:val="center"/>
      </w:pPr>
      <m:oMathPara>
        <m:oMath>
          <m:r>
            <w:rPr>
              <w:rFonts w:ascii="Cambria Math" w:hAnsi="Cambria Math"/>
            </w:rPr>
            <m:t xml:space="preserve">Third Places = </m:t>
          </m:r>
          <m:f>
            <m:fPr>
              <m:ctrlPr>
                <w:rPr>
                  <w:rFonts w:ascii="Cambria Math" w:hAnsi="Cambria Math"/>
                  <w:i/>
                </w:rPr>
              </m:ctrlPr>
            </m:fPr>
            <m:num>
              <m:r>
                <w:rPr>
                  <w:rFonts w:ascii="Cambria Math" w:hAnsi="Cambria Math"/>
                </w:rPr>
                <m:t># third places</m:t>
              </m:r>
            </m:num>
            <m:den>
              <m:r>
                <w:rPr>
                  <w:rFonts w:ascii="Cambria Math" w:hAnsi="Cambria Math"/>
                </w:rPr>
                <m:t>population</m:t>
              </m:r>
            </m:den>
          </m:f>
          <m:r>
            <w:rPr>
              <w:rFonts w:ascii="Cambria Math" w:eastAsiaTheme="minorEastAsia" w:hAnsi="Cambria Math"/>
            </w:rPr>
            <m:t xml:space="preserve"> x 100,000 people</m:t>
          </m:r>
        </m:oMath>
      </m:oMathPara>
    </w:p>
    <w:p w14:paraId="74570B0C" w14:textId="782E0F6B" w:rsidR="003B1DA4" w:rsidRDefault="0078675A" w:rsidP="001B3690">
      <w:r>
        <w:t>NAICS codes</w:t>
      </w:r>
      <w:r w:rsidR="009D1D7D">
        <w:t xml:space="preserve"> </w:t>
      </w:r>
      <w:r w:rsidR="00192B3E">
        <w:t xml:space="preserve">for </w:t>
      </w:r>
      <w:r w:rsidR="00247BAA">
        <w:t xml:space="preserve">third places </w:t>
      </w:r>
      <w:r w:rsidR="009D1D7D">
        <w:t>were</w:t>
      </w:r>
      <w:r w:rsidR="001B3690">
        <w:t xml:space="preserve"> </w:t>
      </w:r>
      <w:r w:rsidR="00DC415F">
        <w:t>initially selected</w:t>
      </w:r>
      <w:r w:rsidR="00E96515">
        <w:t xml:space="preserve"> based on </w:t>
      </w:r>
      <w:r w:rsidR="008713D6">
        <w:t>a previous study examining closures of third places</w:t>
      </w:r>
      <w:r>
        <w:t>.</w:t>
      </w:r>
      <w:r>
        <w:rPr>
          <w:rStyle w:val="FootnoteReference"/>
        </w:rPr>
        <w:footnoteReference w:id="9"/>
      </w:r>
      <w:r>
        <w:t xml:space="preserve"> </w:t>
      </w:r>
      <w:r w:rsidR="00207CD6">
        <w:t>From this starting point, NAICS codes</w:t>
      </w:r>
      <w:r w:rsidR="00B4381D">
        <w:t xml:space="preserve"> tha</w:t>
      </w:r>
      <w:r w:rsidR="00A77EB0">
        <w:t>t were associated with</w:t>
      </w:r>
      <w:r w:rsidR="002125F7">
        <w:t xml:space="preserve"> </w:t>
      </w:r>
      <w:r w:rsidR="00A77EB0">
        <w:t xml:space="preserve">addiction (ex: </w:t>
      </w:r>
      <w:r w:rsidR="00232435">
        <w:t>off-</w:t>
      </w:r>
      <w:proofErr w:type="gramStart"/>
      <w:r w:rsidR="00232435">
        <w:t>premise</w:t>
      </w:r>
      <w:proofErr w:type="gramEnd"/>
      <w:r w:rsidR="00232435">
        <w:t xml:space="preserve"> alco</w:t>
      </w:r>
      <w:r w:rsidR="000E787D">
        <w:t>hol outlets</w:t>
      </w:r>
      <w:r w:rsidR="009F4010">
        <w:t xml:space="preserve">, gambling) </w:t>
      </w:r>
      <w:r w:rsidR="00B4381D">
        <w:t>or that were based on the physical location of a</w:t>
      </w:r>
      <w:r w:rsidR="00247BAA">
        <w:t xml:space="preserve"> business that is likely not accessible to the public were removed. </w:t>
      </w:r>
      <w:r w:rsidR="00852B8E">
        <w:t xml:space="preserve">Codes </w:t>
      </w:r>
      <w:r w:rsidR="00852B8E" w:rsidRPr="00852B8E">
        <w:t xml:space="preserve">were also chosen </w:t>
      </w:r>
      <w:r w:rsidR="006763D2">
        <w:t>to avoid</w:t>
      </w:r>
      <w:r w:rsidR="00852B8E" w:rsidRPr="00852B8E">
        <w:t xml:space="preserve"> double count</w:t>
      </w:r>
      <w:r w:rsidR="006763D2">
        <w:t>ing</w:t>
      </w:r>
      <w:r w:rsidR="00852B8E" w:rsidRPr="00852B8E">
        <w:t xml:space="preserve"> any NAICS codes, as codes have a nesting format (subsectors are contained within sectors). </w:t>
      </w:r>
      <w:r w:rsidR="00247BAA">
        <w:t>As a result,</w:t>
      </w:r>
      <w:r>
        <w:t xml:space="preserve"> NAICS codes in the following domains were used</w:t>
      </w:r>
      <w:r w:rsidR="006763D2">
        <w:t xml:space="preserve"> to </w:t>
      </w:r>
      <w:r w:rsidR="009C1C8D">
        <w:t>identify third places</w:t>
      </w:r>
      <w:r w:rsidR="00247BAA">
        <w:t>:</w:t>
      </w:r>
    </w:p>
    <w:p w14:paraId="054A9272" w14:textId="69194D8E" w:rsidR="006C08A9" w:rsidRPr="00E67067" w:rsidRDefault="00D615E1" w:rsidP="009D1D7D">
      <w:pPr>
        <w:pStyle w:val="ListParagraph"/>
        <w:numPr>
          <w:ilvl w:val="0"/>
          <w:numId w:val="6"/>
        </w:numPr>
      </w:pPr>
      <w:r>
        <w:rPr>
          <w:rFonts w:ascii="Calibri" w:hAnsi="Calibri" w:cs="Calibri"/>
        </w:rPr>
        <w:t>performing arts companies (Subsector 7111</w:t>
      </w:r>
      <w:proofErr w:type="gramStart"/>
      <w:r>
        <w:rPr>
          <w:rFonts w:ascii="Calibri" w:hAnsi="Calibri" w:cs="Calibri"/>
        </w:rPr>
        <w:t>)</w:t>
      </w:r>
      <w:r w:rsidR="0089783A">
        <w:rPr>
          <w:rFonts w:ascii="Calibri" w:hAnsi="Calibri" w:cs="Calibri"/>
        </w:rPr>
        <w:t>;</w:t>
      </w:r>
      <w:proofErr w:type="gramEnd"/>
    </w:p>
    <w:p w14:paraId="34DC35FC" w14:textId="77777777" w:rsidR="006C08A9" w:rsidRPr="00E67067" w:rsidRDefault="006C08A9" w:rsidP="009D1D7D">
      <w:pPr>
        <w:pStyle w:val="ListParagraph"/>
        <w:numPr>
          <w:ilvl w:val="0"/>
          <w:numId w:val="6"/>
        </w:numPr>
      </w:pPr>
      <w:r>
        <w:rPr>
          <w:rFonts w:ascii="Calibri" w:hAnsi="Calibri" w:cs="Calibri"/>
        </w:rPr>
        <w:t>spectator sports (Subsector 7112</w:t>
      </w:r>
      <w:proofErr w:type="gramStart"/>
      <w:r>
        <w:rPr>
          <w:rFonts w:ascii="Calibri" w:hAnsi="Calibri" w:cs="Calibri"/>
        </w:rPr>
        <w:t>);</w:t>
      </w:r>
      <w:proofErr w:type="gramEnd"/>
    </w:p>
    <w:p w14:paraId="1AD72265" w14:textId="77777777" w:rsidR="00BC421B" w:rsidRPr="00E67067" w:rsidRDefault="006C08A9" w:rsidP="009D1D7D">
      <w:pPr>
        <w:pStyle w:val="ListParagraph"/>
        <w:numPr>
          <w:ilvl w:val="0"/>
          <w:numId w:val="6"/>
        </w:numPr>
      </w:pPr>
      <w:r>
        <w:rPr>
          <w:rFonts w:ascii="Calibri" w:hAnsi="Calibri" w:cs="Calibri"/>
        </w:rPr>
        <w:t>museums, historical sites, and similar instit</w:t>
      </w:r>
      <w:r w:rsidR="00BC421B">
        <w:rPr>
          <w:rFonts w:ascii="Calibri" w:hAnsi="Calibri" w:cs="Calibri"/>
        </w:rPr>
        <w:t>utions (Subsector 712</w:t>
      </w:r>
      <w:proofErr w:type="gramStart"/>
      <w:r w:rsidR="00BC421B">
        <w:rPr>
          <w:rFonts w:ascii="Calibri" w:hAnsi="Calibri" w:cs="Calibri"/>
        </w:rPr>
        <w:t>);</w:t>
      </w:r>
      <w:proofErr w:type="gramEnd"/>
    </w:p>
    <w:p w14:paraId="72982671" w14:textId="77777777" w:rsidR="00EC3FBC" w:rsidRPr="00E67067" w:rsidRDefault="00BC421B" w:rsidP="009D1D7D">
      <w:pPr>
        <w:pStyle w:val="ListParagraph"/>
        <w:numPr>
          <w:ilvl w:val="0"/>
          <w:numId w:val="6"/>
        </w:numPr>
      </w:pPr>
      <w:r>
        <w:rPr>
          <w:rFonts w:ascii="Calibri" w:hAnsi="Calibri" w:cs="Calibri"/>
        </w:rPr>
        <w:t>amusement parks and arcades (Subsector 7131</w:t>
      </w:r>
      <w:proofErr w:type="gramStart"/>
      <w:r>
        <w:rPr>
          <w:rFonts w:ascii="Calibri" w:hAnsi="Calibri" w:cs="Calibri"/>
        </w:rPr>
        <w:t>);</w:t>
      </w:r>
      <w:proofErr w:type="gramEnd"/>
    </w:p>
    <w:p w14:paraId="034DDEAC" w14:textId="0D2F4E9E" w:rsidR="0089783A" w:rsidRPr="0089783A" w:rsidRDefault="00EC3FBC" w:rsidP="009D1D7D">
      <w:pPr>
        <w:pStyle w:val="ListParagraph"/>
        <w:numPr>
          <w:ilvl w:val="0"/>
          <w:numId w:val="6"/>
        </w:numPr>
      </w:pPr>
      <w:r>
        <w:rPr>
          <w:rFonts w:ascii="Calibri" w:hAnsi="Calibri" w:cs="Calibri"/>
        </w:rPr>
        <w:t>other amusement and recreation industries (Subsector 7139</w:t>
      </w:r>
      <w:proofErr w:type="gramStart"/>
      <w:r>
        <w:rPr>
          <w:rFonts w:ascii="Calibri" w:hAnsi="Calibri" w:cs="Calibri"/>
        </w:rPr>
        <w:t>);</w:t>
      </w:r>
      <w:proofErr w:type="gramEnd"/>
      <w:r w:rsidR="0089783A">
        <w:rPr>
          <w:rFonts w:ascii="Calibri" w:hAnsi="Calibri" w:cs="Calibri"/>
        </w:rPr>
        <w:t xml:space="preserve"> </w:t>
      </w:r>
    </w:p>
    <w:p w14:paraId="652AF20A" w14:textId="77777777" w:rsidR="0089783A" w:rsidRPr="0089783A" w:rsidRDefault="0089783A" w:rsidP="009D1D7D">
      <w:pPr>
        <w:pStyle w:val="ListParagraph"/>
        <w:numPr>
          <w:ilvl w:val="0"/>
          <w:numId w:val="6"/>
        </w:numPr>
      </w:pPr>
      <w:r>
        <w:rPr>
          <w:rFonts w:ascii="Calibri" w:hAnsi="Calibri" w:cs="Calibri"/>
        </w:rPr>
        <w:t>civic and social organizations (Subsector 8134</w:t>
      </w:r>
      <w:proofErr w:type="gramStart"/>
      <w:r>
        <w:rPr>
          <w:rFonts w:ascii="Calibri" w:hAnsi="Calibri" w:cs="Calibri"/>
        </w:rPr>
        <w:t>);</w:t>
      </w:r>
      <w:proofErr w:type="gramEnd"/>
      <w:r>
        <w:rPr>
          <w:rFonts w:ascii="Calibri" w:hAnsi="Calibri" w:cs="Calibri"/>
        </w:rPr>
        <w:t xml:space="preserve"> </w:t>
      </w:r>
    </w:p>
    <w:p w14:paraId="0234B1CA" w14:textId="056A39AB" w:rsidR="00E76FC9" w:rsidRPr="00322E29" w:rsidRDefault="00B62A7F" w:rsidP="009D1D7D">
      <w:pPr>
        <w:pStyle w:val="ListParagraph"/>
        <w:numPr>
          <w:ilvl w:val="0"/>
          <w:numId w:val="6"/>
        </w:numPr>
      </w:pPr>
      <w:r>
        <w:rPr>
          <w:rFonts w:ascii="Calibri" w:hAnsi="Calibri" w:cs="Calibri"/>
        </w:rPr>
        <w:t>grocery stores (</w:t>
      </w:r>
      <w:r w:rsidR="0021500E">
        <w:rPr>
          <w:rFonts w:ascii="Calibri" w:hAnsi="Calibri" w:cs="Calibri"/>
        </w:rPr>
        <w:t>S</w:t>
      </w:r>
      <w:r w:rsidR="00E76FC9">
        <w:rPr>
          <w:rFonts w:ascii="Calibri" w:hAnsi="Calibri" w:cs="Calibri"/>
        </w:rPr>
        <w:t>ubsector 4451</w:t>
      </w:r>
      <w:proofErr w:type="gramStart"/>
      <w:r w:rsidR="00E76FC9">
        <w:rPr>
          <w:rFonts w:ascii="Calibri" w:hAnsi="Calibri" w:cs="Calibri"/>
        </w:rPr>
        <w:t>)</w:t>
      </w:r>
      <w:r w:rsidR="0089783A">
        <w:rPr>
          <w:rFonts w:ascii="Calibri" w:hAnsi="Calibri" w:cs="Calibri"/>
        </w:rPr>
        <w:t>;</w:t>
      </w:r>
      <w:proofErr w:type="gramEnd"/>
    </w:p>
    <w:p w14:paraId="7E3E61FE" w14:textId="7229C3C1" w:rsidR="0089783A" w:rsidRPr="0089783A" w:rsidRDefault="00E76FC9" w:rsidP="009D1D7D">
      <w:pPr>
        <w:pStyle w:val="ListParagraph"/>
        <w:numPr>
          <w:ilvl w:val="0"/>
          <w:numId w:val="6"/>
        </w:numPr>
      </w:pPr>
      <w:r>
        <w:rPr>
          <w:rFonts w:ascii="Calibri" w:hAnsi="Calibri" w:cs="Calibri"/>
        </w:rPr>
        <w:t>specialty food stores (</w:t>
      </w:r>
      <w:r w:rsidR="0021500E">
        <w:rPr>
          <w:rFonts w:ascii="Calibri" w:hAnsi="Calibri" w:cs="Calibri"/>
        </w:rPr>
        <w:t>S</w:t>
      </w:r>
      <w:r>
        <w:rPr>
          <w:rFonts w:ascii="Calibri" w:hAnsi="Calibri" w:cs="Calibri"/>
        </w:rPr>
        <w:t>ubsector 4452</w:t>
      </w:r>
      <w:proofErr w:type="gramStart"/>
      <w:r>
        <w:rPr>
          <w:rFonts w:ascii="Calibri" w:hAnsi="Calibri" w:cs="Calibri"/>
        </w:rPr>
        <w:t>);</w:t>
      </w:r>
      <w:proofErr w:type="gramEnd"/>
      <w:r w:rsidR="0089783A">
        <w:rPr>
          <w:rFonts w:ascii="Calibri" w:hAnsi="Calibri" w:cs="Calibri"/>
        </w:rPr>
        <w:t xml:space="preserve"> </w:t>
      </w:r>
    </w:p>
    <w:p w14:paraId="1CA8D2D0" w14:textId="573313E9" w:rsidR="0089783A" w:rsidRPr="00322E29" w:rsidRDefault="00192F67" w:rsidP="009D1D7D">
      <w:pPr>
        <w:pStyle w:val="ListParagraph"/>
        <w:numPr>
          <w:ilvl w:val="0"/>
          <w:numId w:val="6"/>
        </w:numPr>
      </w:pPr>
      <w:r>
        <w:rPr>
          <w:rFonts w:ascii="Calibri" w:hAnsi="Calibri" w:cs="Calibri"/>
        </w:rPr>
        <w:t>mobile food services (Subsector 72233</w:t>
      </w:r>
      <w:proofErr w:type="gramStart"/>
      <w:r>
        <w:rPr>
          <w:rFonts w:ascii="Calibri" w:hAnsi="Calibri" w:cs="Calibri"/>
        </w:rPr>
        <w:t>);</w:t>
      </w:r>
      <w:proofErr w:type="gramEnd"/>
    </w:p>
    <w:p w14:paraId="2742CFA0" w14:textId="7681C8FB" w:rsidR="00192F67" w:rsidRPr="00322E29" w:rsidRDefault="00192F67" w:rsidP="009D1D7D">
      <w:pPr>
        <w:pStyle w:val="ListParagraph"/>
        <w:numPr>
          <w:ilvl w:val="0"/>
          <w:numId w:val="6"/>
        </w:numPr>
      </w:pPr>
      <w:r>
        <w:rPr>
          <w:rFonts w:ascii="Calibri" w:hAnsi="Calibri" w:cs="Calibri"/>
        </w:rPr>
        <w:lastRenderedPageBreak/>
        <w:t>drinking places (alcoholic beverages) (Subsector</w:t>
      </w:r>
      <w:r w:rsidR="00742596">
        <w:rPr>
          <w:rFonts w:ascii="Calibri" w:hAnsi="Calibri" w:cs="Calibri"/>
        </w:rPr>
        <w:t xml:space="preserve"> 7224</w:t>
      </w:r>
      <w:proofErr w:type="gramStart"/>
      <w:r w:rsidR="00742596">
        <w:rPr>
          <w:rFonts w:ascii="Calibri" w:hAnsi="Calibri" w:cs="Calibri"/>
        </w:rPr>
        <w:t>);</w:t>
      </w:r>
      <w:proofErr w:type="gramEnd"/>
    </w:p>
    <w:p w14:paraId="6C083C2B" w14:textId="26BF6166" w:rsidR="00742596" w:rsidRPr="0089783A" w:rsidRDefault="00742596" w:rsidP="009D1D7D">
      <w:pPr>
        <w:pStyle w:val="ListParagraph"/>
        <w:numPr>
          <w:ilvl w:val="0"/>
          <w:numId w:val="6"/>
        </w:numPr>
      </w:pPr>
      <w:r>
        <w:rPr>
          <w:rFonts w:ascii="Calibri" w:hAnsi="Calibri" w:cs="Calibri"/>
        </w:rPr>
        <w:t>restaurants and other eating places (Subsector 7225)</w:t>
      </w:r>
    </w:p>
    <w:p w14:paraId="4E6D1947" w14:textId="676DC380" w:rsidR="0089783A" w:rsidRPr="00322E29" w:rsidRDefault="0089783A" w:rsidP="009D1D7D">
      <w:pPr>
        <w:pStyle w:val="ListParagraph"/>
        <w:numPr>
          <w:ilvl w:val="0"/>
          <w:numId w:val="6"/>
        </w:numPr>
      </w:pPr>
      <w:r>
        <w:rPr>
          <w:rFonts w:ascii="Calibri" w:hAnsi="Calibri" w:cs="Calibri"/>
        </w:rPr>
        <w:t>libraries and archives (Subsector 51912</w:t>
      </w:r>
      <w:proofErr w:type="gramStart"/>
      <w:r>
        <w:rPr>
          <w:rFonts w:ascii="Calibri" w:hAnsi="Calibri" w:cs="Calibri"/>
        </w:rPr>
        <w:t>);</w:t>
      </w:r>
      <w:proofErr w:type="gramEnd"/>
      <w:r>
        <w:rPr>
          <w:rFonts w:ascii="Calibri" w:hAnsi="Calibri" w:cs="Calibri"/>
        </w:rPr>
        <w:t xml:space="preserve"> </w:t>
      </w:r>
    </w:p>
    <w:p w14:paraId="78F1E734" w14:textId="19EC5E92" w:rsidR="0021500E" w:rsidRPr="0089783A" w:rsidRDefault="0021500E" w:rsidP="009D1D7D">
      <w:pPr>
        <w:pStyle w:val="ListParagraph"/>
        <w:numPr>
          <w:ilvl w:val="0"/>
          <w:numId w:val="6"/>
        </w:numPr>
      </w:pPr>
      <w:r>
        <w:rPr>
          <w:rFonts w:ascii="Calibri" w:hAnsi="Calibri" w:cs="Calibri"/>
        </w:rPr>
        <w:t>all other information services (Subsector</w:t>
      </w:r>
      <w:r w:rsidR="00D615E1">
        <w:rPr>
          <w:rFonts w:ascii="Calibri" w:hAnsi="Calibri" w:cs="Calibri"/>
        </w:rPr>
        <w:t xml:space="preserve"> 51919</w:t>
      </w:r>
      <w:proofErr w:type="gramStart"/>
      <w:r w:rsidR="00D615E1">
        <w:rPr>
          <w:rFonts w:ascii="Calibri" w:hAnsi="Calibri" w:cs="Calibri"/>
        </w:rPr>
        <w:t>);</w:t>
      </w:r>
      <w:proofErr w:type="gramEnd"/>
    </w:p>
    <w:p w14:paraId="7E446F21" w14:textId="5D8FB3B9" w:rsidR="00FE3CC6" w:rsidRPr="00322E29" w:rsidRDefault="0089783A" w:rsidP="009D1D7D">
      <w:pPr>
        <w:pStyle w:val="ListParagraph"/>
        <w:numPr>
          <w:ilvl w:val="0"/>
          <w:numId w:val="6"/>
        </w:numPr>
      </w:pPr>
      <w:r>
        <w:rPr>
          <w:rFonts w:ascii="Calibri" w:hAnsi="Calibri" w:cs="Calibri"/>
        </w:rPr>
        <w:t xml:space="preserve">personal </w:t>
      </w:r>
      <w:r w:rsidR="00742596">
        <w:rPr>
          <w:rFonts w:ascii="Calibri" w:hAnsi="Calibri" w:cs="Calibri"/>
        </w:rPr>
        <w:t>care</w:t>
      </w:r>
      <w:r>
        <w:rPr>
          <w:rFonts w:ascii="Calibri" w:hAnsi="Calibri" w:cs="Calibri"/>
        </w:rPr>
        <w:t xml:space="preserve"> services (Subsector 812</w:t>
      </w:r>
      <w:r w:rsidR="00742596">
        <w:rPr>
          <w:rFonts w:ascii="Calibri" w:hAnsi="Calibri" w:cs="Calibri"/>
        </w:rPr>
        <w:t>1</w:t>
      </w:r>
      <w:proofErr w:type="gramStart"/>
      <w:r>
        <w:rPr>
          <w:rFonts w:ascii="Calibri" w:hAnsi="Calibri" w:cs="Calibri"/>
        </w:rPr>
        <w:t>);</w:t>
      </w:r>
      <w:proofErr w:type="gramEnd"/>
    </w:p>
    <w:p w14:paraId="1C7634F8" w14:textId="77777777" w:rsidR="00FE3CC6" w:rsidRPr="00322E29" w:rsidRDefault="00FE3CC6" w:rsidP="009D1D7D">
      <w:pPr>
        <w:pStyle w:val="ListParagraph"/>
        <w:numPr>
          <w:ilvl w:val="0"/>
          <w:numId w:val="6"/>
        </w:numPr>
      </w:pPr>
      <w:r>
        <w:rPr>
          <w:rFonts w:ascii="Calibri" w:hAnsi="Calibri" w:cs="Calibri"/>
        </w:rPr>
        <w:t>funeral homes and funeral services (Subsector 81221</w:t>
      </w:r>
      <w:proofErr w:type="gramStart"/>
      <w:r>
        <w:rPr>
          <w:rFonts w:ascii="Calibri" w:hAnsi="Calibri" w:cs="Calibri"/>
        </w:rPr>
        <w:t>);</w:t>
      </w:r>
      <w:proofErr w:type="gramEnd"/>
    </w:p>
    <w:p w14:paraId="4EB3E60D" w14:textId="7B37A9FA" w:rsidR="001A4F65" w:rsidRPr="00322E29" w:rsidRDefault="00A44180" w:rsidP="009D1D7D">
      <w:pPr>
        <w:pStyle w:val="ListParagraph"/>
        <w:numPr>
          <w:ilvl w:val="0"/>
          <w:numId w:val="6"/>
        </w:numPr>
      </w:pPr>
      <w:r>
        <w:rPr>
          <w:rFonts w:ascii="Calibri" w:hAnsi="Calibri" w:cs="Calibri"/>
        </w:rPr>
        <w:t>cemeteries</w:t>
      </w:r>
      <w:r w:rsidR="001A4F65">
        <w:rPr>
          <w:rFonts w:ascii="Calibri" w:hAnsi="Calibri" w:cs="Calibri"/>
        </w:rPr>
        <w:t xml:space="preserve"> and crematories (Subsector 81222</w:t>
      </w:r>
      <w:proofErr w:type="gramStart"/>
      <w:r w:rsidR="001A4F65">
        <w:rPr>
          <w:rFonts w:ascii="Calibri" w:hAnsi="Calibri" w:cs="Calibri"/>
        </w:rPr>
        <w:t>);</w:t>
      </w:r>
      <w:proofErr w:type="gramEnd"/>
    </w:p>
    <w:p w14:paraId="37FCA422" w14:textId="2180C2C6" w:rsidR="0089783A" w:rsidRPr="00322E29" w:rsidRDefault="001A4F65" w:rsidP="009D1D7D">
      <w:pPr>
        <w:pStyle w:val="ListParagraph"/>
        <w:numPr>
          <w:ilvl w:val="0"/>
          <w:numId w:val="6"/>
        </w:numPr>
      </w:pPr>
      <w:r>
        <w:rPr>
          <w:rFonts w:ascii="Calibri" w:hAnsi="Calibri" w:cs="Calibri"/>
        </w:rPr>
        <w:t>coin operated laundries and drycleaners (Subsector</w:t>
      </w:r>
      <w:r w:rsidR="00A44180">
        <w:rPr>
          <w:rFonts w:ascii="Calibri" w:hAnsi="Calibri" w:cs="Calibri"/>
        </w:rPr>
        <w:t xml:space="preserve"> 81231</w:t>
      </w:r>
      <w:proofErr w:type="gramStart"/>
      <w:r w:rsidR="00A44180">
        <w:rPr>
          <w:rFonts w:ascii="Calibri" w:hAnsi="Calibri" w:cs="Calibri"/>
        </w:rPr>
        <w:t>);</w:t>
      </w:r>
      <w:proofErr w:type="gramEnd"/>
      <w:r w:rsidR="0089783A">
        <w:rPr>
          <w:rFonts w:ascii="Calibri" w:hAnsi="Calibri" w:cs="Calibri"/>
        </w:rPr>
        <w:t xml:space="preserve"> </w:t>
      </w:r>
    </w:p>
    <w:p w14:paraId="63BCEF95" w14:textId="70507BAE" w:rsidR="00A44180" w:rsidRPr="00322E29" w:rsidRDefault="007B154B" w:rsidP="009D1D7D">
      <w:pPr>
        <w:pStyle w:val="ListParagraph"/>
        <w:numPr>
          <w:ilvl w:val="0"/>
          <w:numId w:val="6"/>
        </w:numPr>
      </w:pPr>
      <w:r>
        <w:rPr>
          <w:rFonts w:ascii="Calibri" w:hAnsi="Calibri" w:cs="Calibri"/>
        </w:rPr>
        <w:t>dry cleaning</w:t>
      </w:r>
      <w:r w:rsidR="00A44180">
        <w:rPr>
          <w:rFonts w:ascii="Calibri" w:hAnsi="Calibri" w:cs="Calibri"/>
        </w:rPr>
        <w:t xml:space="preserve"> and laundry services (except coin-operated) (Subsector </w:t>
      </w:r>
      <w:r w:rsidR="00AE68E3">
        <w:rPr>
          <w:rFonts w:ascii="Calibri" w:hAnsi="Calibri" w:cs="Calibri"/>
        </w:rPr>
        <w:t>81232</w:t>
      </w:r>
      <w:proofErr w:type="gramStart"/>
      <w:r w:rsidR="00AE68E3">
        <w:rPr>
          <w:rFonts w:ascii="Calibri" w:hAnsi="Calibri" w:cs="Calibri"/>
        </w:rPr>
        <w:t>);</w:t>
      </w:r>
      <w:proofErr w:type="gramEnd"/>
    </w:p>
    <w:p w14:paraId="299E4967" w14:textId="005388BB" w:rsidR="00AE68E3" w:rsidRPr="00322E29" w:rsidRDefault="00AE68E3" w:rsidP="009D1D7D">
      <w:pPr>
        <w:pStyle w:val="ListParagraph"/>
        <w:numPr>
          <w:ilvl w:val="0"/>
          <w:numId w:val="6"/>
        </w:numPr>
      </w:pPr>
      <w:r>
        <w:rPr>
          <w:rFonts w:ascii="Calibri" w:hAnsi="Calibri" w:cs="Calibri"/>
        </w:rPr>
        <w:t>pet care (except veterinary) services (Subsector 81291</w:t>
      </w:r>
      <w:proofErr w:type="gramStart"/>
      <w:r>
        <w:rPr>
          <w:rFonts w:ascii="Calibri" w:hAnsi="Calibri" w:cs="Calibri"/>
        </w:rPr>
        <w:t>);</w:t>
      </w:r>
      <w:proofErr w:type="gramEnd"/>
    </w:p>
    <w:p w14:paraId="1FB10B3C" w14:textId="05E4684D" w:rsidR="00AE68E3" w:rsidRPr="00322E29" w:rsidRDefault="00AE68E3" w:rsidP="009D1D7D">
      <w:pPr>
        <w:pStyle w:val="ListParagraph"/>
        <w:numPr>
          <w:ilvl w:val="0"/>
          <w:numId w:val="6"/>
        </w:numPr>
      </w:pPr>
      <w:r>
        <w:rPr>
          <w:rFonts w:ascii="Calibri" w:hAnsi="Calibri" w:cs="Calibri"/>
        </w:rPr>
        <w:t>photofinishing (Subsector</w:t>
      </w:r>
      <w:r w:rsidR="00D00055">
        <w:rPr>
          <w:rFonts w:ascii="Calibri" w:hAnsi="Calibri" w:cs="Calibri"/>
        </w:rPr>
        <w:t xml:space="preserve"> 81292</w:t>
      </w:r>
      <w:proofErr w:type="gramStart"/>
      <w:r w:rsidR="00D00055">
        <w:rPr>
          <w:rFonts w:ascii="Calibri" w:hAnsi="Calibri" w:cs="Calibri"/>
        </w:rPr>
        <w:t>);</w:t>
      </w:r>
      <w:proofErr w:type="gramEnd"/>
    </w:p>
    <w:p w14:paraId="2681F6B0" w14:textId="4C3C6482" w:rsidR="00D00055" w:rsidRPr="00322E29" w:rsidRDefault="00D00055" w:rsidP="009D1D7D">
      <w:pPr>
        <w:pStyle w:val="ListParagraph"/>
        <w:numPr>
          <w:ilvl w:val="0"/>
          <w:numId w:val="6"/>
        </w:numPr>
      </w:pPr>
      <w:r>
        <w:rPr>
          <w:rFonts w:ascii="Calibri" w:hAnsi="Calibri" w:cs="Calibri"/>
        </w:rPr>
        <w:t>all other personal services (Subsector 81299</w:t>
      </w:r>
      <w:proofErr w:type="gramStart"/>
      <w:r>
        <w:rPr>
          <w:rFonts w:ascii="Calibri" w:hAnsi="Calibri" w:cs="Calibri"/>
        </w:rPr>
        <w:t>);</w:t>
      </w:r>
      <w:proofErr w:type="gramEnd"/>
    </w:p>
    <w:p w14:paraId="6F7D4869" w14:textId="773D9D64" w:rsidR="0089783A" w:rsidRPr="0089783A" w:rsidRDefault="00D00055" w:rsidP="00241366">
      <w:pPr>
        <w:pStyle w:val="ListParagraph"/>
        <w:numPr>
          <w:ilvl w:val="0"/>
          <w:numId w:val="6"/>
        </w:numPr>
      </w:pPr>
      <w:r>
        <w:rPr>
          <w:rFonts w:ascii="Calibri" w:hAnsi="Calibri" w:cs="Calibri"/>
        </w:rPr>
        <w:t>religious, grantmaking</w:t>
      </w:r>
      <w:r w:rsidR="00D51D84">
        <w:rPr>
          <w:rFonts w:ascii="Calibri" w:hAnsi="Calibri" w:cs="Calibri"/>
        </w:rPr>
        <w:t>, civic, professional, and similar organizations (Subsector 813);</w:t>
      </w:r>
      <w:r w:rsidR="0089783A">
        <w:rPr>
          <w:rFonts w:ascii="Calibri" w:hAnsi="Calibri" w:cs="Calibri"/>
        </w:rPr>
        <w:t xml:space="preserve"> and </w:t>
      </w:r>
    </w:p>
    <w:p w14:paraId="1A8F4E88" w14:textId="72317C5F" w:rsidR="009D1D7D" w:rsidRDefault="0089783A" w:rsidP="009D1D7D">
      <w:pPr>
        <w:pStyle w:val="ListParagraph"/>
        <w:numPr>
          <w:ilvl w:val="0"/>
          <w:numId w:val="6"/>
        </w:numPr>
      </w:pPr>
      <w:r>
        <w:rPr>
          <w:rFonts w:ascii="Calibri" w:hAnsi="Calibri" w:cs="Calibri"/>
        </w:rPr>
        <w:t>hobby retail stores (Subsector 451)</w:t>
      </w:r>
    </w:p>
    <w:p w14:paraId="4A4FB575" w14:textId="77777777" w:rsidR="003B1DA4" w:rsidRDefault="003B1DA4" w:rsidP="003B1DA4">
      <w:pPr>
        <w:jc w:val="center"/>
      </w:pPr>
    </w:p>
    <w:p w14:paraId="0291F324" w14:textId="77777777" w:rsidR="003B1DA4" w:rsidRDefault="003B1DA4" w:rsidP="00D35F3F">
      <w:pPr>
        <w:pStyle w:val="Heading1"/>
      </w:pPr>
    </w:p>
    <w:p w14:paraId="47062D12" w14:textId="2A5CD857" w:rsidR="003B7D83" w:rsidRDefault="003B7D83" w:rsidP="009624C1">
      <w:pPr>
        <w:pStyle w:val="ListParagraph"/>
      </w:pPr>
    </w:p>
    <w:sectPr w:rsidR="003B7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B91F" w14:textId="77777777" w:rsidR="003E1025" w:rsidRDefault="003E1025" w:rsidP="003B1DA4">
      <w:pPr>
        <w:spacing w:after="0" w:line="240" w:lineRule="auto"/>
      </w:pPr>
      <w:r>
        <w:separator/>
      </w:r>
    </w:p>
  </w:endnote>
  <w:endnote w:type="continuationSeparator" w:id="0">
    <w:p w14:paraId="6FF4C513" w14:textId="77777777" w:rsidR="003E1025" w:rsidRDefault="003E1025" w:rsidP="003B1DA4">
      <w:pPr>
        <w:spacing w:after="0" w:line="240" w:lineRule="auto"/>
      </w:pPr>
      <w:r>
        <w:continuationSeparator/>
      </w:r>
    </w:p>
  </w:endnote>
  <w:endnote w:type="continuationNotice" w:id="1">
    <w:p w14:paraId="5D66F07E" w14:textId="77777777" w:rsidR="003E1025" w:rsidRDefault="003E10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C45C" w14:textId="77777777" w:rsidR="003E1025" w:rsidRDefault="003E1025" w:rsidP="003B1DA4">
      <w:pPr>
        <w:spacing w:after="0" w:line="240" w:lineRule="auto"/>
      </w:pPr>
      <w:r>
        <w:separator/>
      </w:r>
    </w:p>
  </w:footnote>
  <w:footnote w:type="continuationSeparator" w:id="0">
    <w:p w14:paraId="167D3DCD" w14:textId="77777777" w:rsidR="003E1025" w:rsidRDefault="003E1025" w:rsidP="003B1DA4">
      <w:pPr>
        <w:spacing w:after="0" w:line="240" w:lineRule="auto"/>
      </w:pPr>
      <w:r>
        <w:continuationSeparator/>
      </w:r>
    </w:p>
  </w:footnote>
  <w:footnote w:type="continuationNotice" w:id="1">
    <w:p w14:paraId="0DEC17CE" w14:textId="77777777" w:rsidR="003E1025" w:rsidRDefault="003E1025">
      <w:pPr>
        <w:spacing w:after="0" w:line="240" w:lineRule="auto"/>
      </w:pPr>
    </w:p>
  </w:footnote>
  <w:footnote w:id="2">
    <w:p w14:paraId="70E8537D" w14:textId="788163D1" w:rsidR="004D0C99" w:rsidRPr="00A82EAB" w:rsidRDefault="004D0C99" w:rsidP="00A82EAB">
      <w:pPr>
        <w:pStyle w:val="FootnoteText"/>
        <w:ind w:left="720" w:hanging="720"/>
        <w:rPr>
          <w:rFonts w:cstheme="minorHAnsi"/>
        </w:rPr>
      </w:pPr>
      <w:r w:rsidRPr="00A82EAB">
        <w:rPr>
          <w:rStyle w:val="FootnoteReference"/>
          <w:rFonts w:cstheme="minorHAnsi"/>
        </w:rPr>
        <w:footnoteRef/>
      </w:r>
      <w:r w:rsidRPr="00A82EAB">
        <w:rPr>
          <w:rFonts w:cstheme="minorHAnsi"/>
        </w:rPr>
        <w:t xml:space="preserve"> Finlay, J., Esposito, M.H., Kim, M., Gomez-Lopez, I.N., &amp; Clarke, P. (2019). Closure of 'third places'? Exploring potential consequences for collective health and wellbeing. </w:t>
      </w:r>
      <w:r w:rsidRPr="00A82EAB">
        <w:rPr>
          <w:rFonts w:cstheme="minorHAnsi"/>
          <w:i/>
          <w:iCs/>
        </w:rPr>
        <w:t xml:space="preserve">Health &amp; </w:t>
      </w:r>
      <w:r w:rsidR="00BB3801" w:rsidRPr="00A82EAB">
        <w:rPr>
          <w:rFonts w:cstheme="minorHAnsi"/>
          <w:i/>
          <w:iCs/>
        </w:rPr>
        <w:t>P</w:t>
      </w:r>
      <w:r w:rsidRPr="00A82EAB">
        <w:rPr>
          <w:rFonts w:cstheme="minorHAnsi"/>
          <w:i/>
          <w:iCs/>
        </w:rPr>
        <w:t>lace</w:t>
      </w:r>
      <w:r w:rsidRPr="00A82EAB">
        <w:rPr>
          <w:rFonts w:cstheme="minorHAnsi"/>
        </w:rPr>
        <w:t xml:space="preserve">, </w:t>
      </w:r>
      <w:r w:rsidRPr="00955092">
        <w:rPr>
          <w:rFonts w:cstheme="minorHAnsi"/>
          <w:i/>
          <w:iCs/>
        </w:rPr>
        <w:t>60,</w:t>
      </w:r>
      <w:r w:rsidRPr="00A82EAB">
        <w:rPr>
          <w:rFonts w:cstheme="minorHAnsi"/>
        </w:rPr>
        <w:t xml:space="preserve"> </w:t>
      </w:r>
      <w:r w:rsidR="00BB3801" w:rsidRPr="00A82EAB">
        <w:rPr>
          <w:rFonts w:cstheme="minorHAnsi"/>
        </w:rPr>
        <w:t xml:space="preserve">Article </w:t>
      </w:r>
      <w:r w:rsidRPr="00A82EAB">
        <w:rPr>
          <w:rFonts w:cstheme="minorHAnsi"/>
        </w:rPr>
        <w:t xml:space="preserve">102225. </w:t>
      </w:r>
      <w:hyperlink r:id="rId1" w:history="1">
        <w:r w:rsidR="007573D7" w:rsidRPr="00A82EAB">
          <w:rPr>
            <w:rStyle w:val="Hyperlink"/>
            <w:rFonts w:cstheme="minorHAnsi"/>
            <w:shd w:val="clear" w:color="auto" w:fill="FFFFFF"/>
          </w:rPr>
          <w:t>https://doi.org/10.1016/j.healthplace.2019.102225</w:t>
        </w:r>
      </w:hyperlink>
      <w:r w:rsidR="007573D7" w:rsidRPr="00A82EAB">
        <w:rPr>
          <w:rFonts w:cstheme="minorHAnsi"/>
          <w:color w:val="000000"/>
          <w:shd w:val="clear" w:color="auto" w:fill="FFFFFF"/>
        </w:rPr>
        <w:t xml:space="preserve"> </w:t>
      </w:r>
    </w:p>
  </w:footnote>
  <w:footnote w:id="3">
    <w:p w14:paraId="0CCF26F5" w14:textId="5DC7B936" w:rsidR="00AE54BD" w:rsidRPr="00955092" w:rsidRDefault="00AE54BD" w:rsidP="00955092">
      <w:pPr>
        <w:pStyle w:val="NormalWeb"/>
        <w:shd w:val="clear" w:color="auto" w:fill="FFFFFF"/>
        <w:spacing w:before="0" w:beforeAutospacing="0" w:after="0" w:afterAutospacing="0"/>
        <w:ind w:left="720" w:hanging="720"/>
        <w:rPr>
          <w:rFonts w:cstheme="minorHAnsi"/>
          <w:color w:val="000000"/>
        </w:rPr>
      </w:pPr>
      <w:r w:rsidRPr="00955092">
        <w:rPr>
          <w:rStyle w:val="FootnoteReference"/>
          <w:rFonts w:asciiTheme="minorHAnsi" w:hAnsiTheme="minorHAnsi" w:cstheme="minorHAnsi"/>
          <w:sz w:val="20"/>
          <w:szCs w:val="20"/>
        </w:rPr>
        <w:footnoteRef/>
      </w:r>
      <w:r w:rsidRPr="00955092">
        <w:rPr>
          <w:rFonts w:asciiTheme="minorHAnsi" w:hAnsiTheme="minorHAnsi" w:cstheme="minorHAnsi"/>
          <w:sz w:val="20"/>
          <w:szCs w:val="20"/>
        </w:rPr>
        <w:t xml:space="preserve"> </w:t>
      </w:r>
      <w:proofErr w:type="spellStart"/>
      <w:r w:rsidR="002659D0" w:rsidRPr="00955092">
        <w:rPr>
          <w:rFonts w:asciiTheme="minorHAnsi" w:hAnsiTheme="minorHAnsi" w:cstheme="minorHAnsi"/>
          <w:color w:val="000000"/>
          <w:sz w:val="20"/>
          <w:szCs w:val="20"/>
        </w:rPr>
        <w:t>Jeffres</w:t>
      </w:r>
      <w:proofErr w:type="spellEnd"/>
      <w:r w:rsidR="002659D0" w:rsidRPr="00955092">
        <w:rPr>
          <w:rFonts w:asciiTheme="minorHAnsi" w:hAnsiTheme="minorHAnsi" w:cstheme="minorHAnsi"/>
          <w:color w:val="000000"/>
          <w:sz w:val="20"/>
          <w:szCs w:val="20"/>
        </w:rPr>
        <w:t>, L. W., Bracken, C. C., Jian, G., &amp; Casey, M. F. (2009). The Impact of Third Places on Community Quality of Life. </w:t>
      </w:r>
      <w:r w:rsidR="002659D0" w:rsidRPr="00955092">
        <w:rPr>
          <w:rFonts w:asciiTheme="minorHAnsi" w:hAnsiTheme="minorHAnsi" w:cstheme="minorHAnsi"/>
          <w:i/>
          <w:iCs/>
          <w:color w:val="000000"/>
          <w:sz w:val="20"/>
          <w:szCs w:val="20"/>
        </w:rPr>
        <w:t>Applied Research in Quality of Life</w:t>
      </w:r>
      <w:r w:rsidR="002659D0" w:rsidRPr="00955092">
        <w:rPr>
          <w:rFonts w:asciiTheme="minorHAnsi" w:hAnsiTheme="minorHAnsi" w:cstheme="minorHAnsi"/>
          <w:color w:val="000000"/>
          <w:sz w:val="20"/>
          <w:szCs w:val="20"/>
        </w:rPr>
        <w:t>, </w:t>
      </w:r>
      <w:r w:rsidR="002659D0" w:rsidRPr="00955092">
        <w:rPr>
          <w:rFonts w:asciiTheme="minorHAnsi" w:hAnsiTheme="minorHAnsi" w:cstheme="minorHAnsi"/>
          <w:i/>
          <w:iCs/>
          <w:color w:val="000000"/>
          <w:sz w:val="20"/>
          <w:szCs w:val="20"/>
        </w:rPr>
        <w:t>4</w:t>
      </w:r>
      <w:r w:rsidR="002659D0" w:rsidRPr="00955092">
        <w:rPr>
          <w:rFonts w:asciiTheme="minorHAnsi" w:hAnsiTheme="minorHAnsi" w:cstheme="minorHAnsi"/>
          <w:color w:val="000000"/>
          <w:sz w:val="20"/>
          <w:szCs w:val="20"/>
        </w:rPr>
        <w:t>, 333–345. https://doi.org/10.1007/s11482-009-9084-8</w:t>
      </w:r>
    </w:p>
  </w:footnote>
  <w:footnote w:id="4">
    <w:p w14:paraId="0BC7AC0D" w14:textId="1B2F7CA2" w:rsidR="00E50855" w:rsidRPr="00A82EAB" w:rsidRDefault="00E50855" w:rsidP="00A82EAB">
      <w:pPr>
        <w:pStyle w:val="FootnoteText"/>
        <w:ind w:left="720" w:hanging="720"/>
        <w:rPr>
          <w:rFonts w:cstheme="minorHAnsi"/>
        </w:rPr>
      </w:pPr>
      <w:r w:rsidRPr="00A82EAB">
        <w:rPr>
          <w:rStyle w:val="FootnoteReference"/>
          <w:rFonts w:cstheme="minorHAnsi"/>
        </w:rPr>
        <w:footnoteRef/>
      </w:r>
      <w:r w:rsidRPr="00A82EAB">
        <w:rPr>
          <w:rFonts w:cstheme="minorHAnsi"/>
        </w:rPr>
        <w:t xml:space="preserve"> Rosenbaum, M.S. (2009)</w:t>
      </w:r>
      <w:r w:rsidR="007E48B9" w:rsidRPr="00A82EAB">
        <w:rPr>
          <w:rFonts w:cstheme="minorHAnsi"/>
        </w:rPr>
        <w:t>.</w:t>
      </w:r>
      <w:r w:rsidRPr="00A82EAB">
        <w:rPr>
          <w:rFonts w:cstheme="minorHAnsi"/>
        </w:rPr>
        <w:t xml:space="preserve"> Restorative </w:t>
      </w:r>
      <w:proofErr w:type="spellStart"/>
      <w:r w:rsidRPr="00A82EAB">
        <w:rPr>
          <w:rFonts w:cstheme="minorHAnsi"/>
        </w:rPr>
        <w:t>servicescapes</w:t>
      </w:r>
      <w:proofErr w:type="spellEnd"/>
      <w:r w:rsidRPr="00A82EAB">
        <w:rPr>
          <w:rFonts w:cstheme="minorHAnsi"/>
        </w:rPr>
        <w:t>: restoring directed attention in third places</w:t>
      </w:r>
      <w:r w:rsidR="007E48B9" w:rsidRPr="00A82EAB">
        <w:rPr>
          <w:rFonts w:cstheme="minorHAnsi"/>
        </w:rPr>
        <w:t>.</w:t>
      </w:r>
      <w:r w:rsidRPr="00A82EAB">
        <w:rPr>
          <w:rFonts w:cstheme="minorHAnsi"/>
        </w:rPr>
        <w:t xml:space="preserve"> </w:t>
      </w:r>
      <w:r w:rsidRPr="00A82EAB">
        <w:rPr>
          <w:rFonts w:cstheme="minorHAnsi"/>
          <w:i/>
          <w:iCs/>
        </w:rPr>
        <w:t>Journal of Service Management</w:t>
      </w:r>
      <w:r w:rsidRPr="00A82EAB">
        <w:rPr>
          <w:rFonts w:cstheme="minorHAnsi"/>
        </w:rPr>
        <w:t xml:space="preserve">, </w:t>
      </w:r>
      <w:r w:rsidRPr="00955092">
        <w:rPr>
          <w:rFonts w:cstheme="minorHAnsi"/>
          <w:i/>
          <w:iCs/>
        </w:rPr>
        <w:t>20</w:t>
      </w:r>
      <w:r w:rsidR="007E48B9" w:rsidRPr="00A82EAB">
        <w:rPr>
          <w:rFonts w:cstheme="minorHAnsi"/>
        </w:rPr>
        <w:t>(</w:t>
      </w:r>
      <w:r w:rsidRPr="00A82EAB">
        <w:rPr>
          <w:rFonts w:cstheme="minorHAnsi"/>
        </w:rPr>
        <w:t>2</w:t>
      </w:r>
      <w:r w:rsidR="007E48B9" w:rsidRPr="00A82EAB">
        <w:rPr>
          <w:rFonts w:cstheme="minorHAnsi"/>
        </w:rPr>
        <w:t>),</w:t>
      </w:r>
      <w:r w:rsidRPr="00A82EAB">
        <w:rPr>
          <w:rFonts w:cstheme="minorHAnsi"/>
        </w:rPr>
        <w:t xml:space="preserve"> 173-191. </w:t>
      </w:r>
      <w:hyperlink r:id="rId2" w:history="1">
        <w:r w:rsidRPr="00A82EAB">
          <w:rPr>
            <w:rStyle w:val="Hyperlink"/>
            <w:rFonts w:cstheme="minorHAnsi"/>
          </w:rPr>
          <w:t>https://doi.org/10.1108/09564230910952762</w:t>
        </w:r>
      </w:hyperlink>
      <w:r w:rsidR="0039274C">
        <w:rPr>
          <w:rFonts w:cstheme="minorHAnsi"/>
        </w:rPr>
        <w:t xml:space="preserve"> </w:t>
      </w:r>
    </w:p>
  </w:footnote>
  <w:footnote w:id="5">
    <w:p w14:paraId="29F9EB26" w14:textId="3A82E4CC" w:rsidR="009F196D" w:rsidRPr="00955092" w:rsidRDefault="009F196D" w:rsidP="00955092">
      <w:pPr>
        <w:pStyle w:val="NormalWeb"/>
        <w:shd w:val="clear" w:color="auto" w:fill="FFFFFF"/>
        <w:spacing w:before="0" w:beforeAutospacing="0" w:after="0" w:afterAutospacing="0"/>
        <w:ind w:left="720" w:hanging="720"/>
        <w:rPr>
          <w:rFonts w:cstheme="minorHAnsi"/>
          <w:color w:val="000000"/>
        </w:rPr>
      </w:pPr>
      <w:r w:rsidRPr="00955092">
        <w:rPr>
          <w:rStyle w:val="FootnoteReference"/>
          <w:rFonts w:asciiTheme="minorHAnsi" w:hAnsiTheme="minorHAnsi" w:cstheme="minorHAnsi"/>
          <w:sz w:val="20"/>
          <w:szCs w:val="20"/>
        </w:rPr>
        <w:footnoteRef/>
      </w:r>
      <w:r w:rsidRPr="00955092">
        <w:rPr>
          <w:rFonts w:asciiTheme="minorHAnsi" w:hAnsiTheme="minorHAnsi" w:cstheme="minorHAnsi"/>
          <w:sz w:val="20"/>
          <w:szCs w:val="20"/>
        </w:rPr>
        <w:t xml:space="preserve"> </w:t>
      </w:r>
      <w:r w:rsidR="00FA140F" w:rsidRPr="00955092">
        <w:rPr>
          <w:rFonts w:asciiTheme="minorHAnsi" w:hAnsiTheme="minorHAnsi" w:cstheme="minorHAnsi"/>
          <w:color w:val="000000"/>
          <w:sz w:val="20"/>
          <w:szCs w:val="20"/>
        </w:rPr>
        <w:t xml:space="preserve">Fujiwara, T., Doi, S., </w:t>
      </w:r>
      <w:proofErr w:type="spellStart"/>
      <w:r w:rsidR="00FA140F" w:rsidRPr="00955092">
        <w:rPr>
          <w:rFonts w:asciiTheme="minorHAnsi" w:hAnsiTheme="minorHAnsi" w:cstheme="minorHAnsi"/>
          <w:color w:val="000000"/>
          <w:sz w:val="20"/>
          <w:szCs w:val="20"/>
        </w:rPr>
        <w:t>Isumi</w:t>
      </w:r>
      <w:proofErr w:type="spellEnd"/>
      <w:r w:rsidR="00FA140F" w:rsidRPr="00955092">
        <w:rPr>
          <w:rFonts w:asciiTheme="minorHAnsi" w:hAnsiTheme="minorHAnsi" w:cstheme="minorHAnsi"/>
          <w:color w:val="000000"/>
          <w:sz w:val="20"/>
          <w:szCs w:val="20"/>
        </w:rPr>
        <w:t>, A., &amp; Ochi, M. (2020). Association of Existence of Third Places and Role Model on Suicide Risk Among Adolescent in Japan: Results From A-CHILD Study. </w:t>
      </w:r>
      <w:r w:rsidR="00FA140F" w:rsidRPr="00955092">
        <w:rPr>
          <w:rFonts w:asciiTheme="minorHAnsi" w:hAnsiTheme="minorHAnsi" w:cstheme="minorHAnsi"/>
          <w:i/>
          <w:iCs/>
          <w:color w:val="000000"/>
          <w:sz w:val="20"/>
          <w:szCs w:val="20"/>
        </w:rPr>
        <w:t>Frontiers in Psychiatry</w:t>
      </w:r>
      <w:r w:rsidR="00FA140F" w:rsidRPr="00955092">
        <w:rPr>
          <w:rFonts w:asciiTheme="minorHAnsi" w:hAnsiTheme="minorHAnsi" w:cstheme="minorHAnsi"/>
          <w:color w:val="000000"/>
          <w:sz w:val="20"/>
          <w:szCs w:val="20"/>
        </w:rPr>
        <w:t>, </w:t>
      </w:r>
      <w:r w:rsidR="00FA140F" w:rsidRPr="00955092">
        <w:rPr>
          <w:rFonts w:asciiTheme="minorHAnsi" w:hAnsiTheme="minorHAnsi" w:cstheme="minorHAnsi"/>
          <w:i/>
          <w:iCs/>
          <w:color w:val="000000"/>
          <w:sz w:val="20"/>
          <w:szCs w:val="20"/>
        </w:rPr>
        <w:t>11</w:t>
      </w:r>
      <w:r w:rsidR="00FA140F" w:rsidRPr="00955092">
        <w:rPr>
          <w:rFonts w:asciiTheme="minorHAnsi" w:hAnsiTheme="minorHAnsi" w:cstheme="minorHAnsi"/>
          <w:color w:val="000000"/>
          <w:sz w:val="20"/>
          <w:szCs w:val="20"/>
        </w:rPr>
        <w:t xml:space="preserve">. </w:t>
      </w:r>
      <w:hyperlink r:id="rId3" w:history="1">
        <w:r w:rsidR="0039274C" w:rsidRPr="00955092">
          <w:rPr>
            <w:rStyle w:val="Hyperlink"/>
            <w:rFonts w:asciiTheme="minorHAnsi" w:hAnsiTheme="minorHAnsi" w:cstheme="minorHAnsi"/>
            <w:sz w:val="20"/>
            <w:szCs w:val="20"/>
          </w:rPr>
          <w:t>https://doi.org/10.3389/fpsyt.2020.529818</w:t>
        </w:r>
      </w:hyperlink>
      <w:r w:rsidR="0039274C">
        <w:rPr>
          <w:rFonts w:asciiTheme="minorHAnsi" w:hAnsiTheme="minorHAnsi" w:cstheme="minorHAnsi"/>
          <w:color w:val="000000"/>
          <w:sz w:val="20"/>
          <w:szCs w:val="20"/>
        </w:rPr>
        <w:t xml:space="preserve"> </w:t>
      </w:r>
    </w:p>
  </w:footnote>
  <w:footnote w:id="6">
    <w:p w14:paraId="7D5832BE" w14:textId="6C04F064" w:rsidR="006064CC" w:rsidRPr="00955092" w:rsidRDefault="006064CC" w:rsidP="00955092">
      <w:pPr>
        <w:pStyle w:val="NormalWeb"/>
        <w:shd w:val="clear" w:color="auto" w:fill="FFFFFF"/>
        <w:spacing w:before="0" w:beforeAutospacing="0" w:after="0" w:afterAutospacing="0"/>
        <w:ind w:left="720" w:hanging="720"/>
        <w:rPr>
          <w:rFonts w:cstheme="minorHAnsi"/>
          <w:color w:val="000000"/>
        </w:rPr>
      </w:pPr>
      <w:r w:rsidRPr="00955092">
        <w:rPr>
          <w:rStyle w:val="FootnoteReference"/>
          <w:rFonts w:asciiTheme="minorHAnsi" w:hAnsiTheme="minorHAnsi" w:cstheme="minorHAnsi"/>
          <w:sz w:val="20"/>
          <w:szCs w:val="20"/>
        </w:rPr>
        <w:footnoteRef/>
      </w:r>
      <w:r w:rsidRPr="00955092">
        <w:rPr>
          <w:rFonts w:asciiTheme="minorHAnsi" w:hAnsiTheme="minorHAnsi" w:cstheme="minorHAnsi"/>
          <w:sz w:val="20"/>
          <w:szCs w:val="20"/>
        </w:rPr>
        <w:t xml:space="preserve"> </w:t>
      </w:r>
      <w:r w:rsidR="00300054" w:rsidRPr="00955092">
        <w:rPr>
          <w:rFonts w:asciiTheme="minorHAnsi" w:hAnsiTheme="minorHAnsi" w:cstheme="minorHAnsi"/>
          <w:color w:val="000000"/>
          <w:sz w:val="20"/>
          <w:szCs w:val="20"/>
        </w:rPr>
        <w:t>Tu, J., Lin, K.-C., &amp; Chen, H.-Y. (2020). Investigating the Relationship between the Third Places and the Level of Happiness for Seniors in Taiwan. </w:t>
      </w:r>
      <w:r w:rsidR="00300054" w:rsidRPr="00955092">
        <w:rPr>
          <w:rFonts w:asciiTheme="minorHAnsi" w:hAnsiTheme="minorHAnsi" w:cstheme="minorHAnsi"/>
          <w:i/>
          <w:iCs/>
          <w:color w:val="000000"/>
          <w:sz w:val="20"/>
          <w:szCs w:val="20"/>
        </w:rPr>
        <w:t>International Journal of Environmental Research and Public Health</w:t>
      </w:r>
      <w:r w:rsidR="00300054" w:rsidRPr="00955092">
        <w:rPr>
          <w:rFonts w:asciiTheme="minorHAnsi" w:hAnsiTheme="minorHAnsi" w:cstheme="minorHAnsi"/>
          <w:color w:val="000000"/>
          <w:sz w:val="20"/>
          <w:szCs w:val="20"/>
        </w:rPr>
        <w:t>, </w:t>
      </w:r>
      <w:r w:rsidR="00300054" w:rsidRPr="00955092">
        <w:rPr>
          <w:rFonts w:asciiTheme="minorHAnsi" w:hAnsiTheme="minorHAnsi" w:cstheme="minorHAnsi"/>
          <w:i/>
          <w:iCs/>
          <w:color w:val="000000"/>
          <w:sz w:val="20"/>
          <w:szCs w:val="20"/>
        </w:rPr>
        <w:t>17</w:t>
      </w:r>
      <w:r w:rsidR="00300054" w:rsidRPr="00955092">
        <w:rPr>
          <w:rFonts w:asciiTheme="minorHAnsi" w:hAnsiTheme="minorHAnsi" w:cstheme="minorHAnsi"/>
          <w:color w:val="000000"/>
          <w:sz w:val="20"/>
          <w:szCs w:val="20"/>
        </w:rPr>
        <w:t xml:space="preserve">(4), 1172. </w:t>
      </w:r>
      <w:hyperlink r:id="rId4" w:history="1">
        <w:r w:rsidR="0039274C" w:rsidRPr="00955092">
          <w:rPr>
            <w:rStyle w:val="Hyperlink"/>
            <w:rFonts w:asciiTheme="minorHAnsi" w:hAnsiTheme="minorHAnsi" w:cstheme="minorHAnsi"/>
            <w:sz w:val="20"/>
            <w:szCs w:val="20"/>
          </w:rPr>
          <w:t>https://doi.org/10.3390/ijerph17041172</w:t>
        </w:r>
      </w:hyperlink>
      <w:r w:rsidR="0018017D">
        <w:rPr>
          <w:rFonts w:asciiTheme="minorHAnsi" w:hAnsiTheme="minorHAnsi" w:cstheme="minorHAnsi"/>
          <w:color w:val="000000"/>
          <w:sz w:val="20"/>
          <w:szCs w:val="20"/>
        </w:rPr>
        <w:t xml:space="preserve"> </w:t>
      </w:r>
    </w:p>
  </w:footnote>
  <w:footnote w:id="7">
    <w:p w14:paraId="37F9E6ED" w14:textId="7C742FAB" w:rsidR="00021A2F" w:rsidRPr="00A82EAB" w:rsidRDefault="00021A2F" w:rsidP="00A82EAB">
      <w:pPr>
        <w:pStyle w:val="FootnoteText"/>
        <w:ind w:left="720" w:hanging="720"/>
        <w:rPr>
          <w:rFonts w:cstheme="minorHAnsi"/>
        </w:rPr>
      </w:pPr>
      <w:r w:rsidRPr="00A82EAB">
        <w:rPr>
          <w:rStyle w:val="FootnoteReference"/>
          <w:rFonts w:cstheme="minorHAnsi"/>
        </w:rPr>
        <w:footnoteRef/>
      </w:r>
      <w:r w:rsidRPr="00A82EAB">
        <w:rPr>
          <w:rFonts w:cstheme="minorHAnsi"/>
        </w:rPr>
        <w:t xml:space="preserve"> Harris, K. M., </w:t>
      </w:r>
      <w:proofErr w:type="spellStart"/>
      <w:r w:rsidRPr="00A82EAB">
        <w:rPr>
          <w:rFonts w:cstheme="minorHAnsi"/>
        </w:rPr>
        <w:t>Edlund</w:t>
      </w:r>
      <w:proofErr w:type="spellEnd"/>
      <w:r w:rsidRPr="00A82EAB">
        <w:rPr>
          <w:rFonts w:cstheme="minorHAnsi"/>
        </w:rPr>
        <w:t xml:space="preserve">, M. J., &amp; Larson, S. L. (2006). Religious involvement and the use of mental health care. </w:t>
      </w:r>
      <w:r w:rsidRPr="00A82EAB">
        <w:rPr>
          <w:rFonts w:cstheme="minorHAnsi"/>
          <w:i/>
          <w:iCs/>
        </w:rPr>
        <w:t xml:space="preserve">Health </w:t>
      </w:r>
      <w:r w:rsidR="00300054" w:rsidRPr="00A82EAB">
        <w:rPr>
          <w:rFonts w:cstheme="minorHAnsi"/>
          <w:i/>
          <w:iCs/>
        </w:rPr>
        <w:t>S</w:t>
      </w:r>
      <w:r w:rsidRPr="00A82EAB">
        <w:rPr>
          <w:rFonts w:cstheme="minorHAnsi"/>
          <w:i/>
          <w:iCs/>
        </w:rPr>
        <w:t xml:space="preserve">ervices </w:t>
      </w:r>
      <w:r w:rsidR="00300054" w:rsidRPr="00A82EAB">
        <w:rPr>
          <w:rFonts w:cstheme="minorHAnsi"/>
          <w:i/>
          <w:iCs/>
        </w:rPr>
        <w:t>R</w:t>
      </w:r>
      <w:r w:rsidRPr="00A82EAB">
        <w:rPr>
          <w:rFonts w:cstheme="minorHAnsi"/>
          <w:i/>
          <w:iCs/>
        </w:rPr>
        <w:t>esearch</w:t>
      </w:r>
      <w:r w:rsidRPr="00A82EAB">
        <w:rPr>
          <w:rFonts w:cstheme="minorHAnsi"/>
        </w:rPr>
        <w:t xml:space="preserve">, </w:t>
      </w:r>
      <w:r w:rsidRPr="00955092">
        <w:rPr>
          <w:rFonts w:cstheme="minorHAnsi"/>
          <w:i/>
          <w:iCs/>
        </w:rPr>
        <w:t>41</w:t>
      </w:r>
      <w:r w:rsidRPr="00A82EAB">
        <w:rPr>
          <w:rFonts w:cstheme="minorHAnsi"/>
        </w:rPr>
        <w:t xml:space="preserve">(2), 395–410. </w:t>
      </w:r>
      <w:hyperlink r:id="rId5" w:history="1">
        <w:r w:rsidRPr="00A82EAB">
          <w:rPr>
            <w:rStyle w:val="Hyperlink"/>
            <w:rFonts w:cstheme="minorHAnsi"/>
          </w:rPr>
          <w:t>https://doi.org/10.1111/j.1475-6773.2006.00500.x</w:t>
        </w:r>
      </w:hyperlink>
      <w:r w:rsidR="0018017D">
        <w:rPr>
          <w:rFonts w:cstheme="minorHAnsi"/>
        </w:rPr>
        <w:t xml:space="preserve"> </w:t>
      </w:r>
    </w:p>
  </w:footnote>
  <w:footnote w:id="8">
    <w:p w14:paraId="054123AB" w14:textId="39934611" w:rsidR="00C11C6B" w:rsidRPr="00A82EAB" w:rsidRDefault="00C11C6B" w:rsidP="00A82EAB">
      <w:pPr>
        <w:pStyle w:val="FootnoteText"/>
        <w:ind w:left="720" w:hanging="720"/>
        <w:rPr>
          <w:rFonts w:cstheme="minorHAnsi"/>
        </w:rPr>
      </w:pPr>
      <w:r w:rsidRPr="00A82EAB">
        <w:rPr>
          <w:rStyle w:val="FootnoteReference"/>
          <w:rFonts w:cstheme="minorHAnsi"/>
        </w:rPr>
        <w:footnoteRef/>
      </w:r>
      <w:r w:rsidRPr="00A82EAB">
        <w:rPr>
          <w:rFonts w:cstheme="minorHAnsi"/>
        </w:rPr>
        <w:t xml:space="preserve"> United States Census Bureau. (2021, October 8)</w:t>
      </w:r>
      <w:r w:rsidR="009B1D5D" w:rsidRPr="00A82EAB">
        <w:rPr>
          <w:rFonts w:cstheme="minorHAnsi"/>
        </w:rPr>
        <w:t>.</w:t>
      </w:r>
      <w:r w:rsidRPr="00A82EAB">
        <w:rPr>
          <w:rFonts w:cstheme="minorHAnsi"/>
        </w:rPr>
        <w:t xml:space="preserve"> </w:t>
      </w:r>
      <w:r w:rsidR="001A19D5" w:rsidRPr="00955092">
        <w:rPr>
          <w:rFonts w:cstheme="minorHAnsi"/>
          <w:i/>
          <w:iCs/>
        </w:rPr>
        <w:t>County Business Patterns</w:t>
      </w:r>
      <w:r w:rsidR="001A19D5" w:rsidRPr="00A82EAB">
        <w:rPr>
          <w:rFonts w:cstheme="minorHAnsi"/>
          <w:i/>
          <w:iCs/>
        </w:rPr>
        <w:t xml:space="preserve"> </w:t>
      </w:r>
      <w:r w:rsidRPr="00A82EAB">
        <w:rPr>
          <w:rFonts w:cstheme="minorHAnsi"/>
          <w:i/>
          <w:iCs/>
        </w:rPr>
        <w:t>Methodology</w:t>
      </w:r>
      <w:r w:rsidRPr="00A82EAB">
        <w:rPr>
          <w:rFonts w:cstheme="minorHAnsi"/>
        </w:rPr>
        <w:t xml:space="preserve">. </w:t>
      </w:r>
      <w:hyperlink r:id="rId6" w:history="1">
        <w:r w:rsidRPr="00A82EAB">
          <w:rPr>
            <w:rStyle w:val="Hyperlink"/>
            <w:rFonts w:cstheme="minorHAnsi"/>
          </w:rPr>
          <w:t>https://www.census.gov/programs-surveys/cbp/technical-documentation/methodology.html</w:t>
        </w:r>
      </w:hyperlink>
      <w:r w:rsidRPr="00A82EAB">
        <w:rPr>
          <w:rFonts w:cstheme="minorHAnsi"/>
        </w:rPr>
        <w:t xml:space="preserve"> </w:t>
      </w:r>
    </w:p>
  </w:footnote>
  <w:footnote w:id="9">
    <w:p w14:paraId="150FAE28" w14:textId="60B4E0E9" w:rsidR="0078675A" w:rsidRPr="00A82EAB" w:rsidRDefault="0078675A" w:rsidP="00A82EAB">
      <w:pPr>
        <w:pStyle w:val="FootnoteText"/>
        <w:ind w:left="720" w:hanging="720"/>
        <w:rPr>
          <w:rFonts w:cstheme="minorHAnsi"/>
        </w:rPr>
      </w:pPr>
      <w:r w:rsidRPr="00A82EAB">
        <w:rPr>
          <w:rStyle w:val="FootnoteReference"/>
          <w:rFonts w:cstheme="minorHAnsi"/>
        </w:rPr>
        <w:footnoteRef/>
      </w:r>
      <w:r w:rsidRPr="00A82EAB">
        <w:rPr>
          <w:rFonts w:cstheme="minorHAnsi"/>
        </w:rPr>
        <w:t xml:space="preserve"> Finlay, J., Esposito, M.H., Kim, M., Gomez-Lopez, I.N., &amp; Clarke, P. (2019). Closure of 'third places'? Exploring potential consequences for collective health and wellbeing. </w:t>
      </w:r>
      <w:r w:rsidRPr="00A82EAB">
        <w:rPr>
          <w:rFonts w:cstheme="minorHAnsi"/>
          <w:i/>
          <w:iCs/>
        </w:rPr>
        <w:t xml:space="preserve">Health &amp; </w:t>
      </w:r>
      <w:r w:rsidR="00954B81" w:rsidRPr="00A82EAB">
        <w:rPr>
          <w:rFonts w:cstheme="minorHAnsi"/>
          <w:i/>
          <w:iCs/>
        </w:rPr>
        <w:t>P</w:t>
      </w:r>
      <w:r w:rsidRPr="00A82EAB">
        <w:rPr>
          <w:rFonts w:cstheme="minorHAnsi"/>
          <w:i/>
          <w:iCs/>
        </w:rPr>
        <w:t>lace</w:t>
      </w:r>
      <w:r w:rsidRPr="00A82EAB">
        <w:rPr>
          <w:rFonts w:cstheme="minorHAnsi"/>
        </w:rPr>
        <w:t xml:space="preserve">, </w:t>
      </w:r>
      <w:r w:rsidRPr="00955092">
        <w:rPr>
          <w:rFonts w:cstheme="minorHAnsi"/>
          <w:i/>
          <w:iCs/>
        </w:rPr>
        <w:t>60,</w:t>
      </w:r>
      <w:r w:rsidRPr="00A82EAB">
        <w:rPr>
          <w:rFonts w:cstheme="minorHAnsi"/>
        </w:rPr>
        <w:t xml:space="preserve"> </w:t>
      </w:r>
      <w:r w:rsidR="00954B81" w:rsidRPr="00A82EAB">
        <w:rPr>
          <w:rFonts w:cstheme="minorHAnsi"/>
        </w:rPr>
        <w:t xml:space="preserve">Article </w:t>
      </w:r>
      <w:r w:rsidRPr="00A82EAB">
        <w:rPr>
          <w:rFonts w:cstheme="minorHAnsi"/>
        </w:rPr>
        <w:t>102225.</w:t>
      </w:r>
      <w:r w:rsidR="00954B81" w:rsidRPr="00A82EAB">
        <w:rPr>
          <w:rFonts w:cstheme="minorHAnsi"/>
          <w:color w:val="000000"/>
          <w:shd w:val="clear" w:color="auto" w:fill="FFFFFF"/>
        </w:rPr>
        <w:t xml:space="preserve"> </w:t>
      </w:r>
      <w:hyperlink r:id="rId7" w:history="1">
        <w:r w:rsidR="00FA555E" w:rsidRPr="00736527">
          <w:rPr>
            <w:rStyle w:val="Hyperlink"/>
            <w:rFonts w:cstheme="minorHAnsi"/>
            <w:shd w:val="clear" w:color="auto" w:fill="FFFFFF"/>
          </w:rPr>
          <w:t>https://doi.org/10.1016/j.healthplace.2019.102225</w:t>
        </w:r>
      </w:hyperlink>
      <w:r w:rsidR="00FA555E">
        <w:rPr>
          <w:rFonts w:cstheme="minorHAnsi"/>
          <w:color w:val="000000"/>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4C8D"/>
    <w:multiLevelType w:val="hybridMultilevel"/>
    <w:tmpl w:val="F086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8131D"/>
    <w:multiLevelType w:val="hybridMultilevel"/>
    <w:tmpl w:val="814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07DA5"/>
    <w:multiLevelType w:val="hybridMultilevel"/>
    <w:tmpl w:val="166C6C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0009C"/>
    <w:multiLevelType w:val="hybridMultilevel"/>
    <w:tmpl w:val="0D88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67561"/>
    <w:multiLevelType w:val="hybridMultilevel"/>
    <w:tmpl w:val="C73E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abstractNum w:abstractNumId="12" w15:restartNumberingAfterBreak="0">
    <w:nsid w:val="7DE33CB0"/>
    <w:multiLevelType w:val="hybridMultilevel"/>
    <w:tmpl w:val="A5F6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2"/>
  </w:num>
  <w:num w:numId="5">
    <w:abstractNumId w:val="0"/>
  </w:num>
  <w:num w:numId="6">
    <w:abstractNumId w:val="8"/>
  </w:num>
  <w:num w:numId="7">
    <w:abstractNumId w:val="1"/>
  </w:num>
  <w:num w:numId="8">
    <w:abstractNumId w:val="11"/>
  </w:num>
  <w:num w:numId="9">
    <w:abstractNumId w:val="2"/>
  </w:num>
  <w:num w:numId="10">
    <w:abstractNumId w:val="9"/>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F"/>
    <w:rsid w:val="00001853"/>
    <w:rsid w:val="00003AF6"/>
    <w:rsid w:val="00021A2F"/>
    <w:rsid w:val="00036E65"/>
    <w:rsid w:val="000540E4"/>
    <w:rsid w:val="00075158"/>
    <w:rsid w:val="00092DC7"/>
    <w:rsid w:val="000B4322"/>
    <w:rsid w:val="000C16F8"/>
    <w:rsid w:val="000E787D"/>
    <w:rsid w:val="00102850"/>
    <w:rsid w:val="00105F27"/>
    <w:rsid w:val="00111274"/>
    <w:rsid w:val="001227D9"/>
    <w:rsid w:val="001252E6"/>
    <w:rsid w:val="001561A8"/>
    <w:rsid w:val="00174374"/>
    <w:rsid w:val="0018017D"/>
    <w:rsid w:val="00192B3E"/>
    <w:rsid w:val="00192F67"/>
    <w:rsid w:val="00192FBD"/>
    <w:rsid w:val="001A19D5"/>
    <w:rsid w:val="001A4F65"/>
    <w:rsid w:val="001A63CF"/>
    <w:rsid w:val="001B0731"/>
    <w:rsid w:val="001B3690"/>
    <w:rsid w:val="001D0068"/>
    <w:rsid w:val="001D76D4"/>
    <w:rsid w:val="001E4777"/>
    <w:rsid w:val="0020052B"/>
    <w:rsid w:val="00201D71"/>
    <w:rsid w:val="00207CD6"/>
    <w:rsid w:val="002125F7"/>
    <w:rsid w:val="00212CA0"/>
    <w:rsid w:val="0021500E"/>
    <w:rsid w:val="002162C2"/>
    <w:rsid w:val="00231DD8"/>
    <w:rsid w:val="00231ED0"/>
    <w:rsid w:val="00232435"/>
    <w:rsid w:val="0023558B"/>
    <w:rsid w:val="00241366"/>
    <w:rsid w:val="00247BAA"/>
    <w:rsid w:val="002575B5"/>
    <w:rsid w:val="00263C1C"/>
    <w:rsid w:val="002659D0"/>
    <w:rsid w:val="00267FEE"/>
    <w:rsid w:val="00272661"/>
    <w:rsid w:val="002759CA"/>
    <w:rsid w:val="00280DBA"/>
    <w:rsid w:val="00292CF7"/>
    <w:rsid w:val="002966F3"/>
    <w:rsid w:val="002A4ECB"/>
    <w:rsid w:val="002B1783"/>
    <w:rsid w:val="002B5777"/>
    <w:rsid w:val="002F27CB"/>
    <w:rsid w:val="00300054"/>
    <w:rsid w:val="00305622"/>
    <w:rsid w:val="00306132"/>
    <w:rsid w:val="003072DF"/>
    <w:rsid w:val="00322E29"/>
    <w:rsid w:val="00325671"/>
    <w:rsid w:val="00337113"/>
    <w:rsid w:val="003738B4"/>
    <w:rsid w:val="003800D8"/>
    <w:rsid w:val="0039274C"/>
    <w:rsid w:val="003B15AB"/>
    <w:rsid w:val="003B1DA4"/>
    <w:rsid w:val="003B7D83"/>
    <w:rsid w:val="003D2FC0"/>
    <w:rsid w:val="003D30B3"/>
    <w:rsid w:val="003D4BF0"/>
    <w:rsid w:val="003E1025"/>
    <w:rsid w:val="003E2D6F"/>
    <w:rsid w:val="003F4D8A"/>
    <w:rsid w:val="00410E41"/>
    <w:rsid w:val="004137AD"/>
    <w:rsid w:val="00427648"/>
    <w:rsid w:val="004318C9"/>
    <w:rsid w:val="004343CB"/>
    <w:rsid w:val="00434705"/>
    <w:rsid w:val="00454EE6"/>
    <w:rsid w:val="004838DB"/>
    <w:rsid w:val="00485BDC"/>
    <w:rsid w:val="004A37F3"/>
    <w:rsid w:val="004A6CDB"/>
    <w:rsid w:val="004B07EF"/>
    <w:rsid w:val="004B1C8B"/>
    <w:rsid w:val="004D0C99"/>
    <w:rsid w:val="004D1674"/>
    <w:rsid w:val="004D68DE"/>
    <w:rsid w:val="004E337E"/>
    <w:rsid w:val="00510813"/>
    <w:rsid w:val="00516193"/>
    <w:rsid w:val="00524559"/>
    <w:rsid w:val="005268DC"/>
    <w:rsid w:val="00554AAE"/>
    <w:rsid w:val="00555504"/>
    <w:rsid w:val="005951C7"/>
    <w:rsid w:val="005B0AE3"/>
    <w:rsid w:val="005B163F"/>
    <w:rsid w:val="005D13B2"/>
    <w:rsid w:val="005E7AD3"/>
    <w:rsid w:val="006064CC"/>
    <w:rsid w:val="00606840"/>
    <w:rsid w:val="00621911"/>
    <w:rsid w:val="00627AC0"/>
    <w:rsid w:val="0065027B"/>
    <w:rsid w:val="00662E50"/>
    <w:rsid w:val="006763D2"/>
    <w:rsid w:val="006764D7"/>
    <w:rsid w:val="006768C5"/>
    <w:rsid w:val="00682475"/>
    <w:rsid w:val="006902B2"/>
    <w:rsid w:val="006C08A9"/>
    <w:rsid w:val="006D25AA"/>
    <w:rsid w:val="007037B7"/>
    <w:rsid w:val="00717DB2"/>
    <w:rsid w:val="00736147"/>
    <w:rsid w:val="00742596"/>
    <w:rsid w:val="00745DF7"/>
    <w:rsid w:val="007507AE"/>
    <w:rsid w:val="00755103"/>
    <w:rsid w:val="007573D7"/>
    <w:rsid w:val="0078209E"/>
    <w:rsid w:val="0078214A"/>
    <w:rsid w:val="007857A0"/>
    <w:rsid w:val="00785D64"/>
    <w:rsid w:val="0078675A"/>
    <w:rsid w:val="007903C0"/>
    <w:rsid w:val="00793E1C"/>
    <w:rsid w:val="00797758"/>
    <w:rsid w:val="007A6E36"/>
    <w:rsid w:val="007A76AF"/>
    <w:rsid w:val="007B154B"/>
    <w:rsid w:val="007B4E87"/>
    <w:rsid w:val="007C5775"/>
    <w:rsid w:val="007D3B43"/>
    <w:rsid w:val="007E146D"/>
    <w:rsid w:val="007E48B9"/>
    <w:rsid w:val="007F426A"/>
    <w:rsid w:val="00800030"/>
    <w:rsid w:val="00804438"/>
    <w:rsid w:val="00821279"/>
    <w:rsid w:val="00837EF3"/>
    <w:rsid w:val="0084517C"/>
    <w:rsid w:val="00852B8E"/>
    <w:rsid w:val="008567CE"/>
    <w:rsid w:val="008713D6"/>
    <w:rsid w:val="00881F37"/>
    <w:rsid w:val="008874E6"/>
    <w:rsid w:val="00893E0A"/>
    <w:rsid w:val="0089783A"/>
    <w:rsid w:val="008C65A3"/>
    <w:rsid w:val="008C7A2B"/>
    <w:rsid w:val="008D6796"/>
    <w:rsid w:val="0090598E"/>
    <w:rsid w:val="00915844"/>
    <w:rsid w:val="009176EA"/>
    <w:rsid w:val="00922C9D"/>
    <w:rsid w:val="00926D99"/>
    <w:rsid w:val="00935724"/>
    <w:rsid w:val="009438E8"/>
    <w:rsid w:val="00946F64"/>
    <w:rsid w:val="00954B81"/>
    <w:rsid w:val="00955092"/>
    <w:rsid w:val="009556A3"/>
    <w:rsid w:val="009624C1"/>
    <w:rsid w:val="009762C4"/>
    <w:rsid w:val="009817F3"/>
    <w:rsid w:val="009A46FB"/>
    <w:rsid w:val="009B1D5D"/>
    <w:rsid w:val="009B7E4A"/>
    <w:rsid w:val="009C1C8D"/>
    <w:rsid w:val="009C4672"/>
    <w:rsid w:val="009D0DC3"/>
    <w:rsid w:val="009D1D7D"/>
    <w:rsid w:val="009D20B0"/>
    <w:rsid w:val="009D666C"/>
    <w:rsid w:val="009F142A"/>
    <w:rsid w:val="009F196D"/>
    <w:rsid w:val="009F4010"/>
    <w:rsid w:val="00A06547"/>
    <w:rsid w:val="00A13EC8"/>
    <w:rsid w:val="00A219FD"/>
    <w:rsid w:val="00A36B39"/>
    <w:rsid w:val="00A44180"/>
    <w:rsid w:val="00A56DDF"/>
    <w:rsid w:val="00A578E1"/>
    <w:rsid w:val="00A57F23"/>
    <w:rsid w:val="00A61113"/>
    <w:rsid w:val="00A77EB0"/>
    <w:rsid w:val="00A82E52"/>
    <w:rsid w:val="00A82EAB"/>
    <w:rsid w:val="00AA2C58"/>
    <w:rsid w:val="00AA718A"/>
    <w:rsid w:val="00AA79EC"/>
    <w:rsid w:val="00AD0F5A"/>
    <w:rsid w:val="00AD5965"/>
    <w:rsid w:val="00AE54BD"/>
    <w:rsid w:val="00AE68E3"/>
    <w:rsid w:val="00AF63B4"/>
    <w:rsid w:val="00B06253"/>
    <w:rsid w:val="00B33AA4"/>
    <w:rsid w:val="00B3637E"/>
    <w:rsid w:val="00B4381D"/>
    <w:rsid w:val="00B510D2"/>
    <w:rsid w:val="00B62A7F"/>
    <w:rsid w:val="00B654A0"/>
    <w:rsid w:val="00B67E17"/>
    <w:rsid w:val="00B8442C"/>
    <w:rsid w:val="00BB0A1A"/>
    <w:rsid w:val="00BB2B07"/>
    <w:rsid w:val="00BB3801"/>
    <w:rsid w:val="00BB7852"/>
    <w:rsid w:val="00BC421B"/>
    <w:rsid w:val="00BD003A"/>
    <w:rsid w:val="00BD6376"/>
    <w:rsid w:val="00BE57F0"/>
    <w:rsid w:val="00BF2A02"/>
    <w:rsid w:val="00BF62D6"/>
    <w:rsid w:val="00BF75AF"/>
    <w:rsid w:val="00BF77DB"/>
    <w:rsid w:val="00C10364"/>
    <w:rsid w:val="00C11C6B"/>
    <w:rsid w:val="00C503C7"/>
    <w:rsid w:val="00C84051"/>
    <w:rsid w:val="00CA137F"/>
    <w:rsid w:val="00CC0256"/>
    <w:rsid w:val="00CD546D"/>
    <w:rsid w:val="00CD6D82"/>
    <w:rsid w:val="00CF42BE"/>
    <w:rsid w:val="00D00055"/>
    <w:rsid w:val="00D04435"/>
    <w:rsid w:val="00D23A34"/>
    <w:rsid w:val="00D35F3F"/>
    <w:rsid w:val="00D51AF2"/>
    <w:rsid w:val="00D51D84"/>
    <w:rsid w:val="00D615E1"/>
    <w:rsid w:val="00D637E1"/>
    <w:rsid w:val="00D927A2"/>
    <w:rsid w:val="00DA4710"/>
    <w:rsid w:val="00DA79AC"/>
    <w:rsid w:val="00DB72E7"/>
    <w:rsid w:val="00DC1194"/>
    <w:rsid w:val="00DC415F"/>
    <w:rsid w:val="00DF0213"/>
    <w:rsid w:val="00DF5B9B"/>
    <w:rsid w:val="00E0705B"/>
    <w:rsid w:val="00E43CD1"/>
    <w:rsid w:val="00E50855"/>
    <w:rsid w:val="00E54C08"/>
    <w:rsid w:val="00E61278"/>
    <w:rsid w:val="00E66EBC"/>
    <w:rsid w:val="00E67067"/>
    <w:rsid w:val="00E76FC9"/>
    <w:rsid w:val="00E96515"/>
    <w:rsid w:val="00EB5566"/>
    <w:rsid w:val="00EC3FBC"/>
    <w:rsid w:val="00EF4605"/>
    <w:rsid w:val="00F22B54"/>
    <w:rsid w:val="00F242A6"/>
    <w:rsid w:val="00F32755"/>
    <w:rsid w:val="00F42B1B"/>
    <w:rsid w:val="00F43EB4"/>
    <w:rsid w:val="00F503DF"/>
    <w:rsid w:val="00F51097"/>
    <w:rsid w:val="00F616E2"/>
    <w:rsid w:val="00F649C1"/>
    <w:rsid w:val="00F705F0"/>
    <w:rsid w:val="00F87CF7"/>
    <w:rsid w:val="00F97006"/>
    <w:rsid w:val="00FA04CE"/>
    <w:rsid w:val="00FA140F"/>
    <w:rsid w:val="00FA555E"/>
    <w:rsid w:val="00FD4A73"/>
    <w:rsid w:val="00FE3C77"/>
    <w:rsid w:val="00FE3CC6"/>
    <w:rsid w:val="00FE6D34"/>
    <w:rsid w:val="7810B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9B8C"/>
  <w15:chartTrackingRefBased/>
  <w15:docId w15:val="{1CD9B2BF-CE2E-427F-A223-08837CBE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EC8"/>
    <w:pPr>
      <w:ind w:left="720"/>
      <w:contextualSpacing/>
    </w:pPr>
  </w:style>
  <w:style w:type="character" w:styleId="Hyperlink">
    <w:name w:val="Hyperlink"/>
    <w:basedOn w:val="DefaultParagraphFont"/>
    <w:uiPriority w:val="99"/>
    <w:unhideWhenUsed/>
    <w:rsid w:val="009F142A"/>
    <w:rPr>
      <w:color w:val="0563C1" w:themeColor="hyperlink"/>
      <w:u w:val="single"/>
    </w:rPr>
  </w:style>
  <w:style w:type="character" w:styleId="UnresolvedMention">
    <w:name w:val="Unresolved Mention"/>
    <w:basedOn w:val="DefaultParagraphFont"/>
    <w:uiPriority w:val="99"/>
    <w:unhideWhenUsed/>
    <w:rsid w:val="009F142A"/>
    <w:rPr>
      <w:color w:val="605E5C"/>
      <w:shd w:val="clear" w:color="auto" w:fill="E1DFDD"/>
    </w:rPr>
  </w:style>
  <w:style w:type="character" w:styleId="FollowedHyperlink">
    <w:name w:val="FollowedHyperlink"/>
    <w:basedOn w:val="DefaultParagraphFont"/>
    <w:uiPriority w:val="99"/>
    <w:semiHidden/>
    <w:unhideWhenUsed/>
    <w:rsid w:val="00FE6D34"/>
    <w:rPr>
      <w:color w:val="954F72" w:themeColor="followedHyperlink"/>
      <w:u w:val="single"/>
    </w:rPr>
  </w:style>
  <w:style w:type="character" w:styleId="Emphasis">
    <w:name w:val="Emphasis"/>
    <w:basedOn w:val="DefaultParagraphFont"/>
    <w:uiPriority w:val="20"/>
    <w:qFormat/>
    <w:rsid w:val="005951C7"/>
    <w:rPr>
      <w:i/>
      <w:iCs/>
    </w:rPr>
  </w:style>
  <w:style w:type="character" w:styleId="CommentReference">
    <w:name w:val="annotation reference"/>
    <w:basedOn w:val="DefaultParagraphFont"/>
    <w:uiPriority w:val="99"/>
    <w:semiHidden/>
    <w:unhideWhenUsed/>
    <w:rsid w:val="003B1DA4"/>
    <w:rPr>
      <w:sz w:val="16"/>
      <w:szCs w:val="16"/>
    </w:rPr>
  </w:style>
  <w:style w:type="paragraph" w:styleId="CommentText">
    <w:name w:val="annotation text"/>
    <w:basedOn w:val="Normal"/>
    <w:link w:val="CommentTextChar"/>
    <w:uiPriority w:val="99"/>
    <w:unhideWhenUsed/>
    <w:rsid w:val="003B1DA4"/>
    <w:pPr>
      <w:spacing w:after="0" w:line="240" w:lineRule="auto"/>
    </w:pPr>
    <w:rPr>
      <w:sz w:val="20"/>
      <w:szCs w:val="20"/>
    </w:rPr>
  </w:style>
  <w:style w:type="character" w:customStyle="1" w:styleId="CommentTextChar">
    <w:name w:val="Comment Text Char"/>
    <w:basedOn w:val="DefaultParagraphFont"/>
    <w:link w:val="CommentText"/>
    <w:uiPriority w:val="99"/>
    <w:rsid w:val="003B1DA4"/>
    <w:rPr>
      <w:sz w:val="20"/>
      <w:szCs w:val="20"/>
    </w:rPr>
  </w:style>
  <w:style w:type="paragraph" w:styleId="FootnoteText">
    <w:name w:val="footnote text"/>
    <w:basedOn w:val="Normal"/>
    <w:link w:val="FootnoteTextChar"/>
    <w:uiPriority w:val="99"/>
    <w:semiHidden/>
    <w:unhideWhenUsed/>
    <w:rsid w:val="003B1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DA4"/>
    <w:rPr>
      <w:sz w:val="20"/>
      <w:szCs w:val="20"/>
    </w:rPr>
  </w:style>
  <w:style w:type="character" w:styleId="FootnoteReference">
    <w:name w:val="footnote reference"/>
    <w:basedOn w:val="DefaultParagraphFont"/>
    <w:uiPriority w:val="99"/>
    <w:semiHidden/>
    <w:unhideWhenUsed/>
    <w:rsid w:val="003B1DA4"/>
    <w:rPr>
      <w:vertAlign w:val="superscript"/>
    </w:rPr>
  </w:style>
  <w:style w:type="paragraph" w:styleId="CommentSubject">
    <w:name w:val="annotation subject"/>
    <w:basedOn w:val="CommentText"/>
    <w:next w:val="CommentText"/>
    <w:link w:val="CommentSubjectChar"/>
    <w:uiPriority w:val="99"/>
    <w:semiHidden/>
    <w:unhideWhenUsed/>
    <w:rsid w:val="003800D8"/>
    <w:pPr>
      <w:spacing w:after="160"/>
    </w:pPr>
    <w:rPr>
      <w:b/>
      <w:bCs/>
    </w:rPr>
  </w:style>
  <w:style w:type="character" w:customStyle="1" w:styleId="CommentSubjectChar">
    <w:name w:val="Comment Subject Char"/>
    <w:basedOn w:val="CommentTextChar"/>
    <w:link w:val="CommentSubject"/>
    <w:uiPriority w:val="99"/>
    <w:semiHidden/>
    <w:rsid w:val="003800D8"/>
    <w:rPr>
      <w:b/>
      <w:bCs/>
      <w:sz w:val="20"/>
      <w:szCs w:val="20"/>
    </w:rPr>
  </w:style>
  <w:style w:type="paragraph" w:styleId="Header">
    <w:name w:val="header"/>
    <w:basedOn w:val="Normal"/>
    <w:link w:val="HeaderChar"/>
    <w:uiPriority w:val="99"/>
    <w:semiHidden/>
    <w:unhideWhenUsed/>
    <w:rsid w:val="00BB0A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A1A"/>
  </w:style>
  <w:style w:type="paragraph" w:styleId="Footer">
    <w:name w:val="footer"/>
    <w:basedOn w:val="Normal"/>
    <w:link w:val="FooterChar"/>
    <w:uiPriority w:val="99"/>
    <w:semiHidden/>
    <w:unhideWhenUsed/>
    <w:rsid w:val="00BB0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A1A"/>
  </w:style>
  <w:style w:type="character" w:styleId="Mention">
    <w:name w:val="Mention"/>
    <w:basedOn w:val="DefaultParagraphFont"/>
    <w:uiPriority w:val="99"/>
    <w:unhideWhenUsed/>
    <w:rsid w:val="00A36B39"/>
    <w:rPr>
      <w:color w:val="2B579A"/>
      <w:shd w:val="clear" w:color="auto" w:fill="E1DFDD"/>
    </w:rPr>
  </w:style>
  <w:style w:type="paragraph" w:styleId="Revision">
    <w:name w:val="Revision"/>
    <w:hidden/>
    <w:uiPriority w:val="99"/>
    <w:semiHidden/>
    <w:rsid w:val="007B4E87"/>
    <w:pPr>
      <w:spacing w:after="0" w:line="240" w:lineRule="auto"/>
    </w:pPr>
  </w:style>
  <w:style w:type="character" w:styleId="PlaceholderText">
    <w:name w:val="Placeholder Text"/>
    <w:basedOn w:val="DefaultParagraphFont"/>
    <w:uiPriority w:val="99"/>
    <w:semiHidden/>
    <w:rsid w:val="00003AF6"/>
    <w:rPr>
      <w:color w:val="808080"/>
    </w:rPr>
  </w:style>
  <w:style w:type="paragraph" w:styleId="NormalWeb">
    <w:name w:val="Normal (Web)"/>
    <w:basedOn w:val="Normal"/>
    <w:uiPriority w:val="99"/>
    <w:unhideWhenUsed/>
    <w:rsid w:val="0026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2755">
      <w:bodyDiv w:val="1"/>
      <w:marLeft w:val="0"/>
      <w:marRight w:val="0"/>
      <w:marTop w:val="0"/>
      <w:marBottom w:val="0"/>
      <w:divBdr>
        <w:top w:val="none" w:sz="0" w:space="0" w:color="auto"/>
        <w:left w:val="none" w:sz="0" w:space="0" w:color="auto"/>
        <w:bottom w:val="none" w:sz="0" w:space="0" w:color="auto"/>
        <w:right w:val="none" w:sz="0" w:space="0" w:color="auto"/>
      </w:divBdr>
    </w:div>
    <w:div w:id="234970586">
      <w:bodyDiv w:val="1"/>
      <w:marLeft w:val="0"/>
      <w:marRight w:val="0"/>
      <w:marTop w:val="0"/>
      <w:marBottom w:val="0"/>
      <w:divBdr>
        <w:top w:val="none" w:sz="0" w:space="0" w:color="auto"/>
        <w:left w:val="none" w:sz="0" w:space="0" w:color="auto"/>
        <w:bottom w:val="none" w:sz="0" w:space="0" w:color="auto"/>
        <w:right w:val="none" w:sz="0" w:space="0" w:color="auto"/>
      </w:divBdr>
    </w:div>
    <w:div w:id="402029658">
      <w:bodyDiv w:val="1"/>
      <w:marLeft w:val="0"/>
      <w:marRight w:val="0"/>
      <w:marTop w:val="0"/>
      <w:marBottom w:val="0"/>
      <w:divBdr>
        <w:top w:val="none" w:sz="0" w:space="0" w:color="auto"/>
        <w:left w:val="none" w:sz="0" w:space="0" w:color="auto"/>
        <w:bottom w:val="none" w:sz="0" w:space="0" w:color="auto"/>
        <w:right w:val="none" w:sz="0" w:space="0" w:color="auto"/>
      </w:divBdr>
    </w:div>
    <w:div w:id="614219763">
      <w:bodyDiv w:val="1"/>
      <w:marLeft w:val="0"/>
      <w:marRight w:val="0"/>
      <w:marTop w:val="0"/>
      <w:marBottom w:val="0"/>
      <w:divBdr>
        <w:top w:val="none" w:sz="0" w:space="0" w:color="auto"/>
        <w:left w:val="none" w:sz="0" w:space="0" w:color="auto"/>
        <w:bottom w:val="none" w:sz="0" w:space="0" w:color="auto"/>
        <w:right w:val="none" w:sz="0" w:space="0" w:color="auto"/>
      </w:divBdr>
    </w:div>
    <w:div w:id="726339866">
      <w:bodyDiv w:val="1"/>
      <w:marLeft w:val="0"/>
      <w:marRight w:val="0"/>
      <w:marTop w:val="0"/>
      <w:marBottom w:val="0"/>
      <w:divBdr>
        <w:top w:val="none" w:sz="0" w:space="0" w:color="auto"/>
        <w:left w:val="none" w:sz="0" w:space="0" w:color="auto"/>
        <w:bottom w:val="none" w:sz="0" w:space="0" w:color="auto"/>
        <w:right w:val="none" w:sz="0" w:space="0" w:color="auto"/>
      </w:divBdr>
    </w:div>
    <w:div w:id="778530836">
      <w:bodyDiv w:val="1"/>
      <w:marLeft w:val="0"/>
      <w:marRight w:val="0"/>
      <w:marTop w:val="0"/>
      <w:marBottom w:val="0"/>
      <w:divBdr>
        <w:top w:val="none" w:sz="0" w:space="0" w:color="auto"/>
        <w:left w:val="none" w:sz="0" w:space="0" w:color="auto"/>
        <w:bottom w:val="none" w:sz="0" w:space="0" w:color="auto"/>
        <w:right w:val="none" w:sz="0" w:space="0" w:color="auto"/>
      </w:divBdr>
    </w:div>
    <w:div w:id="881752086">
      <w:bodyDiv w:val="1"/>
      <w:marLeft w:val="0"/>
      <w:marRight w:val="0"/>
      <w:marTop w:val="0"/>
      <w:marBottom w:val="0"/>
      <w:divBdr>
        <w:top w:val="none" w:sz="0" w:space="0" w:color="auto"/>
        <w:left w:val="none" w:sz="0" w:space="0" w:color="auto"/>
        <w:bottom w:val="none" w:sz="0" w:space="0" w:color="auto"/>
        <w:right w:val="none" w:sz="0" w:space="0" w:color="auto"/>
      </w:divBdr>
    </w:div>
    <w:div w:id="886069597">
      <w:bodyDiv w:val="1"/>
      <w:marLeft w:val="0"/>
      <w:marRight w:val="0"/>
      <w:marTop w:val="0"/>
      <w:marBottom w:val="0"/>
      <w:divBdr>
        <w:top w:val="none" w:sz="0" w:space="0" w:color="auto"/>
        <w:left w:val="none" w:sz="0" w:space="0" w:color="auto"/>
        <w:bottom w:val="none" w:sz="0" w:space="0" w:color="auto"/>
        <w:right w:val="none" w:sz="0" w:space="0" w:color="auto"/>
      </w:divBdr>
    </w:div>
    <w:div w:id="1526864641">
      <w:bodyDiv w:val="1"/>
      <w:marLeft w:val="0"/>
      <w:marRight w:val="0"/>
      <w:marTop w:val="0"/>
      <w:marBottom w:val="0"/>
      <w:divBdr>
        <w:top w:val="none" w:sz="0" w:space="0" w:color="auto"/>
        <w:left w:val="none" w:sz="0" w:space="0" w:color="auto"/>
        <w:bottom w:val="none" w:sz="0" w:space="0" w:color="auto"/>
        <w:right w:val="none" w:sz="0" w:space="0" w:color="auto"/>
      </w:divBdr>
    </w:div>
    <w:div w:id="1628733087">
      <w:bodyDiv w:val="1"/>
      <w:marLeft w:val="0"/>
      <w:marRight w:val="0"/>
      <w:marTop w:val="0"/>
      <w:marBottom w:val="0"/>
      <w:divBdr>
        <w:top w:val="none" w:sz="0" w:space="0" w:color="auto"/>
        <w:left w:val="none" w:sz="0" w:space="0" w:color="auto"/>
        <w:bottom w:val="none" w:sz="0" w:space="0" w:color="auto"/>
        <w:right w:val="none" w:sz="0" w:space="0" w:color="auto"/>
      </w:divBdr>
    </w:div>
    <w:div w:id="19902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cbp.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3389/fpsyt.2020.529818" TargetMode="External"/><Relationship Id="rId7" Type="http://schemas.openxmlformats.org/officeDocument/2006/relationships/hyperlink" Target="https://doi.org/10.1016/j.healthplace.2019.102225" TargetMode="External"/><Relationship Id="rId2" Type="http://schemas.openxmlformats.org/officeDocument/2006/relationships/hyperlink" Target="https://doi.org/10.1108/09564230910952762" TargetMode="External"/><Relationship Id="rId1" Type="http://schemas.openxmlformats.org/officeDocument/2006/relationships/hyperlink" Target="https://doi.org/10.1016/j.healthplace.2019.102225" TargetMode="External"/><Relationship Id="rId6" Type="http://schemas.openxmlformats.org/officeDocument/2006/relationships/hyperlink" Target="https://www.census.gov/programs-surveys/cbp/technical-documentation/methodology.html" TargetMode="External"/><Relationship Id="rId5" Type="http://schemas.openxmlformats.org/officeDocument/2006/relationships/hyperlink" Target="https://doi.org/10.1111/j.1475-6773.2006.00500.x" TargetMode="External"/><Relationship Id="rId4" Type="http://schemas.openxmlformats.org/officeDocument/2006/relationships/hyperlink" Target="https://doi.org/10.3390/ijerph17041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44B0D-0BBD-4F97-9CBF-C58A779D5E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E9DDB2-F614-4383-A64D-7C97EA00D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50B91-BF4F-428B-B8B9-7747138FCDFF}">
  <ds:schemaRefs>
    <ds:schemaRef ds:uri="http://schemas.openxmlformats.org/officeDocument/2006/bibliography"/>
  </ds:schemaRefs>
</ds:datastoreItem>
</file>

<file path=customXml/itemProps4.xml><?xml version="1.0" encoding="utf-8"?>
<ds:datastoreItem xmlns:ds="http://schemas.openxmlformats.org/officeDocument/2006/customXml" ds:itemID="{2C49C30F-A63C-4880-A49F-B0C790D9B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 Leker</dc:creator>
  <cp:keywords/>
  <dc:description/>
  <cp:lastModifiedBy>Hannah G Leker</cp:lastModifiedBy>
  <cp:revision>275</cp:revision>
  <dcterms:created xsi:type="dcterms:W3CDTF">2021-08-05T17:36:00Z</dcterms:created>
  <dcterms:modified xsi:type="dcterms:W3CDTF">2021-12-07T20:25:00Z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