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Three findings follow. First, the forecast horizon must cover the actuation dead time or prediction is actively harmful: averaged over the 5 cold-start settings for which both sides of the boundary were sampled, violations fall from 3.00 % to 0.28 % as the horizon crosses HΔt = τc, and below that threshold the predictive controller is up to 6.67 percentage points worse than a reactive baseline, while above it it is up to 3.56 points better. Second, the integer problem can be solved to global optimality rather than approximated. The dead time confines the tracking-relevant decisions to the first H − τ + 1 steps of the horizon and leaves the remainder separable. This cuts the search from (2Δmax+1)^H to 4 nested integer choices, and the resulting solver matched exhaustive enumeration in 400 of 400 brute-forced plant states; completing the horizon greedily instead returned an optimal first action in only 354 of them, and never a better one. Third, relaxing integrality is not free: the relaxed-and-rounded controller disagrees with the exact solution on 19.4–71.4 % of control ticks and, at an aggressive utilisation target of 0.85, reaches 17.92 % violations against 3.75 % for the exact controller. Exact solution costs at most 43.2 ms per tick in the mean and 59.4 ms in the worst single solve observed, under 1.19 % of the control interval. These results come from simulation with synthetic workloads and bracketing predictors, not from a deployed system; every value reported is measured, and none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gaps motivate this work, and all three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tractability, and it is the reason the first gap has stayed open. Enforcing integrality on a receding-horizon problem appears to demand a search over (2Δmax + 1) raised to the power of the horizon length, which is why the usual response is either to relax the constraint or to enumerate the first action and complete the horizon with a heuristic. The second response is often described as exact on the grounds that only the first action is applied. That reasoning does not hold: the first action is chosen by comparing the costs of completed plans, so a biased completion biases the comparison. Whether an exact integer solve is affordable at container-scaling rates has not, as far as this survey found, been settled either way.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80" w:before="150"/>
      </w:pPr>
      <w:r>
        <w:rPr>
          <w:rFonts w:ascii="Times New Roman" w:cs="Times New Roman" w:eastAsia="Times New Roman" w:hAnsi="Times New Roman"/>
          <w:i/>
          <w:iCs/>
          <w:sz w:val="19"/>
          <w:szCs w:val="19"/>
        </w:rPr>
        <w:t xml:space="preserve">A worked example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concrete instance makes the condition tangible. Suppose a pool of eight replicas is serving 260 requests per second at a 65 % target, demand doubles over the next thirty seconds, and the container image takes 45 s to become ready. The requirement will rise to roughly sixteen replicas. A reactive controller observes the rise only as utilisation crosses its target, issues the scale-up at that moment, and the new replicas begin serving 45 s later, by which point the pool has been under-provisioned for the entire rise and part of the plateau.</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predictive controller with a one-step horizon is no better. It forecasts five seconds ahead, which tells it nothing about a transition that completes in thirty, and its scale-up lands at essentially the same moment as the reactive one, now with forecast error added. Only when the horizon reaches nine ticks does the forecast span the actuation delay, and only then can the controller issue at t the action whose effect arrives at t + 45 s, when the demand does. The measurements in Section V-A are this example repeated across six delays and ten horizons, and they show the transition occurring where this reasoning predicts.</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four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tractable exact solve, with its structural argument and its verification. Because an action issued now does not reach the pool for τ ticks, only the first H − τ + 1 actions of the horizon can influence any tracking term inside it, and the remaining actions enter the cost through a separable chain minimised by backward recursion. Together these cut the search to a size that can be enumerated, and the resulting solver is checked against exhaustive enumeration rather than asserted to be correct.</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and of the cost of approximating the solve. The exact controller is compared against an otherwise identical relaxed-and-rounded controller across five pool sizes, isolating the effect of the integrality constraint alone, and separately against a solver that enumerates first actions under a greedy horizon completion, isolating the effect of solving the integer problem only approximately.</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Incerto et al. (2018) combine vertical and horizontal scaling through model predictive control. Quattrocchi et al. (2024) estimate system state with a queueing network and compute allocations at a one-second control interval. Zou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00" w:before="200"/>
      </w:pPr>
      <w:r>
        <w:rPr>
          <w:rFonts w:ascii="Times New Roman" w:cs="Times New Roman" w:eastAsia="Times New Roman" w:hAnsi="Times New Roman"/>
          <w:b/>
          <w:bCs/>
          <w:i/>
          <w:iCs/>
          <w:sz w:val="19"/>
          <w:szCs w:val="19"/>
        </w:rPr>
        <w:t xml:space="preserve">F. Comparative Summary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 consolidates the reviewed work. The grouping is by the mechanism each study uses to decide the replica count, because that is the axis along which the present contribution is positioned. Two columns deserve attention. The methodology column records whether the decision variable is discrete; across the optimisation group it is not. The limitation column records whether actuation delay and decision churn are treated as first-class quantities; across all groups they are not.</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525"/>
        <w:gridCol w:w="1314"/>
        <w:gridCol w:w="2326"/>
        <w:gridCol w:w="1665"/>
        <w:gridCol w:w="2059"/>
        <w:gridCol w:w="2191"/>
      </w:tblGrid>
      <w:tr>
        <w:trPr>
          <w:cantSplit/>
          <w:tblHeader/>
        </w:trPr>
        <w:tc>
          <w:tcPr>
            <w:tcW w:type="dxa" w:w="5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Ref.</w:t>
            </w:r>
          </w:p>
        </w:tc>
        <w:tc>
          <w:tcPr>
            <w:tcW w:type="dxa" w:w="131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Mechanism</w:t>
            </w:r>
          </w:p>
        </w:tc>
        <w:tc>
          <w:tcPr>
            <w:tcW w:type="dxa" w:w="232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Methodology</w:t>
            </w:r>
          </w:p>
        </w:tc>
        <w:tc>
          <w:tcPr>
            <w:tcW w:type="dxa" w:w="166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Dataset / benchmark</w:t>
            </w:r>
          </w:p>
        </w:tc>
        <w:tc>
          <w:tcPr>
            <w:tcW w:type="dxa" w:w="20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Reported outcome</w:t>
            </w:r>
          </w:p>
        </w:tc>
        <w:tc>
          <w:tcPr>
            <w:tcW w:type="dxa" w:w="2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Limitation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Threshold</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HPA control law, analytic characterisation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Session-based CNF traffic</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Finite distinct tolerance intervals; bounds on reactive scaling</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Characterises the baseline only; no predictive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ETimeMixer with convolution; burst/non-burst state classification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Seven public cloud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 70 % utilisation with fewer scaling updates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Scaling rule is a state-dependent heuristic, not an optimisation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[3]</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Controlled comparison of statistical and neural forecasters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Kubernetes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Neural advantage is workload-dependent, not universal</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Comparison study; contributes no scaling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MPC over combined vertical and horizontal scaling</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web applications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First MPC formulation for container elasticity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no dead-time term; no churn metric</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Queueing-network state estimation, 1 s control interval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Two applications, seven workloads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Near-zero SLA violations at sub-millisecond decision cost</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Reactive state estimation; no lookahead across actuation delay</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Proactive forecaster + reactive estimator in one chance-constrained MPC</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Alipay production traces, three clusters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&gt; 36 % fewer SLO violations than a hybrid baseline</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rounded for use; no integrality constraint; no churn penalty; 30 min intervals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[7]</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Hybrid learning + control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Deep forecaster supplying feedforward, feedback law correcting residual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microservice benchmarks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Feedback term stabilises the loop when the predictor degrades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Controller gains tuned per application; no hard constraints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Convolution-augmented Transformer, local and global workload structure</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Cloud-native and serverless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short bursts and long periodicity jointly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Model footprint impractical for sidecar deployment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[9]</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Graph / RL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Hierarchical graph neural network over container dependencies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Real-world microservice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inter-service coupling in the scaling decision</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safety guarantee during exploration; sample-inefficient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Survey</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Four-dimensional taxonomy over triggers, targets, models, metrics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Systematic review</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Maps the design space; identifies drift-awareness gap</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empirical evaluation of the proposed indices</w:t>
            </w:r>
          </w:p>
        </w:tc>
      </w:tr>
    </w:tbl>
    <w:p>
      <w:pPr>
        <w:keepLines/>
        <w:spacing w:after="180" w:before="70"/>
        <w:jc w:val="center"/>
      </w:pPr>
      <w:r>
        <w:rPr>
          <w:rFonts w:ascii="Times New Roman" w:cs="Times New Roman" w:eastAsia="Times New Roman" w:hAnsi="Times New Roman"/>
          <w:sz w:val="16"/>
          <w:szCs w:val="16"/>
        </w:rPr>
        <w:t xml:space="preserve">Table I. Reviewed work grouped by decision mechanism. Outcomes are as reported by the original authors and were not reproduced here; the present work reproduces none of these systems and makes no numerical comparison against their published figures.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Nowhere in the table is the replica count treated as an integer decision variable. The optimisation group, the closest antecedent of this work, relaxes integrality and rounds the solution, and none of those studies reports what the rounding costs. Actuation delay is handled explicitly in a single entry, and there at a granularity two orders of magnitude slower than container start-up. Decision churn is reported nowhere at all, although every scaling action consumes a container start or stop and redistributes live connections. Those three omissions are what Section V measures.</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1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531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353175" cy="3314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1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keepLines/>
        <w:spacing w:after="120" w:before="120"/>
        <w:jc w:val="center"/>
      </w:pPr>
      <w:r>
        <w:drawing>
          <wp:inline distT="0" distB="0" distL="0" distR="0">
            <wp:extent cx="1781175"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81175" cy="171450"/>
                    </a:xfrm>
                    <a:prstGeom prst="rect">
                      <a:avLst/>
                    </a:prstGeom>
                  </pic:spPr>
                </pic:pic>
              </a:graphicData>
            </a:graphic>
          </wp:inline>
        </w:drawing>
      </w:r>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keepLines/>
        <w:spacing w:after="120" w:before="120"/>
        <w:jc w:val="center"/>
      </w:pPr>
      <w:r>
        <w:drawing>
          <wp:inline distT="0" distB="0" distL="0" distR="0">
            <wp:extent cx="14478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447800" cy="247650"/>
                    </a:xfrm>
                    <a:prstGeom prst="rect">
                      <a:avLst/>
                    </a:prstGeom>
                  </pic:spPr>
                </pic:pic>
              </a:graphicData>
            </a:graphic>
          </wp:inline>
        </w:drawing>
      </w:r>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keepLines/>
        <w:spacing w:after="120" w:before="120"/>
        <w:jc w:val="center"/>
      </w:pPr>
      <w:r>
        <w:drawing>
          <wp:inline distT="0" distB="0" distL="0" distR="0">
            <wp:extent cx="24765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171450"/>
                    </a:xfrm>
                    <a:prstGeom prst="rect">
                      <a:avLst/>
                    </a:prstGeom>
                  </pic:spPr>
                </pic:pic>
              </a:graphicData>
            </a:graphic>
          </wp:inline>
        </w:drawing>
      </w:r>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keepLines/>
        <w:spacing w:after="120" w:before="120"/>
        <w:jc w:val="center"/>
      </w:pPr>
      <w:r>
        <w:drawing>
          <wp:inline distT="0" distB="0" distL="0" distR="0">
            <wp:extent cx="19526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52625" cy="238125"/>
                    </a:xfrm>
                    <a:prstGeom prst="rect">
                      <a:avLst/>
                    </a:prstGeom>
                  </pic:spPr>
                </pic:pic>
              </a:graphicData>
            </a:graphic>
          </wp:inline>
        </w:drawing>
      </w:r>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keepLines/>
        <w:spacing w:after="120" w:before="120"/>
        <w:jc w:val="center"/>
      </w:pPr>
      <w:r>
        <w:drawing>
          <wp:inline distT="0" distB="0" distL="0" distR="0">
            <wp:extent cx="24098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09825" cy="152400"/>
                    </a:xfrm>
                    <a:prstGeom prst="rect">
                      <a:avLst/>
                    </a:prstGeom>
                  </pic:spPr>
                </pic:pic>
              </a:graphicData>
            </a:graphic>
          </wp:inline>
        </w:drawing>
      </w:r>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keepLines/>
        <w:spacing w:after="120" w:before="120"/>
        <w:jc w:val="center"/>
      </w:pPr>
      <w:r>
        <w:drawing>
          <wp:inline distT="0" distB="0" distL="0" distR="0">
            <wp:extent cx="9239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23925" cy="152400"/>
                    </a:xfrm>
                    <a:prstGeom prst="rect">
                      <a:avLst/>
                    </a:prstGeom>
                  </pic:spPr>
                </pic:pic>
              </a:graphicData>
            </a:graphic>
          </wp:inline>
        </w:drawing>
      </w:r>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ectPr>
          <w:footerReference w:type="default" r:id="rId12"/>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4191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0" cy="323850"/>
                    </a:xfrm>
                    <a:prstGeom prst="rect">
                      <a:avLst/>
                    </a:prstGeom>
                  </pic:spPr>
                </pic:pic>
              </a:graphicData>
            </a:graphic>
          </wp:inline>
        </w:drawing>
      </w:r>
      <w:r>
        <w:rPr>
          <w:rFonts w:ascii="Times New Roman" w:cs="Times New Roman" w:eastAsia="Times New Roman" w:hAnsi="Times New Roman"/>
          <w:sz w:val="19"/>
          <w:szCs w:val="19"/>
        </w:rPr>
        <w:t xml:space="preserve"> (7)</w:t>
      </w:r>
    </w:p>
    <w:p>
      <w:pPr>
        <w:sectPr>
          <w:footerReference w:type="default" r:id="rId1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ectPr>
          <w:footerReference w:type="default" r:id="rId14"/>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7432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43200" cy="171450"/>
                    </a:xfrm>
                    <a:prstGeom prst="rect">
                      <a:avLst/>
                    </a:prstGeom>
                  </pic:spPr>
                </pic:pic>
              </a:graphicData>
            </a:graphic>
          </wp:inline>
        </w:drawing>
      </w:r>
      <w:r>
        <w:rPr>
          <w:rFonts w:ascii="Times New Roman" w:cs="Times New Roman" w:eastAsia="Times New Roman" w:hAnsi="Times New Roman"/>
          <w:sz w:val="19"/>
          <w:szCs w:val="19"/>
        </w:rPr>
        <w:t xml:space="preserve"> (8)</w:t>
      </w:r>
    </w:p>
    <w:p>
      <w:pPr>
        <w:sectPr>
          <w:footerReference w:type="default" r:id="rId1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keepLines/>
        <w:spacing w:after="120" w:before="120"/>
        <w:jc w:val="center"/>
      </w:pPr>
      <w:r>
        <w:drawing>
          <wp:inline distT="0" distB="0" distL="0" distR="0">
            <wp:extent cx="22860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286000" cy="152400"/>
                    </a:xfrm>
                    <a:prstGeom prst="rect">
                      <a:avLst/>
                    </a:prstGeom>
                  </pic:spPr>
                </pic:pic>
              </a:graphicData>
            </a:graphic>
          </wp:inline>
        </w:drawing>
      </w:r>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constraint is kept rather than relaxed. Section III-E shows that the actuation dead time confines the decisions that can affect the horizon to its first few steps and renders the remainder separable, which is what makes an exact solve affordable here. Section V reports the cost of this choice in both directions: the solve time, which stays below 59.4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ectPr>
          <w:footerReference w:type="default" r:id="rId16"/>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886075"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886075" cy="180975"/>
                    </a:xfrm>
                    <a:prstGeom prst="rect">
                      <a:avLst/>
                    </a:prstGeom>
                  </pic:spPr>
                </pic:pic>
              </a:graphicData>
            </a:graphic>
          </wp:inline>
        </w:drawing>
      </w:r>
      <w:r>
        <w:rPr>
          <w:rFonts w:ascii="Times New Roman" w:cs="Times New Roman" w:eastAsia="Times New Roman" w:hAnsi="Times New Roman"/>
          <w:sz w:val="19"/>
          <w:szCs w:val="19"/>
        </w:rPr>
        <w:t xml:space="preserve"> (10)</w:t>
      </w:r>
    </w:p>
    <w:p>
      <w:pPr>
        <w:sectPr>
          <w:footerReference w:type="default" r:id="rId17"/>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keepLines/>
        <w:spacing w:after="120" w:before="120"/>
        <w:jc w:val="center"/>
      </w:pPr>
      <w:r>
        <w:drawing>
          <wp:inline distT="0" distB="0" distL="0" distR="0">
            <wp:extent cx="19621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62150" cy="161925"/>
                    </a:xfrm>
                    <a:prstGeom prst="rect">
                      <a:avLst/>
                    </a:prstGeom>
                  </pic:spPr>
                </pic:pic>
              </a:graphicData>
            </a:graphic>
          </wp:inline>
        </w:drawing>
      </w:r>
      <w:r>
        <w:rPr>
          <w:rFonts w:ascii="Times New Roman" w:cs="Times New Roman" w:eastAsia="Times New Roman" w:hAnsi="Times New Roman"/>
          <w:sz w:val="19"/>
          <w:szCs w:val="19"/>
        </w:rPr>
        <w:t xml:space="preserve"> (11)</w:t>
      </w:r>
    </w:p>
    <w:p>
      <w:pPr>
        <w:spacing w:after="100" w:before="200"/>
      </w:pPr>
      <w:r>
        <w:rPr>
          <w:rFonts w:ascii="Times New Roman" w:cs="Times New Roman" w:eastAsia="Times New Roman" w:hAnsi="Times New Roman"/>
          <w:b/>
          <w:bCs/>
          <w:i/>
          <w:iCs/>
          <w:sz w:val="19"/>
          <w:szCs w:val="19"/>
        </w:rPr>
        <w:t xml:space="preserve">E. Algorithms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1 states the per-tick control loop. Lines 2 to 4 realise the observation and capacity mapping of Section III-A, line 6 the safety ceiling, line 9 the integer optimisation, and lines 11 to 14 the feasibility projections and gates in the order given in Section III-C. The order is load-bearing: projections precede gates, so an unusual forecast cannot defeat the pool bounds or the rate limit by routing around them.</w:t>
      </w:r>
    </w:p>
    <w:p>
      <w:pPr>
        <w:sectPr>
          <w:footerReference w:type="default" r:id="rId1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1: PACT control tick</w:t>
            </w:r>
          </w:p>
          <w:p>
            <w:pPr>
              <w:keepNext/>
              <w:keepLines/>
              <w:spacing w:after="0" w:line="190"/>
            </w:pPr>
            <w:r>
              <w:rPr>
                <w:rFonts w:ascii="Consolas" w:cs="Consolas" w:eastAsia="Consolas" w:hAnsi="Consolas"/>
                <w:sz w:val="15"/>
                <w:szCs w:val="15"/>
              </w:rPr>
              <w:t xml:space="preserve"> 1  input  N(t), pending, u_prev, γ(t), config</w:t>
            </w:r>
          </w:p>
          <w:p>
            <w:pPr>
              <w:keepNext/>
              <w:keepLines/>
              <w:spacing w:after="0" w:line="190"/>
            </w:pPr>
            <w:r>
              <w:rPr>
                <w:rFonts w:ascii="Consolas" w:cs="Consolas" w:eastAsia="Consolas" w:hAnsi="Consolas"/>
                <w:sz w:val="15"/>
                <w:szCs w:val="15"/>
              </w:rPr>
              <w:t xml:space="preserve"> 2  obs   ← observe_pool()                      // Eq. (1)</w:t>
            </w:r>
          </w:p>
          <w:p>
            <w:pPr>
              <w:keepNext/>
              <w:keepLines/>
              <w:spacing w:after="0" w:line="190"/>
            </w:pPr>
            <w:r>
              <w:rPr>
                <w:rFonts w:ascii="Consolas" w:cs="Consolas" w:eastAsia="Consolas" w:hAnsi="Consolas"/>
                <w:sz w:val="15"/>
                <w:szCs w:val="15"/>
              </w:rPr>
              <w:t xml:space="preserve"> 3  Ŷ     ← forecast(obs, H)                     // predictor</w:t>
            </w:r>
          </w:p>
          <w:p>
            <w:pPr>
              <w:keepNext/>
              <w:keepLines/>
              <w:spacing w:after="0" w:line="190"/>
            </w:pPr>
            <w:r>
              <w:rPr>
                <w:rFonts w:ascii="Consolas" w:cs="Consolas" w:eastAsia="Consolas" w:hAnsi="Consolas"/>
                <w:sz w:val="15"/>
                <w:szCs w:val="15"/>
              </w:rPr>
              <w:t xml:space="preserve"> 4  Ñ[1..H] ← capacity_map(Ŷ, N(t), γ)          // Eq. (2)-(4)</w:t>
            </w:r>
          </w:p>
          <w:p>
            <w:pPr>
              <w:keepNext/>
              <w:keepLines/>
              <w:spacing w:after="0" w:line="190"/>
            </w:pPr>
            <w:r>
              <w:rPr>
                <w:rFonts w:ascii="Consolas" w:cs="Consolas" w:eastAsia="Consolas" w:hAnsi="Consolas"/>
                <w:sz w:val="15"/>
                <w:szCs w:val="15"/>
              </w:rPr>
              <w:t xml:space="preserve"> 5</w:t>
            </w:r>
          </w:p>
          <w:p>
            <w:pPr>
              <w:keepNext/>
              <w:keepLines/>
              <w:spacing w:after="0" w:line="190"/>
            </w:pPr>
            <w:r>
              <w:rPr>
                <w:rFonts w:ascii="Consolas" w:cs="Consolas" w:eastAsia="Consolas" w:hAnsi="Consolas"/>
                <w:sz w:val="15"/>
                <w:szCs w:val="15"/>
              </w:rPr>
              <w:t xml:space="preserve"> 6  if obs.u &gt; u_emergency then                  // ceiling</w:t>
            </w:r>
          </w:p>
          <w:p>
            <w:pPr>
              <w:keepNext/>
              <w:keepLines/>
              <w:spacing w:after="0" w:line="190"/>
            </w:pPr>
            <w:r>
              <w:rPr>
                <w:rFonts w:ascii="Consolas" w:cs="Consolas" w:eastAsia="Consolas" w:hAnsi="Consolas"/>
                <w:sz w:val="15"/>
                <w:szCs w:val="15"/>
              </w:rPr>
              <w:t xml:space="preserve"> 7      return immediate_scale_up(N(t), obs.u)</w:t>
            </w:r>
          </w:p>
          <w:p>
            <w:pPr>
              <w:keepNext/>
              <w:keepLines/>
              <w:spacing w:after="0" w:line="190"/>
            </w:pPr>
            <w:r>
              <w:rPr>
                <w:rFonts w:ascii="Consolas" w:cs="Consolas" w:eastAsia="Consolas" w:hAnsi="Consolas"/>
                <w:sz w:val="15"/>
                <w:szCs w:val="15"/>
              </w:rPr>
              <w:t xml:space="preserve"> 8</w:t>
            </w:r>
          </w:p>
          <w:p>
            <w:pPr>
              <w:keepNext/>
              <w:keepLines/>
              <w:spacing w:after="0" w:line="190"/>
            </w:pPr>
            <w:r>
              <w:rPr>
                <w:rFonts w:ascii="Consolas" w:cs="Consolas" w:eastAsia="Consolas" w:hAnsi="Consolas"/>
                <w:sz w:val="15"/>
                <w:szCs w:val="15"/>
              </w:rPr>
              <w:t xml:space="preserve"> 9  u* ← argmin J(u) over u ∈ [−Δmax, Δmax] ∩ ℤ  // Eq. (7)-(9)</w:t>
            </w:r>
          </w:p>
          <w:p>
            <w:pPr>
              <w:keepNext/>
              <w:keepLines/>
              <w:spacing w:after="0" w:line="190"/>
            </w:pPr>
            <w:r>
              <w:rPr>
                <w:rFonts w:ascii="Consolas" w:cs="Consolas" w:eastAsia="Consolas" w:hAnsi="Consolas"/>
                <w:sz w:val="15"/>
                <w:szCs w:val="15"/>
              </w:rPr>
              <w:t xml:space="preserve">10</w:t>
            </w:r>
          </w:p>
          <w:p>
            <w:pPr>
              <w:keepNext/>
              <w:keepLines/>
              <w:spacing w:after="0" w:line="190"/>
            </w:pPr>
            <w:r>
              <w:rPr>
                <w:rFonts w:ascii="Consolas" w:cs="Consolas" w:eastAsia="Consolas" w:hAnsi="Consolas"/>
                <w:sz w:val="15"/>
                <w:szCs w:val="15"/>
              </w:rPr>
              <w:t xml:space="preserve">11  u ← clip(u*, −Δmax, Δmax)                    // rate limit</w:t>
            </w:r>
          </w:p>
          <w:p>
            <w:pPr>
              <w:keepNext/>
              <w:keepLines/>
              <w:spacing w:after="0" w:line="190"/>
            </w:pPr>
            <w:r>
              <w:rPr>
                <w:rFonts w:ascii="Consolas" w:cs="Consolas" w:eastAsia="Consolas" w:hAnsi="Consolas"/>
                <w:sz w:val="15"/>
                <w:szCs w:val="15"/>
              </w:rPr>
              <w:t xml:space="preserve">12  u ← clip(N(t)+u, Nmin, Nmax) − N(t)           // pool bounds</w:t>
            </w:r>
          </w:p>
          <w:p>
            <w:pPr>
              <w:keepNext/>
              <w:keepLines/>
              <w:spacing w:after="0" w:line="190"/>
            </w:pPr>
            <w:r>
              <w:rPr>
                <w:rFonts w:ascii="Consolas" w:cs="Consolas" w:eastAsia="Consolas" w:hAnsi="Consolas"/>
                <w:sz w:val="15"/>
                <w:szCs w:val="15"/>
              </w:rPr>
              <w:t xml:space="preserve">13  if |u| &lt; θ then u ← 0                         // deadband</w:t>
            </w:r>
          </w:p>
          <w:p>
            <w:pPr>
              <w:keepNext/>
              <w:keepLines/>
              <w:spacing w:after="0" w:line="190"/>
            </w:pPr>
            <w:r>
              <w:rPr>
                <w:rFonts w:ascii="Consolas" w:cs="Consolas" w:eastAsia="Consolas" w:hAnsi="Consolas"/>
                <w:sz w:val="15"/>
                <w:szCs w:val="15"/>
              </w:rPr>
              <w:t xml:space="preserve">14  if u &lt; 0 and t − t_up &lt; T_cool then u ← 0     // cooldown</w:t>
            </w:r>
          </w:p>
          <w:p>
            <w:pPr>
              <w:keepNext/>
              <w:keepLines/>
              <w:spacing w:after="0" w:line="190"/>
            </w:pPr>
            <w:r>
              <w:rPr>
                <w:rFonts w:ascii="Consolas" w:cs="Consolas" w:eastAsia="Consolas" w:hAnsi="Consolas"/>
                <w:sz w:val="15"/>
                <w:szCs w:val="15"/>
              </w:rPr>
              <w:t xml:space="preserve">15</w:t>
            </w:r>
          </w:p>
          <w:p>
            <w:pPr>
              <w:keepNext/>
              <w:keepLines/>
              <w:spacing w:after="0" w:line="190"/>
            </w:pPr>
            <w:r>
              <w:rPr>
                <w:rFonts w:ascii="Consolas" w:cs="Consolas" w:eastAsia="Consolas" w:hAnsi="Consolas"/>
                <w:sz w:val="15"/>
                <w:szCs w:val="15"/>
              </w:rPr>
              <w:t xml:space="preserve">16  actuate(N(t) + u)</w:t>
            </w:r>
          </w:p>
          <w:p>
            <w:pPr>
              <w:keepNext/>
              <w:keepLines/>
              <w:spacing w:after="0" w:line="190"/>
            </w:pPr>
            <w:r>
              <w:rPr>
                <w:rFonts w:ascii="Consolas" w:cs="Consolas" w:eastAsia="Consolas" w:hAnsi="Consolas"/>
                <w:sz w:val="15"/>
                <w:szCs w:val="15"/>
              </w:rPr>
              <w:t xml:space="preserve">17  γ(t+1) ← margin_update(γ(t), e(t))            // Eq. (11)</w:t>
            </w:r>
          </w:p>
          <w:p>
            <w:pPr>
              <w:keepNext/>
              <w:keepLines/>
              <w:spacing w:after="0" w:line="190"/>
            </w:pPr>
            <w:r>
              <w:rPr>
                <w:rFonts w:ascii="Consolas" w:cs="Consolas" w:eastAsia="Consolas" w:hAnsi="Consolas"/>
                <w:sz w:val="15"/>
                <w:szCs w:val="15"/>
              </w:rPr>
              <w:t xml:space="preserve">18  return u</w:t>
            </w:r>
          </w:p>
          <w:p>
            <w:pPr>
              <w:keepLines/>
              <w:spacing w:after="0" w:before="60"/>
            </w:pPr>
            <w:r>
              <w:rPr>
                <w:rFonts w:ascii="Times New Roman" w:cs="Times New Roman" w:eastAsia="Times New Roman" w:hAnsi="Times New Roman"/>
                <w:sz w:val="14"/>
                <w:szCs w:val="14"/>
              </w:rPr>
              <w:t xml:space="preserve">Algorithm 1. One control tick. Gates (13–14) can only suppress an action, never create one.</w:t>
            </w:r>
          </w:p>
        </w:tc>
      </w:tr>
    </w:tbl>
    <w:p>
      <w:pPr>
        <w:sectPr>
          <w:footerReference w:type="default" r:id="rId1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2 states the integer solve of line 9. Solving it exactly looks expensive: the decision space has (2Δmax + 1)^H points, which is 9^12 at the configuration used here. Two properties of the dead-time plant reduce it to something that can be enumerated.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truncation. Because u(t+j) does not appear in N until tick t + j + τ, it can enter a tracking term (N(t+k+1) − Ñ(t+1+k))² only when j + τ ≤ k + 1. Over k = 0 … H − 1 that confines the tracking-relevant actions to j ≤ H − τ, so only m = max(1, H − τ + 1) of the H decision variables can move the tracking cost at all. Saturation of N at the pool bounds does not weaken the argument, because saturation depends only on what has already landed. At τ = 9 and H = 12 this gives m = 4, an enumeration over 9⁴ = 6561 sequences rather than 9¹².</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separability of the remainder. Actions u(t+m) … u(t+H−1) land after the horizon ends, so they contribute only the decoupled chain Σ[r u² + s(u − u_prev)²] and their own admissibility. That is a scalar shortest-path problem in (committed, u_prev), minimised exactly by backward recursion. The remainder is not identically zero: with r = 0.15, s = 0.60 and u(t+m−1) = 4, holding the tail at zero costs 9.60 against 4.35 for a ramp-down. A completion that zeroes the tail therefore overstates the cost of every plan ending on a large action, and because the overstatement depends on the plan it does not cancel in the argmin.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Memoising the recursion on the full controllable state (k, N, pending, u_prev) keeps the procedure tractable at the opposite extreme. When τ is small the pending queue is short, so distinct action prefixes collapse onto the same state and the recursion is polynomial; when τ is large the queue is long but m is small and the tree is shallow. The two regimes are complementary, which is why a single procedure covers the whole grid swept in Section V-A.</w:t>
      </w:r>
    </w:p>
    <w:p>
      <w:pPr>
        <w:sectPr>
          <w:footerReference w:type="default" r:id="rId2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2: Globally optimal integer first action</w:t>
            </w:r>
          </w:p>
          <w:p>
            <w:pPr>
              <w:keepNext/>
              <w:keepLines/>
              <w:spacing w:after="0" w:line="190"/>
            </w:pPr>
            <w:r>
              <w:rPr>
                <w:rFonts w:ascii="Consolas" w:cs="Consolas" w:eastAsia="Consolas" w:hAnsi="Consolas"/>
                <w:sz w:val="15"/>
                <w:szCs w:val="15"/>
              </w:rPr>
              <w:t xml:space="preserve"> 1  input  N, Ñ[1..H], pending, u_prev, config</w:t>
            </w:r>
          </w:p>
          <w:p>
            <w:pPr>
              <w:keepNext/>
              <w:keepLines/>
              <w:spacing w:after="0" w:line="190"/>
            </w:pPr>
            <w:r>
              <w:rPr>
                <w:rFonts w:ascii="Consolas" w:cs="Consolas" w:eastAsia="Consolas" w:hAnsi="Consolas"/>
                <w:sz w:val="15"/>
                <w:szCs w:val="15"/>
              </w:rPr>
              <w:t xml:space="preserve"> 2  m ← max(1, H − τ + 1)                        // truncation</w:t>
            </w:r>
          </w:p>
          <w:p>
            <w:pPr>
              <w:keepNext/>
              <w:keepLines/>
              <w:spacing w:after="0" w:line="190"/>
            </w:pPr>
            <w:r>
              <w:rPr>
                <w:rFonts w:ascii="Consolas" w:cs="Consolas" w:eastAsia="Consolas" w:hAnsi="Consolas"/>
                <w:sz w:val="15"/>
                <w:szCs w:val="15"/>
              </w:rPr>
              <w:t xml:space="preserve"> 3  memo ← { }</w:t>
            </w:r>
          </w:p>
          <w:p>
            <w:pPr>
              <w:keepNext/>
              <w:keepLines/>
              <w:spacing w:after="0" w:line="190"/>
            </w:pPr>
            <w:r>
              <w:rPr>
                <w:rFonts w:ascii="Consolas" w:cs="Consolas" w:eastAsia="Consolas" w:hAnsi="Consolas"/>
                <w:sz w:val="15"/>
                <w:szCs w:val="15"/>
              </w:rPr>
              <w:t xml:space="preserve"> 4</w:t>
            </w:r>
          </w:p>
          <w:p>
            <w:pPr>
              <w:keepNext/>
              <w:keepLines/>
              <w:spacing w:after="0" w:line="190"/>
            </w:pPr>
            <w:r>
              <w:rPr>
                <w:rFonts w:ascii="Consolas" w:cs="Consolas" w:eastAsia="Consolas" w:hAnsi="Consolas"/>
                <w:sz w:val="15"/>
                <w:szCs w:val="15"/>
              </w:rPr>
              <w:t xml:space="preserve"> 5  function V(k, n, p, prev):                   // cost-to-go</w:t>
            </w:r>
          </w:p>
          <w:p>
            <w:pPr>
              <w:keepNext/>
              <w:keepLines/>
              <w:spacing w:after="0" w:line="190"/>
            </w:pPr>
            <w:r>
              <w:rPr>
                <w:rFonts w:ascii="Consolas" w:cs="Consolas" w:eastAsia="Consolas" w:hAnsi="Consolas"/>
                <w:sz w:val="15"/>
                <w:szCs w:val="15"/>
              </w:rPr>
              <w:t xml:space="preserve"> 6      if k = m then</w:t>
            </w:r>
          </w:p>
          <w:p>
            <w:pPr>
              <w:keepNext/>
              <w:keepLines/>
              <w:spacing w:after="0" w:line="190"/>
            </w:pPr>
            <w:r>
              <w:rPr>
                <w:rFonts w:ascii="Consolas" w:cs="Consolas" w:eastAsia="Consolas" w:hAnsi="Consolas"/>
                <w:sz w:val="15"/>
                <w:szCs w:val="15"/>
              </w:rPr>
              <w:t xml:space="preserve"> 7          return tail_track(n, p, Ñ) + chain(n, p, prev)</w:t>
            </w:r>
          </w:p>
          <w:p>
            <w:pPr>
              <w:keepNext/>
              <w:keepLines/>
              <w:spacing w:after="0" w:line="190"/>
            </w:pPr>
            <w:r>
              <w:rPr>
                <w:rFonts w:ascii="Consolas" w:cs="Consolas" w:eastAsia="Consolas" w:hAnsi="Consolas"/>
                <w:sz w:val="15"/>
                <w:szCs w:val="15"/>
              </w:rPr>
              <w:t xml:space="preserve"> 8      if (k, n, p, prev) ∈ memo then return memo[·]</w:t>
            </w:r>
          </w:p>
          <w:p>
            <w:pPr>
              <w:keepNext/>
              <w:keepLines/>
              <w:spacing w:after="0" w:line="190"/>
            </w:pPr>
            <w:r>
              <w:rPr>
                <w:rFonts w:ascii="Consolas" w:cs="Consolas" w:eastAsia="Consolas" w:hAnsi="Consolas"/>
                <w:sz w:val="15"/>
                <w:szCs w:val="15"/>
              </w:rPr>
              <w:t xml:space="preserve"> 9      v ← ∞;  cm ← committed(n, p)</w:t>
            </w:r>
          </w:p>
          <w:p>
            <w:pPr>
              <w:keepNext/>
              <w:keepLines/>
              <w:spacing w:after="0" w:line="190"/>
            </w:pPr>
            <w:r>
              <w:rPr>
                <w:rFonts w:ascii="Consolas" w:cs="Consolas" w:eastAsia="Consolas" w:hAnsi="Consolas"/>
                <w:sz w:val="15"/>
                <w:szCs w:val="15"/>
              </w:rPr>
              <w:t xml:space="preserve">10      for a ∈ {−Δmax, …, +Δmax} do</w:t>
            </w:r>
          </w:p>
          <w:p>
            <w:pPr>
              <w:keepNext/>
              <w:keepLines/>
              <w:spacing w:after="0" w:line="190"/>
            </w:pPr>
            <w:r>
              <w:rPr>
                <w:rFonts w:ascii="Consolas" w:cs="Consolas" w:eastAsia="Consolas" w:hAnsi="Consolas"/>
                <w:sz w:val="15"/>
                <w:szCs w:val="15"/>
              </w:rPr>
              <w:t xml:space="preserve">11          if cm + a ∉ [Nmin, Nmax] then continue</w:t>
            </w:r>
          </w:p>
          <w:p>
            <w:pPr>
              <w:keepNext/>
              <w:keepLines/>
              <w:spacing w:after="0" w:line="190"/>
            </w:pPr>
            <w:r>
              <w:rPr>
                <w:rFonts w:ascii="Consolas" w:cs="Consolas" w:eastAsia="Consolas" w:hAnsi="Consolas"/>
                <w:sz w:val="15"/>
                <w:szCs w:val="15"/>
              </w:rPr>
              <w:t xml:space="preserve">12          n′, p′ ← plant(n, p, a, τ)           // Eq. (5)</w:t>
            </w:r>
          </w:p>
          <w:p>
            <w:pPr>
              <w:keepNext/>
              <w:keepLines/>
              <w:spacing w:after="0" w:line="190"/>
            </w:pPr>
            <w:r>
              <w:rPr>
                <w:rFonts w:ascii="Consolas" w:cs="Consolas" w:eastAsia="Consolas" w:hAnsi="Consolas"/>
                <w:sz w:val="15"/>
                <w:szCs w:val="15"/>
              </w:rPr>
              <w:t xml:space="preserve">13          q ← (n′ &lt; Ñ[k+1]) ? q⁺ : q⁻          // Eq. (8)</w:t>
            </w:r>
          </w:p>
          <w:p>
            <w:pPr>
              <w:keepNext/>
              <w:keepLines/>
              <w:spacing w:after="0" w:line="190"/>
            </w:pPr>
            <w:r>
              <w:rPr>
                <w:rFonts w:ascii="Consolas" w:cs="Consolas" w:eastAsia="Consolas" w:hAnsi="Consolas"/>
                <w:sz w:val="15"/>
                <w:szCs w:val="15"/>
              </w:rPr>
              <w:t xml:space="preserve">14          c ← q(n′ − Ñ[k+1])² + r a² + s(a − prev)²</w:t>
            </w:r>
          </w:p>
          <w:p>
            <w:pPr>
              <w:keepNext/>
              <w:keepLines/>
              <w:spacing w:after="0" w:line="190"/>
            </w:pPr>
            <w:r>
              <w:rPr>
                <w:rFonts w:ascii="Consolas" w:cs="Consolas" w:eastAsia="Consolas" w:hAnsi="Consolas"/>
                <w:sz w:val="15"/>
                <w:szCs w:val="15"/>
              </w:rPr>
              <w:t xml:space="preserve">15          v ← min(v, c + V(k+1, n′, p′, a))</w:t>
            </w:r>
          </w:p>
          <w:p>
            <w:pPr>
              <w:keepNext/>
              <w:keepLines/>
              <w:spacing w:after="0" w:line="190"/>
            </w:pPr>
            <w:r>
              <w:rPr>
                <w:rFonts w:ascii="Consolas" w:cs="Consolas" w:eastAsia="Consolas" w:hAnsi="Consolas"/>
                <w:sz w:val="15"/>
                <w:szCs w:val="15"/>
              </w:rPr>
              <w:t xml:space="preserve">16      memo[(k, n, p, prev)] ← v;  return v</w:t>
            </w:r>
          </w:p>
          <w:p>
            <w:pPr>
              <w:keepNext/>
              <w:keepLines/>
              <w:spacing w:after="0" w:line="190"/>
            </w:pPr>
            <w:r>
              <w:rPr>
                <w:rFonts w:ascii="Consolas" w:cs="Consolas" w:eastAsia="Consolas" w:hAnsi="Consolas"/>
                <w:sz w:val="15"/>
                <w:szCs w:val="15"/>
              </w:rPr>
              <w:t xml:space="preserve">17</w:t>
            </w:r>
          </w:p>
          <w:p>
            <w:pPr>
              <w:keepNext/>
              <w:keepLines/>
              <w:spacing w:after="0" w:line="190"/>
            </w:pPr>
            <w:r>
              <w:rPr>
                <w:rFonts w:ascii="Consolas" w:cs="Consolas" w:eastAsia="Consolas" w:hAnsi="Consolas"/>
                <w:sz w:val="15"/>
                <w:szCs w:val="15"/>
              </w:rPr>
              <w:t xml:space="preserve">18  best ← ∞;  u_best ← 0;  cm ← committed(N, pending)</w:t>
            </w:r>
          </w:p>
          <w:p>
            <w:pPr>
              <w:keepNext/>
              <w:keepLines/>
              <w:spacing w:after="0" w:line="190"/>
            </w:pPr>
            <w:r>
              <w:rPr>
                <w:rFonts w:ascii="Consolas" w:cs="Consolas" w:eastAsia="Consolas" w:hAnsi="Consolas"/>
                <w:sz w:val="15"/>
                <w:szCs w:val="15"/>
              </w:rPr>
              <w:t xml:space="preserve">19  for u ∈ {−Δmax, …, 0, …, +Δmax} do</w:t>
            </w:r>
          </w:p>
          <w:p>
            <w:pPr>
              <w:keepNext/>
              <w:keepLines/>
              <w:spacing w:after="0" w:line="190"/>
            </w:pPr>
            <w:r>
              <w:rPr>
                <w:rFonts w:ascii="Consolas" w:cs="Consolas" w:eastAsia="Consolas" w:hAnsi="Consolas"/>
                <w:sz w:val="15"/>
                <w:szCs w:val="15"/>
              </w:rPr>
              <w:t xml:space="preserve">20      if cm + u ∉ [Nmin, Nmax] then continue</w:t>
            </w:r>
          </w:p>
          <w:p>
            <w:pPr>
              <w:keepNext/>
              <w:keepLines/>
              <w:spacing w:after="0" w:line="190"/>
            </w:pPr>
            <w:r>
              <w:rPr>
                <w:rFonts w:ascii="Consolas" w:cs="Consolas" w:eastAsia="Consolas" w:hAnsi="Consolas"/>
                <w:sz w:val="15"/>
                <w:szCs w:val="15"/>
              </w:rPr>
              <w:t xml:space="preserve">21      n′, p′ ← plant(N, pending, u, τ)</w:t>
            </w:r>
          </w:p>
          <w:p>
            <w:pPr>
              <w:keepNext/>
              <w:keepLines/>
              <w:spacing w:after="0" w:line="190"/>
            </w:pPr>
            <w:r>
              <w:rPr>
                <w:rFonts w:ascii="Consolas" w:cs="Consolas" w:eastAsia="Consolas" w:hAnsi="Consolas"/>
                <w:sz w:val="15"/>
                <w:szCs w:val="15"/>
              </w:rPr>
              <w:t xml:space="preserve">22      q ← (n′ &lt; Ñ[1]) ? q⁺ : q⁻</w:t>
            </w:r>
          </w:p>
          <w:p>
            <w:pPr>
              <w:keepNext/>
              <w:keepLines/>
              <w:spacing w:after="0" w:line="190"/>
            </w:pPr>
            <w:r>
              <w:rPr>
                <w:rFonts w:ascii="Consolas" w:cs="Consolas" w:eastAsia="Consolas" w:hAnsi="Consolas"/>
                <w:sz w:val="15"/>
                <w:szCs w:val="15"/>
              </w:rPr>
              <w:t xml:space="preserve">23      c ← q(n′ − Ñ[1])² + r u² + s(u − u_prev)²</w:t>
            </w:r>
          </w:p>
          <w:p>
            <w:pPr>
              <w:keepNext/>
              <w:keepLines/>
              <w:spacing w:after="0" w:line="190"/>
            </w:pPr>
            <w:r>
              <w:rPr>
                <w:rFonts w:ascii="Consolas" w:cs="Consolas" w:eastAsia="Consolas" w:hAnsi="Consolas"/>
                <w:sz w:val="15"/>
                <w:szCs w:val="15"/>
              </w:rPr>
              <w:t xml:space="preserve">24      if c + V(1, n′, p′, u) &lt; best then</w:t>
            </w:r>
          </w:p>
          <w:p>
            <w:pPr>
              <w:keepNext/>
              <w:keepLines/>
              <w:spacing w:after="0" w:line="190"/>
            </w:pPr>
            <w:r>
              <w:rPr>
                <w:rFonts w:ascii="Consolas" w:cs="Consolas" w:eastAsia="Consolas" w:hAnsi="Consolas"/>
                <w:sz w:val="15"/>
                <w:szCs w:val="15"/>
              </w:rPr>
              <w:t xml:space="preserve">25          best ← c + V(1, n′, p′, u);  u_best ← u</w:t>
            </w:r>
          </w:p>
          <w:p>
            <w:pPr>
              <w:keepNext/>
              <w:keepLines/>
              <w:spacing w:after="0" w:line="190"/>
            </w:pPr>
            <w:r>
              <w:rPr>
                <w:rFonts w:ascii="Consolas" w:cs="Consolas" w:eastAsia="Consolas" w:hAnsi="Consolas"/>
                <w:sz w:val="15"/>
                <w:szCs w:val="15"/>
              </w:rPr>
              <w:t xml:space="preserve">26  return u_best</w:t>
            </w:r>
          </w:p>
          <w:p>
            <w:pPr>
              <w:keepLines/>
              <w:spacing w:after="0" w:before="60"/>
            </w:pPr>
            <w:r>
              <w:rPr>
                <w:rFonts w:ascii="Times New Roman" w:cs="Times New Roman" w:eastAsia="Times New Roman" w:hAnsi="Times New Roman"/>
                <w:sz w:val="14"/>
                <w:szCs w:val="14"/>
              </w:rPr>
              <w:t xml:space="preserve">Algorithm 2. Exact integer solve. tail_track evaluates the tracking terms of stages m … H−1, which the truncation argument fixes independently of the remaining actions; chain is the backward recursion over the decoupled actuation and churn terms of those stages. Both are exact, so the returned first action is the global optimum.</w:t>
            </w:r>
          </w:p>
        </w:tc>
      </w:tr>
    </w:tbl>
    <w:p>
      <w:pPr>
        <w:sectPr>
          <w:footerReference w:type="default" r:id="rId21"/>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is O((2Δmax + 1)^m · H) when the dead time is long and polynomial in H when it is short, with no iteration to convergence and therefore no data-dependent worst case. Section V-H reports the measured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Correctness was checked against exhaustive enumeration rather than argued. Across ten configurations small enough to enumerate the full (2Δmax + 1)^H decision space, the first action returned by Algorithm 2 was compared with brute force on 400 randomly drawn plant states; it attained the brute-force optimum in 400 of them. The same comparison prices the alternative of completing the horizon greedily: a solver that enumerates first actions and then tracks demand myopically returned an optimal first action in only 354 of those 400 cases. Section V-I quantifies the gap at the configuration used throughout this paper.</w:t>
      </w:r>
    </w:p>
    <w:p>
      <w:pPr>
        <w:spacing w:after="100" w:before="200"/>
      </w:pPr>
      <w:r>
        <w:rPr>
          <w:rFonts w:ascii="Times New Roman" w:cs="Times New Roman" w:eastAsia="Times New Roman" w:hAnsi="Times New Roman"/>
          <w:b/>
          <w:bCs/>
          <w:i/>
          <w:iCs/>
          <w:sz w:val="19"/>
          <w:szCs w:val="19"/>
        </w:rPr>
        <w:t xml:space="preserve">F. Module-Level Implementation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is implemented as five modules with narrow interfaces, so that each can be disabled independently for the ablation of Section V-E and so that the measurement harness can substitute a predictor without touching the control path. This subsection records what each module does in the implementation, at the level of detail needed to reproduce it.</w:t>
      </w:r>
    </w:p>
    <w:p>
      <w:pPr>
        <w:spacing w:after="80" w:before="150"/>
      </w:pPr>
      <w:r>
        <w:rPr>
          <w:rFonts w:ascii="Times New Roman" w:cs="Times New Roman" w:eastAsia="Times New Roman" w:hAnsi="Times New Roman"/>
          <w:i/>
          <w:iCs/>
          <w:sz w:val="19"/>
          <w:szCs w:val="19"/>
        </w:rPr>
        <w:t xml:space="preserve">Telemetry and feature construction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collector exposes a single method returning the observation vector of (1). Container runtimes report cumulative counters rather than rates: processor time arrives as consumed nanoseconds and network and block activity as byte totals. Each is differenced against the previous sample and divided by the interval before it carries meaning as load. Counter resets, which occur when a container restarts, would otherwise produce a large negative rate; the implementation detects a decrease and treats the new value as the first sample of a fresh counter rather than differencing across the discontinuity.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channel is then smoothed by a first-order exponentially weighted filter and mapped to the unit interval using per-channel bounds estimated once and frozen. Freezing matters: if the normalisation adapted online, the same raw utilisation would map to different model inputs at different times and the predictor would be chasing a moving target. The implementation enforces this by refusing to refit the normaliser after it has been frozen, which converts a subtle statistical error into an immediate exception.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derived channels are appended. The first is the per-replica arrival intensity, the arrival rate divided by the current replica count. Without it the predictor would be forecasting a signal that the controller itself modifies, because utilisation falls whenever the controller adds capacity; dividing it out leaves the exogenous demand. The second is the time of day encoded as a sine and cosine pair, which supplies daily periodicity without requiring the model to span a full day of history.</w:t>
      </w:r>
    </w:p>
    <w:p>
      <w:pPr>
        <w:spacing w:after="80" w:before="150"/>
      </w:pPr>
      <w:r>
        <w:rPr>
          <w:rFonts w:ascii="Times New Roman" w:cs="Times New Roman" w:eastAsia="Times New Roman" w:hAnsi="Times New Roman"/>
          <w:i/>
          <w:iCs/>
          <w:sz w:val="19"/>
          <w:szCs w:val="19"/>
        </w:rPr>
        <w:t xml:space="preserve">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mapper is a pure function with no internal state, which makes it trivially testable and means the ablation can replace it without disturbing anything else. For each horizon step it computes the processor-bound requirement from (2), the memory-bound requirement, takes the larger of the two as in (3), and then increases the candidate while the latency estimate of (4) exceeds the objective. That loop terminates because the candidate increases strictly and is bounded above by the pool maximum, a property worth stating because an unbounded search inside a control loop is a liveness hazard rather than merely a performance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ceiling in (2) is deliberate. Rounding to nearest would accept a shortfall of up to half a replica as adequate, and at the small pool sizes this work targets half a replica can be several per cent of total capacity. The margin γ is applied before the ceiling rather than after, so that a small margin can still change the integer outcome rather than being rounded away.</w:t>
      </w:r>
    </w:p>
    <w:p>
      <w:pPr>
        <w:spacing w:after="80" w:before="150"/>
      </w:pPr>
      <w:r>
        <w:rPr>
          <w:rFonts w:ascii="Times New Roman" w:cs="Times New Roman" w:eastAsia="Times New Roman" w:hAnsi="Times New Roman"/>
          <w:i/>
          <w:iCs/>
          <w:sz w:val="19"/>
          <w:szCs w:val="19"/>
        </w:rPr>
        <w:t xml:space="preserve">Gate ordering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gates apply in a fixed order: round the relaxed value, clip to the rate limit, clip to the pool bounds, apply the deadband, then apply the cooldown. The order separates feasibility from policy. The first three steps guarantee the action is admissible with respect to the hard constraints of (9); the last two decide whether an admissible action is worth taking. Reversing them would allow a deadband or cooldown decision to be taken on an action that the bounds were about to modify, so that the gate would be reasoning about a value never applied.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implementation records the intermediate value at each stage rather than only the final action. This is not instrumentation for its own sake: when a controller produces an unexpected replica count, the question is always which stage changed the decision, and a single logged number cannot answer it.</w:t>
      </w:r>
    </w:p>
    <w:p>
      <w:pPr>
        <w:spacing w:after="80" w:before="150"/>
      </w:pPr>
      <w:r>
        <w:rPr>
          <w:rFonts w:ascii="Times New Roman" w:cs="Times New Roman" w:eastAsia="Times New Roman" w:hAnsi="Times New Roman"/>
          <w:i/>
          <w:iCs/>
          <w:sz w:val="19"/>
          <w:szCs w:val="19"/>
        </w:rPr>
        <w:t xml:space="preserve">Drift monitoring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monitor compares the replica count the observed load actually required at tick t against the count that was predicted for t by the forecast issued at t − τ. Implementing that comparison requires retaining each issued horizon keyed by both its target tick and its issue tick, because the relevant prediction is a specific element of a specific past forecast rather than the most recent one. An off-by-one here is silent: the margin still adapts, it simply adapts against the wrong comparison, and nothing in the output distinguishes the two. The implementation therefore keys the buffer explicitly and the test suite verifies the alignment against hand-computed values.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update itself is the clipped integral of (11). Clipping is what prevents a single anomalous period from driving the margin to a value that is expensive to unwind, and it is also what makes the mechanism deterministic in the sense this paper uses: the margin is a scalar with known bounds and a known update rule, inspectable in a log line, rather than a posterior that must be sampled.</w:t>
      </w:r>
    </w:p>
    <w:p>
      <w:pPr>
        <w:spacing w:after="80" w:before="150"/>
      </w:pPr>
      <w:r>
        <w:rPr>
          <w:rFonts w:ascii="Times New Roman" w:cs="Times New Roman" w:eastAsia="Times New Roman" w:hAnsi="Times New Roman"/>
          <w:i/>
          <w:iCs/>
          <w:sz w:val="19"/>
          <w:szCs w:val="19"/>
        </w:rPr>
        <w:t xml:space="preserve">Actuation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actuator applies the action to the plant with the same bounds and rate limit the controller assumed, which closes the loop consistently. The repository also contains a Docker backend that issues scale commands and reconciles the observed container count against the desired one, polling until they agree or a timeout expires. That backend is idempotent, so issuing the current count is a no-op, and it is asynchronous, so reconciliation never blocks a control tick. It was not exercised in this evaluation because no container runtime was available; Fig. 1 marks it accordingly.</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5fb39916ab.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C. Plant Model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plant is the component that determines how far these results transfer, so its assumptions are stated explicitly rather than left to the source.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maintains two sets, ready replicas and pending replicas. An action that adds capacity places the new replicas in the pending set with a release tick τ ahead of the present; they contribute no service capacity until that tick arrives. An action that removes capacity takes effect immediately, which is the asymmetry a real container runtime exhibits, since stopping a process is fast and starting one is not. Offered load is divided among ready replicas only.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 is modelled as a multi-server queue whose per-replica rate is constant. Tail latency follows the heavy-traffic approximation of (4) with a p95 obtained by assuming an exponential sojourn distribution, which is exact for a single-server Markovian queue and an approximation otherwise. Memory is modelled as a fixed per-replica baseline plus a term proportional to utilisation. The approximation diverges as utilisation approaches unity; Section IV-A describes the censoring applied there and every reported mean carries its censoring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real deployments are absent and each bounds the conclusions. Replica start-up is a fixed latency rather than a distribution, so the variance that image-pull contention and scheduler queuing introduce is not represented. Replicas are identical, so heterogeneous hosts and noisy neighbours are absent. Requests are not queued across the capacity change, so the transient when a new replica joins and the load balancer redistributes connections is not modelled. All three would make the plant harder to control, and the measured service-level figures should therefore be read as optimistic in absolute terms even though the comparisons between controllers, which share the plant, remain valid.</w:t>
      </w:r>
    </w:p>
    <w:p>
      <w:pPr>
        <w:spacing w:after="100" w:before="200"/>
      </w:pPr>
      <w:r>
        <w:rPr>
          <w:rFonts w:ascii="Times New Roman" w:cs="Times New Roman" w:eastAsia="Times New Roman" w:hAnsi="Times New Roman"/>
          <w:b/>
          <w:bCs/>
          <w:i/>
          <w:iCs/>
          <w:sz w:val="19"/>
          <w:szCs w:val="19"/>
        </w:rPr>
        <w:t xml:space="preserve">D. Datasets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p>
      <w:pPr>
        <w:sectPr>
          <w:footerReference w:type="default" r:id="rId2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15"/>
        <w:gridCol w:w="3238"/>
        <w:gridCol w:w="2364"/>
        <w:gridCol w:w="1368"/>
        <w:gridCol w:w="995"/>
      </w:tblGrid>
      <w:tr>
        <w:trPr>
          <w:cantSplit/>
          <w:tblHeader/>
        </w:trPr>
        <w:tc>
          <w:tcPr>
            <w:tcW w:type="dxa" w:w="211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Trace family</w:t>
            </w:r>
          </w:p>
        </w:tc>
        <w:tc>
          <w:tcPr>
            <w:tcW w:type="dxa" w:w="323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Shape</w:t>
            </w:r>
          </w:p>
        </w:tc>
        <w:tc>
          <w:tcPr>
            <w:tcW w:type="dxa" w:w="23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Provenance</w:t>
            </w:r>
          </w:p>
        </w:tc>
        <w:tc>
          <w:tcPr>
            <w:tcW w:type="dxa" w:w="136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per run</w:t>
            </w:r>
          </w:p>
        </w:tc>
        <w:tc>
          <w:tcPr>
            <w:tcW w:type="dxa" w:w="99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Seeds</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Diurnal</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Burst</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Ramp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Step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Sawtooth</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bl>
    <w:p>
      <w:pPr>
        <w:keepLines/>
        <w:spacing w:after="180" w:before="70"/>
        <w:jc w:val="center"/>
      </w:pPr>
      <w:r>
        <w:rPr>
          <w:rFonts w:ascii="Times New Roman" w:cs="Times New Roman" w:eastAsia="Times New Roman" w:hAnsi="Times New Roman"/>
          <w:sz w:val="16"/>
          <w:szCs w:val="16"/>
        </w:rPr>
        <w:t xml:space="preserve">Table II. Workload families. All traces are generated by experiments/harness.py in the project repository; none is a public trace. Every method sees the identical trace for a given family and seed.</w:t>
      </w:r>
    </w:p>
    <w:p>
      <w:pPr>
        <w:sectPr>
          <w:footerReference w:type="default" r:id="rId23"/>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F. Methods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G. Metrics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00" w:before="200"/>
      </w:pPr>
      <w:r>
        <w:rPr>
          <w:rFonts w:ascii="Times New Roman" w:cs="Times New Roman" w:eastAsia="Times New Roman" w:hAnsi="Times New Roman"/>
          <w:b/>
          <w:bCs/>
          <w:i/>
          <w:iCs/>
          <w:sz w:val="19"/>
          <w:szCs w:val="19"/>
        </w:rPr>
        <w:t xml:space="preserve">F. Configuration and Reproducibility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III lists every parameter that affects the reported results. Values marked as swept are varied in the experiment indicated; all others are held fixed throughout. The repository reproduces every result file and figure from this configuration with the command sequence given at the end of this subsection.</w:t>
      </w:r>
    </w:p>
    <w:p>
      <w:pPr>
        <w:sectPr>
          <w:footerReference w:type="default" r:id="rId2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06"/>
        <w:gridCol w:w="3517"/>
        <w:gridCol w:w="2813"/>
        <w:gridCol w:w="2344"/>
      </w:tblGrid>
      <w:tr>
        <w:trPr>
          <w:cantSplit/>
          <w:tblHeader/>
        </w:trPr>
        <w:tc>
          <w:tcPr>
            <w:tcW w:type="dxa" w:w="14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Symbol</w:t>
            </w:r>
          </w:p>
        </w:tc>
        <w:tc>
          <w:tcPr>
            <w:tcW w:type="dxa" w:w="351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2813"/>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2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Set by</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Δt</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 interval</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 horizon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12 ticks (60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τc</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Cold-start latency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E12</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μ</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Per-replica service rate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 req/s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utilisation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E6</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memory fraction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0.75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ℓmax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objective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cₐ², cₛ²</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Squared CVs of arrival, service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1.0, 1.0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Nmin, Nmax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Pool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1, 16</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Nmax swept in E3</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Per-tick rate limit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 replicas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 / q⁻</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Tracking asymmetry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 / 1</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Actuation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0.15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Churn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θ</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Deadband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replica</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T_cool</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Cooldown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u_emergency</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Safety-ceiling threshold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0.92</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κγ, η</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gain, error smoothing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0.02, 0.20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γmin, γmax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0.00, 0.50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Ticks per run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Seeds per configuration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(E1, E4); 3–8 elsewhere</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 experiment</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censoring ceiling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5000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bl>
    <w:p>
      <w:pPr>
        <w:keepLines/>
        <w:spacing w:after="180" w:before="70"/>
        <w:jc w:val="center"/>
      </w:pPr>
      <w:r>
        <w:rPr>
          <w:rFonts w:ascii="Times New Roman" w:cs="Times New Roman" w:eastAsia="Times New Roman" w:hAnsi="Times New Roman"/>
          <w:sz w:val="16"/>
          <w:szCs w:val="16"/>
        </w:rPr>
        <w:t xml:space="preserve">Table III. Complete parameter set. Values are those used unless the experiment named in the final column varies them.</w:t>
      </w:r>
    </w:p>
    <w:p>
      <w:pPr>
        <w:sectPr>
          <w:footerReference w:type="default" r:id="rId2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bCs/>
          <w:i w:val="false"/>
          <w:iCs w:val="false"/>
          <w:sz w:val="19"/>
          <w:szCs w:val="19"/>
        </w:rPr>
        <w:t xml:space="preserve">Reproduction. </w:t>
      </w:r>
      <w:r>
        <w:rPr>
          <w:rFonts w:ascii="Times New Roman" w:cs="Times New Roman" w:eastAsia="Times New Roman" w:hAnsi="Times New Roman"/>
          <w:b w:val="false"/>
          <w:bCs w:val="false"/>
          <w:i w:val="false"/>
          <w:iCs w:val="false"/>
          <w:sz w:val="19"/>
          <w:szCs w:val="19"/>
        </w:rPr>
        <w:t xml:space="preserve">From a clean checkout: python3 experiments/run_all.py writes the primary result files; python3 experiments/run_more.py writes the sensitivity, timing and breakdown files; python3 experiments/make_figures.py and make_figures2.py regenerate every plot; node experiments/paper.js rebuilds this document, reading each reported value from the result files at build time. Total runtime for the experiment stage is approximately six minutes on the platform recorded in results/manifest.json.</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III through XII and Figs. 2 through 15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The grid covers six cold-start values, but at the shortest of them every horizon tested already satisfies the bound, so that setting yields no below-boundary measurement and is excluded from the average. Over the remaining 5, which bracket the boundary on both sides, the rate falls from 3.00 % below the boundary to 0.28 % above it. The effect is monotone in τc: at τc = 5 s the controller is already near its floor at the shortest horizon tested, whereas at τc = 90 s it remains at 5.85 %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6.67 percentage points. Once the horizon covers the dead time it is better, by up to 3.56 points. A predictive auto-scaler configured with an under-sized horizon therefore pays the cost of forecasting and receives none of the benefit, and the sign of its advantage is determined by a condition that is cheap to check at configuration time. What makes the condition useful is that it can be checked before deployment: it compares the configured horizon against the measured ready-time of the image, and needs no model of the workload.</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067050" cy="23622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tc>
      </w:tr>
    </w:tbl>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067050" cy="22764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tc>
      </w:tr>
    </w:tbl>
    <w:p>
      <w:pPr>
        <w:sectPr>
          <w:footerReference w:type="default" r:id="rId26"/>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98"/>
        <w:gridCol w:w="1197"/>
        <w:gridCol w:w="1500"/>
        <w:gridCol w:w="1497"/>
        <w:gridCol w:w="1497"/>
        <w:gridCol w:w="1197"/>
        <w:gridCol w:w="1247"/>
        <w:gridCol w:w="1247"/>
      </w:tblGrid>
      <w:tr>
        <w:trPr>
          <w:cantSplit/>
          <w:tblHeader/>
        </w:trPr>
        <w:tc>
          <w:tcPr>
            <w:tcW w:type="dxa" w:w="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τc (s)</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Ticks of delay</w:t>
            </w:r>
          </w:p>
          <w:p>
            <w:pPr>
              <w:keepNext/>
              <w:keepLines/>
              <w:spacing w:after="0" w:line="210"/>
              <w:jc w:val="center"/>
            </w:pPr>
            <w:r>
              <w:rPr>
                <w:rFonts w:ascii="Times New Roman" w:cs="Times New Roman" w:eastAsia="Times New Roman" w:hAnsi="Times New Roman"/>
                <w:b/>
                <w:bCs/>
                <w:sz w:val="12"/>
                <w:szCs w:val="12"/>
              </w:rPr>
              <w:t xml:space="preserve">⌈τc/Δt⌉</w:t>
            </w:r>
          </w:p>
        </w:tc>
        <w:tc>
          <w:tcPr>
            <w:tcW w:type="dxa" w:w="15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First H meeting (6)</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below</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above</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Reactive</w:t>
            </w:r>
          </w:p>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Worst margin</w:t>
            </w:r>
          </w:p>
          <w:p>
            <w:pPr>
              <w:keepNext/>
              <w:keepLines/>
              <w:spacing w:after="0" w:line="210"/>
              <w:jc w:val="center"/>
            </w:pPr>
            <w:r>
              <w:rPr>
                <w:rFonts w:ascii="Times New Roman" w:cs="Times New Roman" w:eastAsia="Times New Roman" w:hAnsi="Times New Roman"/>
                <w:b/>
                <w:bCs/>
                <w:sz w:val="12"/>
                <w:szCs w:val="12"/>
              </w:rPr>
              <w:t xml:space="preserve">below (pp)</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Best margin</w:t>
            </w:r>
          </w:p>
          <w:p>
            <w:pPr>
              <w:keepNext/>
              <w:keepLines/>
              <w:spacing w:after="0" w:line="210"/>
              <w:jc w:val="center"/>
            </w:pPr>
            <w:r>
              <w:rPr>
                <w:rFonts w:ascii="Times New Roman" w:cs="Times New Roman" w:eastAsia="Times New Roman" w:hAnsi="Times New Roman"/>
                <w:b/>
                <w:bCs/>
                <w:sz w:val="12"/>
                <w:szCs w:val="12"/>
              </w:rPr>
              <w:t xml:space="preserve">above (pp)</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0.07</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0.17</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0.11</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0.06</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0.42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0.36</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1.89</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0.13</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-0.83</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2.67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0.17</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3.44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2.58</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20</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5.85</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0.91</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4.44</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-6.67</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3.56</w:t>
            </w:r>
          </w:p>
        </w:tc>
      </w:tr>
    </w:tbl>
    <w:p>
      <w:pPr>
        <w:keepLines/>
        <w:spacing w:after="180" w:before="70"/>
        <w:jc w:val="center"/>
      </w:pPr>
      <w:r>
        <w:rPr>
          <w:rFonts w:ascii="Times New Roman" w:cs="Times New Roman" w:eastAsia="Times New Roman" w:hAnsi="Times New Roman"/>
          <w:sz w:val="16"/>
          <w:szCs w:val="16"/>
        </w:rPr>
        <w:t xml:space="preserve">Table IV. The horizon–dead-time transition, by cold-start setting. Violation columns average over the horizons on each side of the boundary HΔt = τc. The margin columns give the difference from the reactive baseline, where a negative value means the predictive controller was worse. At τc = 5 s the shortest horizon tested already satisfies (6), so no value falls below the boundary. Synthetic traces, 3 families × 3 seeds per cell.</w:t>
      </w:r>
    </w:p>
    <w:p>
      <w:pPr>
        <w:sectPr>
          <w:footerReference w:type="default" r:id="rId27"/>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Reading the table by row makes the mechanism concrete. At τc = 45 s the plant needs 9 ticks of lookahead; the sweep tested H = 8 and H = 12 on either side, and the violation rate falls from 2.67 % to 0.17 % between them. The reactive baseline on the same traces sits at 1.75 %, so an under-configured predictive controller is 0.92 points worse than not predicting at all, while a correctly configured one is 1.58 points better. The same pattern holds at every delay tested, and the boundary moves with τc exactly as (6) requires rather than at some fixed horizon that would indicate a different cause.</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V reports the result and Fig. 4 shows it graphically.</w:t>
      </w:r>
    </w:p>
    <w:p>
      <w:pPr>
        <w:sectPr>
          <w:footerReference w:type="default" r:id="rId2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96"/>
        <w:gridCol w:w="2329"/>
        <w:gridCol w:w="1661"/>
        <w:gridCol w:w="1772"/>
        <w:gridCol w:w="1661"/>
        <w:gridCol w:w="1661"/>
      </w:tblGrid>
      <w:tr>
        <w:trPr>
          <w:cantSplit/>
          <w:tblHeader/>
        </w:trPr>
        <w:tc>
          <w:tcPr>
            <w:tcW w:type="dxa" w:w="99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Nₘₐₓ</w:t>
            </w:r>
          </w:p>
        </w:tc>
        <w:tc>
          <w:tcPr>
            <w:tcW w:type="dxa" w:w="232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where</w:t>
            </w:r>
          </w:p>
          <w:p>
            <w:pPr>
              <w:keepNext/>
              <w:keepLines/>
              <w:spacing w:after="0" w:line="210"/>
              <w:jc w:val="center"/>
            </w:pPr>
            <w:r>
              <w:rPr>
                <w:rFonts w:ascii="Times New Roman" w:cs="Times New Roman" w:eastAsia="Times New Roman" w:hAnsi="Times New Roman"/>
                <w:b/>
                <w:bCs/>
                <w:sz w:val="15"/>
                <w:szCs w:val="15"/>
              </w:rPr>
              <w:t xml:space="preserve">decisions differ (%)</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exact</w:t>
            </w:r>
          </w:p>
        </w:tc>
        <w:tc>
          <w:tcPr>
            <w:tcW w:type="dxa" w:w="177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rounded</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Δ violation (pp)</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Mean solve (ms)</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19.4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47.0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6.9</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0.256</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40.2</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7.50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2.025</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8</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35.6</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49.8</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43.8</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14.342</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44.6</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101.2</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31.919</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71.4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66.0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221.3</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1.05</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43.178</w:t>
            </w:r>
          </w:p>
        </w:tc>
      </w:tr>
    </w:tbl>
    <w:p>
      <w:pPr>
        <w:keepLines/>
        <w:spacing w:after="180" w:before="70"/>
        <w:jc w:val="center"/>
      </w:pPr>
      <w:r>
        <w:rPr>
          <w:rFonts w:ascii="Times New Roman" w:cs="Times New Roman" w:eastAsia="Times New Roman" w:hAnsi="Times New Roman"/>
          <w:sz w:val="16"/>
          <w:szCs w:val="16"/>
        </w:rPr>
        <w:t xml:space="preserve">Table V. Integer-exact against relaxed-and-rounded control, by pool bound. Synthetic traces, five families × five seeds per row. A positive Δ violation means the rounded controller violated more often.</w:t>
      </w:r>
    </w:p>
    <w:p>
      <w:pPr>
        <w:sectPr>
          <w:footerReference w:type="default" r:id="rId2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19.4 % at the smallest pool to 71.4 % at the largest. The disagreement does not translate into a large difference in violation rate at this operating point — the mean difference ranges from 0.71 to 7.50 percentage points — but it translates strongly into churn. At Nₘₐₓ = 16 the exact controller issues 45 scaling actions per run against 101 for the rounded controller, and at Nₘₐₓ = 32 the figures are 66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43.18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ectPr>
          <w:footerReference w:type="default" r:id="rId3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305550" cy="2171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ectPr>
          <w:footerReference w:type="default" r:id="rId3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VI reports the extremes and Fig. 5 shows the full sweep.</w:t>
      </w:r>
    </w:p>
    <w:p>
      <w:pPr>
        <w:sectPr>
          <w:footerReference w:type="default" r:id="rId3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218"/>
        <w:gridCol w:w="1552"/>
        <w:gridCol w:w="1550"/>
        <w:gridCol w:w="1440"/>
        <w:gridCol w:w="1440"/>
        <w:gridCol w:w="1440"/>
        <w:gridCol w:w="1440"/>
      </w:tblGrid>
      <w:tr>
        <w:trPr>
          <w:cantSplit/>
          <w:tblHeader/>
        </w:trPr>
        <w:tc>
          <w:tcPr>
            <w:tcW w:type="dxa" w:w="121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Target u*</w:t>
            </w:r>
          </w:p>
        </w:tc>
        <w:tc>
          <w:tcPr>
            <w:tcW w:type="dxa" w:w="155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over (%)</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0.50</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0.00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15.9</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0.45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58.1</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0.65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0.67</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21.3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56.4</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34.5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5.9</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57.6</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3.75</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17.92</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62.2</w:t>
            </w:r>
          </w:p>
        </w:tc>
      </w:tr>
    </w:tbl>
    <w:p>
      <w:pPr>
        <w:keepLines/>
        <w:spacing w:after="180" w:before="70"/>
        <w:jc w:val="center"/>
      </w:pPr>
      <w:r>
        <w:rPr>
          <w:rFonts w:ascii="Times New Roman" w:cs="Times New Roman" w:eastAsia="Times New Roman" w:hAnsi="Times New Roman"/>
          <w:sz w:val="16"/>
          <w:szCs w:val="16"/>
        </w:rPr>
        <w:t xml:space="preserve">Table VI. Service level and capacity cost against target utilisation. Synthetic traces, five families × three seeds per cell, oracle predictor.</w:t>
      </w:r>
    </w:p>
    <w:p>
      <w:pPr>
        <w:sectPr>
          <w:footerReference w:type="default" r:id="rId3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3.75 %. The mechanism is visible in Table V: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Neither controller dominates. The exact controller buys service level with capacity: at u* = 0.65 it carries 21.3 % excess against the rounded controller’s 3.7 %, for a violation rate of 0.67 % against 1.65 %. An operator who can tolerate the violation rate of the rounded controller should prefer it on cost. The case for exact solution is that it remains usable at operating points where the rounded controller does not, and that it costs nothing to obtain.</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670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tc>
      </w:tr>
    </w:tbl>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VII reports the main comparison over 5 workload families × 10 seeds, with bootstrap confidence intervals, under both forecaster brackets. Table VIII reports the paired significance tests against the proposed controller with the oracle predictor.</w:t>
      </w:r>
    </w:p>
    <w:p>
      <w:pPr>
        <w:sectPr>
          <w:footerReference w:type="default" r:id="rId3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832"/>
        <w:gridCol w:w="1191"/>
        <w:gridCol w:w="2111"/>
        <w:gridCol w:w="2107"/>
        <w:gridCol w:w="824"/>
        <w:gridCol w:w="916"/>
        <w:gridCol w:w="1099"/>
      </w:tblGrid>
      <w:tr>
        <w:trPr>
          <w:cantSplit/>
          <w:tblHeader/>
        </w:trPr>
        <w:tc>
          <w:tcPr>
            <w:tcW w:type="dxa" w:w="183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Method</w:t>
            </w:r>
          </w:p>
        </w:tc>
        <w:tc>
          <w:tcPr>
            <w:tcW w:type="dxa" w:w="1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Predictor</w:t>
            </w:r>
          </w:p>
        </w:tc>
        <w:tc>
          <w:tcPr>
            <w:tcW w:type="dxa" w:w="211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210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8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91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Util. (%)</w:t>
            </w:r>
          </w:p>
        </w:tc>
        <w:tc>
          <w:tcPr>
            <w:tcW w:type="dxa" w:w="109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Cost /1k req</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 [0.46, 1.42]</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 [19.5, 28.4]</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41.5</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54.8</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50.2</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1.05 [0.69, 1.44]</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28.7 [27.0, 31.0]</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56.6</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53.6</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53.3</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 [1.19, 2.31]</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3.5 [3.3, 3.7]</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98.3</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65.4</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42.8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1.61 [1.11, 2.23]</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4.5 [4.0, 5.1]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63.3</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44.8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 [0.67, 1.35]</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 [44.7, 59.5]</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46.7</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63.0</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 [0.00, 0.00]</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91.0 [81.2, 103.1]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37.1</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71.4</w:t>
            </w:r>
          </w:p>
        </w:tc>
      </w:tr>
    </w:tbl>
    <w:p>
      <w:pPr>
        <w:keepLines/>
        <w:spacing w:after="180" w:before="70"/>
        <w:jc w:val="center"/>
      </w:pPr>
      <w:r>
        <w:rPr>
          <w:rFonts w:ascii="Times New Roman" w:cs="Times New Roman" w:eastAsia="Times New Roman" w:hAnsi="Times New Roman"/>
          <w:sz w:val="16"/>
          <w:szCs w:val="16"/>
        </w:rPr>
        <w:t xml:space="preserve">Table VII. Main comparison. Synthetic traces, 5 families × 10 seeds = 50 runs per row. Intervals are 95 % bias-corrected bootstrap over 4000 resamples.</w:t>
      </w:r>
    </w:p>
    <w:p>
      <w:pPr>
        <w:sectPr>
          <w:footerReference w:type="default" r:id="rId35"/>
          <w:type w:val="continuous"/>
          <w:pgSz w:w="12240" w:h="15840" w:orient="portrait"/>
          <w:pgMar w:top="1150" w:right="1080" w:bottom="1150" w:left="1080" w:header="708" w:footer="708" w:gutter="0"/>
          <w:pgNumType/>
          <w:cols w:num="1"/>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677"/>
        <w:gridCol w:w="1645"/>
        <w:gridCol w:w="1131"/>
        <w:gridCol w:w="1028"/>
        <w:gridCol w:w="1234"/>
        <w:gridCol w:w="1131"/>
        <w:gridCol w:w="1234"/>
      </w:tblGrid>
      <w:tr>
        <w:trPr>
          <w:cantSplit/>
          <w:tblHeader/>
        </w:trPr>
        <w:tc>
          <w:tcPr>
            <w:tcW w:type="dxa" w:w="267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Comparison</w:t>
            </w:r>
          </w:p>
        </w:tc>
        <w:tc>
          <w:tcPr>
            <w:tcW w:type="dxa" w:w="164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Metric</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Proposed</w:t>
            </w:r>
          </w:p>
        </w:tc>
        <w:tc>
          <w:tcPr>
            <w:tcW w:type="dxa" w:w="102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Other</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(Holm)</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Cliff’s δ</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Significant</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0.122</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-0.34</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3.46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98.28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52.02</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-0.59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16.88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90.97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-0.93</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bl>
    <w:p>
      <w:pPr>
        <w:keepLines/>
        <w:spacing w:after="180" w:before="70"/>
        <w:jc w:val="center"/>
      </w:pPr>
      <w:r>
        <w:rPr>
          <w:rFonts w:ascii="Times New Roman" w:cs="Times New Roman" w:eastAsia="Times New Roman" w:hAnsi="Times New Roman"/>
          <w:sz w:val="16"/>
          <w:szCs w:val="16"/>
        </w:rPr>
        <w:t xml:space="preserve">Table VIII. Paired Wilcoxon signed-rank tests against the integer-exact controller with the oracle predictor, Holm-corrected across the comparison family. n = 50 paired runs. Synthetic traces.</w:t>
      </w:r>
    </w:p>
    <w:p>
      <w:pPr>
        <w:sectPr>
          <w:footerReference w:type="default" r:id="rId3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VIII deserve emphasis because they qualify the paper’s claims. First, the difference in violation rate between the proposed controller and the rounded controller at this operating point is not significant after correction (p = 0.122),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-0.59.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0.85 % to 1.05 % and churn from 41 to 57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ectPr>
          <w:footerReference w:type="default" r:id="rId3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305550" cy="35718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ectPr>
          <w:footerReference w:type="default" r:id="rId38"/>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305550" cy="23526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ectPr>
          <w:footerReference w:type="default" r:id="rId3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IX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0.28 percentage points and reduces capacity cost by 16.9 points. The change in service level is not significant (p = 0.411 uncorrected). Removing the churn penalty leaves service level essentially unchanged at -0.21 points but raises over-provisioning by 15.1 points and churn by 14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-0.10 points (p = 0.700),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p>
      <w:pPr>
        <w:sectPr>
          <w:footerReference w:type="default" r:id="rId4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367"/>
        <w:gridCol w:w="1337"/>
        <w:gridCol w:w="1440"/>
        <w:gridCol w:w="1337"/>
        <w:gridCol w:w="1440"/>
        <w:gridCol w:w="925"/>
        <w:gridCol w:w="1234"/>
      </w:tblGrid>
      <w:tr>
        <w:trPr>
          <w:cantSplit/>
          <w:tblHeader/>
        </w:trPr>
        <w:tc>
          <w:tcPr>
            <w:tcW w:type="dxa" w:w="236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Variant</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(uncorr.)</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1.24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0.28</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40.5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0.411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-0.21</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39.1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15.1</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57.7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0.601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24.0</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43.5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36.5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bl>
    <w:p>
      <w:pPr>
        <w:keepLines/>
        <w:spacing w:after="180" w:before="70"/>
        <w:jc w:val="center"/>
      </w:pPr>
      <w:r>
        <w:rPr>
          <w:rFonts w:ascii="Times New Roman" w:cs="Times New Roman" w:eastAsia="Times New Roman" w:hAnsi="Times New Roman"/>
          <w:sz w:val="16"/>
          <w:szCs w:val="16"/>
        </w:rPr>
        <w:t xml:space="preserve">Table IX. Ablation. Full controller: violation 0.96 %, over-provisioning 24.0 %, churn 43.5. Synthetic traces, 50 runs per row, oracle predictor. No service-level delta reaches p &lt; 0.05.</w:t>
      </w:r>
    </w:p>
    <w:p>
      <w:pPr>
        <w:sectPr>
          <w:footerReference w:type="default" r:id="rId41"/>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305550" cy="23241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8. Effect of disabling each component. Synthetic traces.</w:t>
      </w:r>
    </w:p>
    <w:p>
      <w:pPr>
        <w:sectPr>
          <w:footerReference w:type="default" r:id="rId4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64.8 %.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067050" cy="22288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tc>
      </w:tr>
    </w:tbl>
    <w:p>
      <w:pPr>
        <w:spacing w:after="100" w:before="200"/>
      </w:pPr>
      <w:r>
        <w:rPr>
          <w:rFonts w:ascii="Times New Roman" w:cs="Times New Roman" w:eastAsia="Times New Roman" w:hAnsi="Times New Roman"/>
          <w:b/>
          <w:bCs/>
          <w:i/>
          <w:iCs/>
          <w:sz w:val="19"/>
          <w:szCs w:val="19"/>
        </w:rPr>
        <w:t xml:space="preserve">G. Control-Parameter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exposes five parameters that shape the trade-off between service level and actuation stability. Each was swept independently over the five workload families with eight seeds, holding the others at their defaults. Table X reports the sweeps and Fig. 10 shows them. The results reorder the components by importance relative to what the design assumed.</w:t>
      </w:r>
    </w:p>
    <w:p>
      <w:pPr>
        <w:sectPr>
          <w:footerReference w:type="default" r:id="rId4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088"/>
        <w:gridCol w:w="1042"/>
        <w:gridCol w:w="1506"/>
        <w:gridCol w:w="1622"/>
        <w:gridCol w:w="1158"/>
        <w:gridCol w:w="1506"/>
        <w:gridCol w:w="1158"/>
      </w:tblGrid>
      <w:tr>
        <w:trPr>
          <w:cantSplit/>
          <w:tblHeader/>
        </w:trPr>
        <w:tc>
          <w:tcPr>
            <w:tcW w:type="dxa" w:w="208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Oscillations</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Cost /1k</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Churn weight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56.3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48.4</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Cooldown T_cool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2.86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232.8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51.0</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Deadband θ</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50.2</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2.40</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53.9</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Asymmetry q⁺/q⁻</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49.6</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Rate limit Δmax</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0.54</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48.8</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48.9</w:t>
            </w:r>
          </w:p>
        </w:tc>
      </w:tr>
    </w:tbl>
    <w:p>
      <w:pPr>
        <w:keepLines/>
        <w:spacing w:after="180" w:before="70"/>
        <w:jc w:val="center"/>
      </w:pPr>
      <w:r>
        <w:rPr>
          <w:rFonts w:ascii="Times New Roman" w:cs="Times New Roman" w:eastAsia="Times New Roman" w:hAnsi="Times New Roman"/>
          <w:sz w:val="16"/>
          <w:szCs w:val="16"/>
        </w:rPr>
        <w:t xml:space="preserve">Table X. Control-parameter sweeps. Synthetic traces, 5 families × 8 seeds = 40 runs per row; the remaining parameters are held at their defaults. Oscillations counts sign reversals in the replica delta.</w:t>
      </w:r>
    </w:p>
    <w:p>
      <w:pPr>
        <w:sectPr>
          <w:footerReference w:type="default" r:id="rId4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penalty is not a pure trade-off. Raising s from zero to unity reduces violations from 0.69 % to 0.01 %, over-provisioning from 39.6 % to 17.8 %, and oscillations from 51.9 to 30.2, improving all three at once. Beyond unity the curve is flat. The mechanism is that penalising change suppresses the scale-down-then-scale-up pairs that would otherwise remove capacity immediately before it is needed again, so the controller holds a steadier pool that happens also to be a smaller one. This was not an anticipated result; the penalty was introduced to reduce churn alone.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cooldown dominates stability, and by a wider margin than the churn penalty does. Removing it entirely raises the action count from 44.4 to 274.1 per run and oscillations from 33.0 to 232.8, while violations rise from 0.56 % to 2.86 %. Extending it to 120 s continues to help on both axes, reaching 27.4 actions at 0.23 % violations for 25.0 % over-provisioning. Fig. 11 plots this sweep in the violation-versus-churn plane; the curve is monotone, so on these workloads the cooldown is close to free. The practical implication is that an operator tuning this controller should set the cooldown first and the churn weight second.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deadband is inert at its default. Values of θ = 1 and θ = 0 give identical results, because an integer action whose magnitude is below one is already zero; the deadband only becomes active at θ = 2, where it cuts actions from 44.4 to 16.6 at a cost of 0.29 percentage points of service level, and at θ = 3 it becomes harmful, reaching 2.40 % violations. The asymmetric tracking weight is similarly weak: raising q⁺/q⁻ from 1 to 20 moves violations only from 0.66 % to 0.56 %. Both findings are reported because they contradict the design intent, in which the deadband and the cost asymmetry were expected to be primary controls.</w:t>
      </w:r>
    </w:p>
    <w:p>
      <w:pPr>
        <w:sectPr>
          <w:footerReference w:type="default" r:id="rId4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305550" cy="31337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10. Control-parameter sweeps. Blue circles on the left axis are the violation rate; orange triangles on the right axis are the oscillation count. Synthetic traces.</w:t>
      </w:r>
    </w:p>
    <w:p>
      <w:pPr>
        <w:sectPr>
          <w:footerReference w:type="default" r:id="rId46"/>
          <w:type w:val="continuous"/>
          <w:pgSz w:w="12240" w:h="15840" w:orient="portrait"/>
          <w:pgMar w:top="1150" w:right="1080" w:bottom="1150" w:left="1080" w:header="708" w:footer="708" w:gutter="0"/>
          <w:pgNumType/>
          <w:cols w:num="1"/>
          <w:docGrid w:linePitch="360"/>
        </w:sectPr>
      </w:pP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067050" cy="21812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11. The cooldown sweep in the violation-versus-churn plane. Points are labelled with the cooldown that produced them. Synthetic traces.</w:t>
            </w:r>
          </w:p>
        </w:tc>
      </w:tr>
    </w:tbl>
    <w:p>
      <w:pPr>
        <w:spacing w:after="100" w:before="200"/>
      </w:pPr>
      <w:r>
        <w:rPr>
          <w:rFonts w:ascii="Times New Roman" w:cs="Times New Roman" w:eastAsia="Times New Roman" w:hAnsi="Times New Roman"/>
          <w:b/>
          <w:bCs/>
          <w:i/>
          <w:iCs/>
          <w:sz w:val="19"/>
          <w:szCs w:val="19"/>
        </w:rPr>
        <w:t xml:space="preserve">H. Computational Cost of Exact Solution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If exact integer solution were expensive, relaxation would be justified regardless of the accuracy argument. Algorithm 2 was timed across the action-set size and the horizon, the two parameters that determine its work, with the dead time held at its default. The sweep answers two questions at once: what the exact solve costs where it is available, and where it stops being available at all. Table XI reports the extremes and Fig. 12 the full grid. Cells that exceeded the node budget were solved by the greedy completion instead and are marked as such; their timings describe that solver, not this one.</w:t>
      </w:r>
    </w:p>
    <w:p>
      <w:pPr>
        <w:sectPr>
          <w:footerReference w:type="default" r:id="rId4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06"/>
        <w:gridCol w:w="1359"/>
        <w:gridCol w:w="792"/>
        <w:gridCol w:w="1359"/>
        <w:gridCol w:w="1925"/>
        <w:gridCol w:w="1359"/>
        <w:gridCol w:w="2380"/>
      </w:tblGrid>
      <w:tr>
        <w:trPr>
          <w:cantSplit/>
          <w:tblHeader/>
        </w:trPr>
        <w:tc>
          <w:tcPr>
            <w:tcW w:type="dxa" w:w="9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Δmax</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Candidates</w:t>
            </w:r>
          </w:p>
        </w:tc>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Solver</w:t>
            </w:r>
          </w:p>
        </w:tc>
        <w:tc>
          <w:tcPr>
            <w:tcW w:type="dxa" w:w="1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Mean solve (ms)</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Max (ms)</w:t>
            </w:r>
          </w:p>
        </w:tc>
        <w:tc>
          <w:tcPr>
            <w:tcW w:type="dxa" w:w="23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Share of 5 s budget (%)</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0.0301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0.0342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0.0006</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0.0850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0.0872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0.2162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0.2968</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0.0627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0.2360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0.2554</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0.6045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0.6560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0.0121</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0.1675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0.1707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0.0034</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0.4894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0.5947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0.0098</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1.1410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1.3007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0.0228</w:t>
            </w:r>
          </w:p>
        </w:tc>
      </w:tr>
    </w:tbl>
    <w:p>
      <w:pPr>
        <w:keepLines/>
        <w:spacing w:after="180" w:before="70"/>
        <w:jc w:val="center"/>
      </w:pPr>
      <w:r>
        <w:rPr>
          <w:rFonts w:ascii="Times New Roman" w:cs="Times New Roman" w:eastAsia="Times New Roman" w:hAnsi="Times New Roman"/>
          <w:sz w:val="16"/>
          <w:szCs w:val="16"/>
        </w:rPr>
        <w:t xml:space="preserve">Table XI. Solve time against action-set size and horizon, at the default dead time. Rows marked “fallback” exceeded the exact solver’s node budget and were solved by the greedy completion, so their times are not times for Algorithm 2. Synthetic traces, 2 families × 4 seeds per row. The control interval is 5 s.</w:t>
      </w:r>
    </w:p>
    <w:p>
      <w:pPr>
        <w:sectPr>
          <w:footerReference w:type="default" r:id="rId4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At the configuration used throughout the paper the mean solve time is 0.236 ms, which is 0.0047 % of the control interval. The largest configuration tested, Δmax = 16 with a 30-step horizon, costs 1.141 ms on average and 1.30 ms at worst. Fig. 12(b) plots measured time against the two parameters. The cost is set at configuration time rather than by the data: for a given action set, horizon and dead time the search has a fixed shape, and the spread across seeds reflects only how often admissibility prunes a branch.</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frontier matters as much as the timings. Exact solution is affordable in two regions — short horizons, where few actions reach inside the horizon at all, and horizons long enough relative to the dead time that the pending queue stops distinguishing states — but not in the band between them, and not at large action sets, where the branching factor dominates both. The default configuration sits inside the affordable region, which is why exact results can be reported throughout this paper; a pool with a much larger rate limit would not allow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consequence for the paper’s argument is narrower than it was before the solver was corrected. Relaxation saves real compute: at the default configuration it is the difference between 0.2 ms and a few tenths of a millisecond per tick. What it does not save is anything that is scarce. The saving is 0.00 % of a control interval that the controller spends idle, set against a behavioural difference on a large fraction of control decisions. Relaxation at container-pool scale is therefore not a performance optimisation but a modelling choice, and one whose cost is now measured. The argument does not carry to cluster-scale problems with hundreds of coupled decision variables: there the exact search is not available at all, as the frontier above already shows in miniature.</w:t>
      </w:r>
    </w:p>
    <w:p>
      <w:pPr>
        <w:sectPr>
          <w:footerReference w:type="default" r:id="rId4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305550" cy="20859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12. Solve-time scaling against action-set size and horizon. Points beyond the exact solver’s node budget were produced by the greedy completion and are not times for Algorithm 2. Synthetic traces.</w:t>
      </w:r>
    </w:p>
    <w:p>
      <w:pPr>
        <w:sectPr>
          <w:footerReference w:type="default" r:id="rId5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I. Exact Versus Greedy-Completion Solving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V-H establishes that exact solving is affordable. This section asks the prior question of whether it is necessary, by comparing Algorithm 2 against the cheaper solver it replaced: one that enumerates the admissible first actions but completes each horizon by tracking demand myopically. Both solvers were given the same 1200 plant states, drawn to span the reachable range of replica count, in-flight queue, previous action and forecast slope, and both were scored with the same objective (7)-(9).</w:t>
      </w:r>
    </w:p>
    <w:p>
      <w:pPr>
        <w:sectPr>
          <w:footerReference w:type="default" r:id="rId5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720"/>
        <w:gridCol w:w="3360"/>
      </w:tblGrid>
      <w:tr>
        <w:trPr>
          <w:cantSplit/>
          <w:tblHeader/>
        </w:trPr>
        <w:tc>
          <w:tcPr>
            <w:tcW w:type="dxa" w:w="6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Quantity</w:t>
            </w:r>
          </w:p>
        </w:tc>
        <w:tc>
          <w:tcPr>
            <w:tcW w:type="dxa" w:w="33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Value</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Dead time τ, horizon H, tracking-relevant actions m</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9, 12, 4</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Plant states compared</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1200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1070 (89.17 %)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disagreement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130 (10.83 %)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worse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540 (45.00 %)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better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1.970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Largest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31.80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relative objective excess</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1.148 %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Exact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29.79 / 39.47 / 59.43 ms</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0.264 / 0.376 / 4.373 ms</w:t>
            </w:r>
          </w:p>
        </w:tc>
      </w:tr>
    </w:tbl>
    <w:p>
      <w:pPr>
        <w:keepLines/>
        <w:spacing w:after="180" w:before="70"/>
        <w:jc w:val="center"/>
      </w:pPr>
      <w:r>
        <w:rPr>
          <w:rFonts w:ascii="Times New Roman" w:cs="Times New Roman" w:eastAsia="Times New Roman" w:hAnsi="Times New Roman"/>
          <w:sz w:val="16"/>
          <w:szCs w:val="16"/>
        </w:rPr>
        <w:t xml:space="preserve">Table XII. Algorithm 2 against enumeration with greedy horizon completion, on the configuration used throughout this paper. Objective excess is in units of the cost (7).</w:t>
      </w:r>
    </w:p>
    <w:p>
      <w:pPr>
        <w:sectPr>
          <w:footerReference w:type="default" r:id="rId5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solvers choose the same action on 89.17 % of states and differ on the remaining 10.83 %. On 45.00 % of states the greedy completion lands on a plan of strictly higher cost, and on none does it beat Algorithm 2 — the expected signature of an exact reference, and the reason the comparison is reported in this direction rather than as a symmetric disagreement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features of the gap matter more than its size. It is one-sided, so the greedy completion is a relaxation of the same problem rather than a different trade-off; and it is concentrated rather than uniform, with a mean relative excess of 1.148 % against a maximum of 99.5 %. The states where it errs are those whose optimal plan ends the horizon on a large action, which is precisely where zeroing the tail misprices the churn term. A controller built on the greedy completion is therefore not uniformly slightly worse; it is almost always identical and occasionally substantially wrong.</w:t>
      </w:r>
    </w:p>
    <w:p>
      <w:pPr>
        <w:sectPr>
          <w:footerReference w:type="default" r:id="rId53"/>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305550" cy="20288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13. Algorithm 2 against greedy horizon completion over the same plant states. (a) Disagreement is not uniform over the action space: it peaks on moderate scale-downs and nearly vanishes on large scale-ups. (b) The objective excess is one-sided by construction; no tick favours the greedy completion. (c) Solve time for both, against the control interval.</w:t>
      </w:r>
    </w:p>
    <w:p>
      <w:pPr>
        <w:sectPr>
          <w:footerReference w:type="default" r:id="rId5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disagreement is structured rather than scattered, as Fig. 13(a) shows. It peaks at u*(t) = -2, where the two solvers choose differently on 38.5 % of ticks, and falls to 1.3 % once the exact action is a scale-up of three or more. That shape follows from the mechanism: a large scale-up saturates the rate limit, so every completion agrees on it, whereas a moderate scale-down leaves room for the horizon to be finished several ways and the mispriced tail decides between them. The cases the approximation gets wrong are therefore the ordinary ones, not the extreme ones. Fig. 13(b) shows the excess is one-sided, and Fig. 13(c) the two solve-time distributions against the control interval.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Exactness costs roughly 113 times the compute of the greedy completion. That multiplier is the real price of the claim. In absolute terms the worst observed solve took 59.4 ms, or 1.19 % of the five-second control interval, so the multiplier is large and the absolute cost is not.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That cost is not always payable. The reduction in Section III-E is strong when the dead time is long relative to the horizon, and the memoised recursion is cheap when the dead time is short enough for the pending queue to collapse distinct prefixes onto one state. Between the two lies a band — a queue long enough to keep states distinct and a horizon long enough to make m large — where neither applies, and there the controller falls back to the greedy completion rather than stall the loop. Every result at the configuration used throughout this paper is solved exactly. The horizon sweep of Section V-A is the one experiment that crosses the band, and each run records which solver produced it.</w:t>
      </w:r>
    </w:p>
    <w:p>
      <w:pPr>
        <w:spacing w:after="100" w:before="200"/>
      </w:pPr>
      <w:r>
        <w:rPr>
          <w:rFonts w:ascii="Times New Roman" w:cs="Times New Roman" w:eastAsia="Times New Roman" w:hAnsi="Times New Roman"/>
          <w:b/>
          <w:bCs/>
          <w:i/>
          <w:iCs/>
          <w:sz w:val="19"/>
          <w:szCs w:val="19"/>
        </w:rPr>
        <w:t xml:space="preserve">J. Robustness to Actuation Delay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V-A varied the horizon at fixed cold start. The complementary experiment fixes the horizon at a value that satisfies (6) everywhere and varies the cold start instead, which isolates the controller’s tolerance of actuation delay from the question of whether the horizon is adequate. Table XIII reports it and Fig. 14 shows both panels.</w:t>
      </w:r>
    </w:p>
    <w:p>
      <w:pPr>
        <w:sectPr>
          <w:footerReference w:type="default" r:id="rId55"/>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042"/>
        <w:gridCol w:w="1624"/>
        <w:gridCol w:w="1506"/>
        <w:gridCol w:w="1506"/>
        <w:gridCol w:w="1390"/>
        <w:gridCol w:w="1506"/>
        <w:gridCol w:w="1506"/>
      </w:tblGrid>
      <w:tr>
        <w:trPr>
          <w:cantSplit/>
          <w:tblHeader/>
        </w:trPr>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τc (s)</w:t>
            </w:r>
          </w:p>
        </w:tc>
        <w:tc>
          <w:tcPr>
            <w:tcW w:type="dxa" w:w="16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3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26.1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14.2</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0.45</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16.7</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93.1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2.73</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20.9</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6.95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21.0</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6.40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20.5</w:t>
            </w:r>
          </w:p>
        </w:tc>
      </w:tr>
    </w:tbl>
    <w:p>
      <w:pPr>
        <w:keepLines/>
        <w:spacing w:after="180" w:before="70"/>
        <w:jc w:val="center"/>
      </w:pPr>
      <w:r>
        <w:rPr>
          <w:rFonts w:ascii="Times New Roman" w:cs="Times New Roman" w:eastAsia="Times New Roman" w:hAnsi="Times New Roman"/>
          <w:sz w:val="16"/>
          <w:szCs w:val="16"/>
        </w:rPr>
        <w:t xml:space="preserve">Table XIII. Sensitivity to cold-start latency with the horizon fixed at H = 30 (150 s lookahead), which satisfies (6) at every value shown. Synthetic traces, 3 families × 5 seeds = 15 runs per cell.</w:t>
      </w:r>
    </w:p>
    <w:p>
      <w:pPr>
        <w:sectPr>
          <w:footerReference w:type="default" r:id="rId5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With an adequate horizon the integer-exact controller is close to insensitive to actuation delay over the practical range. Violations stay between 0.08 % and 0.08 % as the cold start grows from 5 s to 60 s, a factor of twelve in delay. The reactive controller degrades steadily over the same range, from 0.20 % to 2.73 %, and the rounded controller degrades faster still, from 0.28 % to 4.28 %. At the longest delay tested, 120 s, the three sit at 1.72 %, 6.40 % and 9.47 % respectively.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is the experiment that demonstrates what the ablation of Section V-E could not. In that ablation, disabling the dead-time term changed nothing, because the horizon remained long enough that the optimiser could compensate implicitly. Here the dead time itself is the variable, and the separation between the predictive and reactive controllers grows monotonically with it. Dead-time tolerance is therefore a property of the predictive formulation as a whole rather than of the explicit delay term in (5), and the paper’s claim is stated at that level.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panel adds a second observation. The rounded controller’s action count is essentially flat at roughly 93 per run regardless of delay, because its oscillation is driven by fractional rounding rather than by the plant. The exact controller’s action count varies with delay, as a controller responding to the plant should.</w:t>
      </w:r>
    </w:p>
    <w:p>
      <w:pPr>
        <w:sectPr>
          <w:footerReference w:type="default" r:id="rId5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3055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14. Service level and churn against cold-start latency at a fixed adequate horizon. Synthetic traces.</w:t>
      </w:r>
    </w:p>
    <w:p>
      <w:pPr>
        <w:sectPr>
          <w:footerReference w:type="default" r:id="rId58"/>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K. Per-Workload Behaviour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aggregate figures of Section V-D average over five demand shapes that stress the controller differently. Table XIV disaggregates them, and the variation is large enough that the aggregate alone would be misleading.</w:t>
      </w:r>
    </w:p>
    <w:p>
      <w:pPr>
        <w:sectPr>
          <w:footerReference w:type="default" r:id="rId59"/>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56"/>
        <w:gridCol w:w="1456"/>
        <w:gridCol w:w="1904"/>
        <w:gridCol w:w="1904"/>
        <w:gridCol w:w="1008"/>
        <w:gridCol w:w="1344"/>
        <w:gridCol w:w="1008"/>
      </w:tblGrid>
      <w:tr>
        <w:trPr>
          <w:cantSplit/>
          <w:tblHeader/>
        </w:trPr>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Workload</w:t>
            </w:r>
          </w:p>
        </w:tc>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Method</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Over-prov. (%)</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Actions</w:t>
            </w:r>
          </w:p>
        </w:tc>
        <w:tc>
          <w:tcPr>
            <w:tcW w:type="dxa" w:w="1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Oscillations</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p95 (ms)</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Diurnal</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18.4 ± 1.6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0.30 ± 0.35</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119.0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109.7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45.6 ± 13.2</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47.9 ± 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Burst</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22.5 ± 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5.17 ± 1.18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4.2 ± 0.7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2.45 ± 0.51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87.1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27.2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158.4 ± 10.9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Ramp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13.7 ± 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92</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0.25 ± 0.29</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101.1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41.3 ± 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97.2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Step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0.28 ± 0.14</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9.8 ± 0.4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2.38 ± 0.21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64.6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57.4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13.6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6.7</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213</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89.6 ± 8.9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Sawtooth</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3.73 ± 1.83</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49.6 ± 11.9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0.35 ± 0.58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82.4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72.6 ± 11.8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61.8 ± 6.9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bl>
    <w:p>
      <w:pPr>
        <w:keepLines/>
        <w:spacing w:after="180" w:before="70"/>
        <w:jc w:val="center"/>
      </w:pPr>
      <w:r>
        <w:rPr>
          <w:rFonts w:ascii="Times New Roman" w:cs="Times New Roman" w:eastAsia="Times New Roman" w:hAnsi="Times New Roman"/>
          <w:sz w:val="16"/>
          <w:szCs w:val="16"/>
        </w:rPr>
        <w:t xml:space="preserve">Table XIV. Per-workload breakdown. Synthetic traces, 10 seeds per row, oracle predictor; values are mean ± one standard deviation.</w:t>
      </w:r>
    </w:p>
    <w:p>
      <w:pPr>
        <w:sectPr>
          <w:footerReference w:type="default" r:id="rId60"/>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burst family separates the methods most sharply. There the rounded controller reaches 5.17 % violations against 0.03 % for the exact controller, the largest gap in the table, because a burst drives the pool through many integer boundaries in quick succession and every crossing is an opportunity for the rounding error to change the decision. The diurnal and ramp families, whose demand changes slowly relative to the control interval, show almost no separation at all — 0.30 % against 0.00 % on diurnal traffic. The advantage of exact solution is therefore concentrated in workloads with fast transitions, which is also where an auto-scaler is most needed and least likely to perform well.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sawtooth family is the one case where the exact controller is worse, at 3.73 % against 0.35 %, and the standard deviation across seeds is correspondingly large at 1.83. A sawtooth resets demand discontinuously every ninety ticks; the churn penalty resists the repeated scale-down that the shape demands, and the controller spends part of each period recovering. This is a genuine failure mode of the churn penalty under periodic discontinuity and is reported as such rather than averaged away.</w:t>
      </w:r>
    </w:p>
    <w:p>
      <w:pPr>
        <w:sectPr>
          <w:footerReference w:type="default" r:id="rId61"/>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305550" cy="24765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15. Per-workload service level and capacity cost. Whiskers are one standard deviation over 10 seeds. Synthetic traces.</w:t>
      </w:r>
    </w:p>
    <w:p>
      <w:pPr>
        <w:sectPr>
          <w:footerReference w:type="default" r:id="rId6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L. Decision-Level Analysis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each tick as a three-way classification into scale-up, hold and scale-down against the requirement implied by the observed load gives a finer view than the aggregate rates. Table XV reports it with bootstrap intervals and Fig. 16 shows it. The numbers are low in absolute terms for every method, and the reason is worth stating because it bears on how such metrics should be read.</w:t>
      </w:r>
    </w:p>
    <w:p>
      <w:pPr>
        <w:sectPr>
          <w:footerReference w:type="default" r:id="rId6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290"/>
        <w:gridCol w:w="2522"/>
        <w:gridCol w:w="2520"/>
        <w:gridCol w:w="1374"/>
        <w:gridCol w:w="1374"/>
      </w:tblGrid>
      <w:tr>
        <w:trPr>
          <w:cantSplit/>
          <w:tblHeader/>
        </w:trPr>
        <w:tc>
          <w:tcPr>
            <w:tcW w:type="dxa" w:w="22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w:t>
            </w:r>
          </w:p>
        </w:tc>
        <w:tc>
          <w:tcPr>
            <w:tcW w:type="dxa" w:w="25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recall</w:t>
            </w:r>
          </w:p>
        </w:tc>
        <w:tc>
          <w:tcPr>
            <w:tcW w:type="dxa" w:w="25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precision</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Hold F1</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Accuracy</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(oracle)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0.076 [0.066, 0.087]</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0.148 [0.129, 0.168]</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0.819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0.692</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(persistence)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0.210 [0.197, 0.225]</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0.351 [0.320, 0.381]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0.705</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Relaxed + rounded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0.040]</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0.039]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0.830</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0.636</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Reactive threshold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0.042 [0.033, 0.052]</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0.221 [0.190, 0.255]</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0.844</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0.732</w:t>
            </w:r>
          </w:p>
        </w:tc>
      </w:tr>
    </w:tbl>
    <w:p>
      <w:pPr>
        <w:keepLines/>
        <w:spacing w:after="180" w:before="70"/>
        <w:jc w:val="center"/>
      </w:pPr>
      <w:r>
        <w:rPr>
          <w:rFonts w:ascii="Times New Roman" w:cs="Times New Roman" w:eastAsia="Times New Roman" w:hAnsi="Times New Roman"/>
          <w:sz w:val="16"/>
          <w:szCs w:val="16"/>
        </w:rPr>
        <w:t xml:space="preserve">Table XV. Per-tick decision classification against the observed requirement. Synthetic traces, 50 runs per row; intervals are 95 % bootstrap.</w:t>
      </w:r>
    </w:p>
    <w:p>
      <w:pPr>
        <w:sectPr>
          <w:footerReference w:type="default" r:id="rId6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Scale-up recall is low for every method, between 0.027 and 0.210. This is a property of the ground-truth definition rather than of the controllers. The requirement series is computed per tick from the instantaneous arrival rate and therefore changes on most ticks, including by a single replica in response to noise, whereas a well-behaved controller deliberately does not track every such change. A controller that matched this ground truth tick for tick would be the oscillating controller the design is intended to avoid. The metric is reported for completeness and because it is standard in the literature, but it should not be read as a quality ranking, and the paper does not use it as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one comparison it does support is between predictors at fixed control law. Moving from persistence to perfect foresight changes scale-up recall from 0.210 to 0.076 and precision from 0.351 to 0.148. The persistence predictor scores higher on both, which at first appears paradoxical. It follows from the same definitional issue: persistence reacts to the most recent observation and therefore produces decisions that correlate with a per-tick ground truth derived from that same observation, while the oracle acts on demand that has not yet arrived and is scored as wrong until it does. The aggregate service-level figures in Table IV, where the oracle is ahead, are the more meaningful comparison.</w:t>
      </w:r>
    </w:p>
    <w:p>
      <w:pPr>
        <w:sectPr>
          <w:footerReference w:type="default" r:id="rId6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305550" cy="23145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16. Per-tick decision classification with 95 % bootstrap intervals. Synthetic traces.</w:t>
      </w:r>
    </w:p>
    <w:p>
      <w:pPr>
        <w:sectPr>
          <w:footerReference w:type="default" r:id="rId66"/>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M. Response to Predictor Quality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bracketing protocol of Section IV-C bounds the predictor’s contribution but leaves the interior unmeasured, and a real forecaster lives in that interior. To fill it, a blended predictor was constructed that returns a convex combination of the two brackets, with weight w on perfect foresight and 1 − w on persistence. Sweeping w traces the controller’s response to predictor quality without requiring any particular model to be trained. Table XVI reports the sweep and Fig. 17 shows it.</w:t>
      </w:r>
    </w:p>
    <w:p>
      <w:pPr>
        <w:sectPr>
          <w:footerReference w:type="default" r:id="rId6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792"/>
        <w:gridCol w:w="1585"/>
        <w:gridCol w:w="1702"/>
        <w:gridCol w:w="1359"/>
        <w:gridCol w:w="1585"/>
        <w:gridCol w:w="1698"/>
        <w:gridCol w:w="1359"/>
      </w:tblGrid>
      <w:tr>
        <w:trPr>
          <w:cantSplit/>
          <w:tblHeader/>
        </w:trPr>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w</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70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27.8</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55.2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98.4</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68.8</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0.61</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47.2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50.6</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0.26</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1.21</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50.0</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1.38</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67.1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80.1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44.3</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1.83</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94.4</w:t>
            </w:r>
          </w:p>
        </w:tc>
      </w:tr>
    </w:tbl>
    <w:p>
      <w:pPr>
        <w:keepLines/>
        <w:spacing w:after="180" w:before="70"/>
        <w:jc w:val="center"/>
      </w:pPr>
      <w:r>
        <w:rPr>
          <w:rFonts w:ascii="Times New Roman" w:cs="Times New Roman" w:eastAsia="Times New Roman" w:hAnsi="Times New Roman"/>
          <w:sz w:val="16"/>
          <w:szCs w:val="16"/>
        </w:rPr>
        <w:t xml:space="preserve">Table XVI. Response to predictor quality. w = 0 is the persistence bracket and w = 1 the perfect-foresight bracket. Synthetic traces, 5 families × 6 seeds = 30 runs per cell.</w:t>
      </w:r>
    </w:p>
    <w:p>
      <w:pPr>
        <w:sectPr>
          <w:footerReference w:type="default" r:id="rId6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response is not monotone, and that is the substantive finding. For the integer-exact controller the violation rate falls from 1.07 % at pure persistence to a minimum of 0.07 % at w = 0.8, then rises again to 0.82 % at perfect foresight. The rounded controller shows the same shape with its minimum at w = 0.5. A perfectly accurate forecast is therefore not the best forecast for either controller on these workloads.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mechanism is visible in the churn panel of Fig. 17. A perfect forecast reproduces every fluctuation in demand, including the noise, and the controller tracks it; actions rise from 40.4 at the optimum to 44.3 at w = 1. Blending in a persistence component low-pass filters the forecast, and the resulting slight lag behaves like a small damping term. The controller acts less often, holds a steadier pool, and ends up violating less. The effect is stronger for the rounded controller, whose action count more than doubles from 49.2 at its optimum to 94.4 at perfect foresight, because its fractional oscillation compounds with the unfiltered signal.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consequences follow for how such systems should be built and evaluated. First, optimising a forecaster for accuracy alone optimises the wrong objective, which is the methodological point the paper makes in Section I and here measures directly: an accuracy improvement that sharpens the predicted signal can degrade the closed loop. Second, the bracketing protocol is conservative in an unexpected direction. Because the interior of the range outperforms both endpoints, the reported bracket does not contain the best achievable result, and a trained forecaster of intermediate sharpness could plausibly perform better than either bracket rather than between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 should not be over-read. It was obtained on synthetic traces whose noise is additive and Gaussian, and the damping benefit depends on that noise being uninformative. On a workload whose high-frequency content carries real demand, filtering it away would cost service level rather than save it. What the experiment establishes is that the relationship between forecast accuracy and control performance is not monotone, not the location of the optimum in general.</w:t>
      </w:r>
    </w:p>
    <w:p>
      <w:pPr>
        <w:sectPr>
          <w:footerReference w:type="default" r:id="rId6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305550" cy="23907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17. Controller response to predictor quality. The violation-rate minimum for both controllers lies strictly inside the bracket rather than at perfect foresight. Synthetic traces.</w:t>
      </w:r>
    </w:p>
    <w:p>
      <w:pPr>
        <w:sectPr>
          <w:footerReference w:type="default" r:id="rId7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N. Configuration Guidance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measurements support a short configuration procedure, stated here because the parameters interact and the order matters.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Measure the cold-start latency of the deployed image, including image pull on a cold cache, readiness probing and load-balancer registration. This single measurement determines the horizon through (6) and is the one parameter that cannot be guessed.</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horizon to the smallest value satisfying HΔt ≥ τc, then add one interval of slack. Section V-A shows the penalty for an under-sized horizon is severe and the benefit of oversizing it is negligible, so the asymmetry favours erring long.</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cooldown next. Section V-G shows it is the dominant stability control; 60 s was adequate on every workload tested and longer values continued to help.</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churn weight to approximately unity. Below that value stability degrades; above it nothing changes.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Leave the deadband at zero or one and the cost asymmetry at any moderate value. Neither was found to matter, and a deadband of two or more trades service level for stability that the cooldown already provides more cheaply.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procedure assumes a single replica pool with the plant characteristics described in Section IV-A and should be re-validated before transfer to a different deployment, particularly one in which several services share hosts.</w:t>
      </w:r>
    </w:p>
    <w:p>
      <w:pPr>
        <w:spacing w:after="100" w:before="200"/>
      </w:pPr>
      <w:r>
        <w:rPr>
          <w:rFonts w:ascii="Times New Roman" w:cs="Times New Roman" w:eastAsia="Times New Roman" w:hAnsi="Times New Roman"/>
          <w:b/>
          <w:bCs/>
          <w:i/>
          <w:iCs/>
          <w:sz w:val="19"/>
          <w:szCs w:val="19"/>
        </w:rPr>
        <w:t xml:space="preserve">O. Decision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p>
      <w:pPr>
        <w:sectPr>
          <w:footerReference w:type="default" r:id="rId7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60"/>
        <w:gridCol w:w="840"/>
        <w:gridCol w:w="900"/>
        <w:gridCol w:w="1080"/>
        <w:gridCol w:w="900"/>
        <w:gridCol w:w="720"/>
        <w:gridCol w:w="840"/>
        <w:gridCol w:w="780"/>
        <w:gridCol w:w="780"/>
        <w:gridCol w:w="660"/>
        <w:gridCol w:w="1140"/>
        <w:gridCol w:w="780"/>
      </w:tblGrid>
      <w:tr>
        <w:trPr>
          <w:cantSplit/>
          <w:tblHeader/>
        </w:trPr>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Tick</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λ</w:t>
            </w:r>
          </w:p>
          <w:p>
            <w:pPr>
              <w:keepNext/>
              <w:keepLines/>
              <w:spacing w:after="0" w:line="210"/>
              <w:jc w:val="center"/>
            </w:pPr>
            <w:r>
              <w:rPr>
                <w:rFonts w:ascii="Times New Roman" w:cs="Times New Roman" w:eastAsia="Times New Roman" w:hAnsi="Times New Roman"/>
                <w:b/>
                <w:bCs/>
                <w:sz w:val="11"/>
                <w:szCs w:val="11"/>
              </w:rPr>
              <w:t xml:space="preserve">(req/s)</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Observed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10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Forecast</w:t>
            </w:r>
          </w:p>
          <w:p>
            <w:pPr>
              <w:keepNext/>
              <w:keepLines/>
              <w:spacing w:after="0" w:line="210"/>
              <w:jc w:val="center"/>
            </w:pPr>
            <w:r>
              <w:rPr>
                <w:rFonts w:ascii="Times New Roman" w:cs="Times New Roman" w:eastAsia="Times New Roman" w:hAnsi="Times New Roman"/>
                <w:b/>
                <w:bCs/>
                <w:sz w:val="11"/>
                <w:szCs w:val="11"/>
              </w:rPr>
              <w:t xml:space="preserve">u at h=12</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Demand</w:t>
            </w:r>
          </w:p>
          <w:p>
            <w:pPr>
              <w:keepNext/>
              <w:keepLines/>
              <w:spacing w:after="0" w:line="210"/>
              <w:jc w:val="center"/>
            </w:pPr>
            <w:r>
              <w:rPr>
                <w:rFonts w:ascii="Times New Roman" w:cs="Times New Roman" w:eastAsia="Times New Roman" w:hAnsi="Times New Roman"/>
                <w:b/>
                <w:bCs/>
                <w:sz w:val="11"/>
                <w:szCs w:val="11"/>
              </w:rPr>
              <w:t xml:space="preserve">Ñ(t+1)</w:t>
            </w:r>
          </w:p>
        </w:tc>
        <w:tc>
          <w:tcPr>
            <w:tcW w:type="dxa" w:w="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MPC</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Rounded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After</w:t>
            </w:r>
          </w:p>
          <w:p>
            <w:pPr>
              <w:keepNext/>
              <w:keepLines/>
              <w:spacing w:after="0" w:line="210"/>
              <w:jc w:val="center"/>
            </w:pPr>
            <w:r>
              <w:rPr>
                <w:rFonts w:ascii="Times New Roman" w:cs="Times New Roman" w:eastAsia="Times New Roman" w:hAnsi="Times New Roman"/>
                <w:b/>
                <w:bCs/>
                <w:sz w:val="11"/>
                <w:szCs w:val="11"/>
              </w:rPr>
              <w:t xml:space="preserve">gates</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Applied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N(t)</w:t>
            </w:r>
          </w:p>
        </w:tc>
        <w:tc>
          <w:tcPr>
            <w:tcW w:type="dxa" w:w="11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Required</w:t>
            </w:r>
          </w:p>
          <w:p>
            <w:pPr>
              <w:keepNext/>
              <w:keepLines/>
              <w:spacing w:after="0" w:line="210"/>
              <w:jc w:val="center"/>
            </w:pPr>
            <w:r>
              <w:rPr>
                <w:rFonts w:ascii="Times New Roman" w:cs="Times New Roman" w:eastAsia="Times New Roman" w:hAnsi="Times New Roman"/>
                <w:b/>
                <w:bCs/>
                <w:sz w:val="11"/>
                <w:szCs w:val="11"/>
              </w:rPr>
              <w:t xml:space="preserve">(ground truth)</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Excess</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0.565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0.922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0.619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0.690</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0.970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0.666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1.054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0.829</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112</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0.586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114</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115</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0.911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0.638</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0.654</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0.991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165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0.687</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0.800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177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194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0.843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bl>
    <w:p>
      <w:pPr>
        <w:keepLines/>
        <w:spacing w:after="180" w:before="70"/>
        <w:jc w:val="center"/>
      </w:pPr>
      <w:r>
        <w:rPr>
          <w:rFonts w:ascii="Times New Roman" w:cs="Times New Roman" w:eastAsia="Times New Roman" w:hAnsi="Times New Roman"/>
          <w:sz w:val="16"/>
          <w:szCs w:val="16"/>
        </w:rPr>
        <w:t xml:space="preserve">Table XVII. Sixteen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ectPr>
          <w:footerReference w:type="default" r:id="rId7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10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7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V-G,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1.13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V-G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V-L.</w:t>
      </w:r>
    </w:p>
    <w:p>
      <w:pPr>
        <w:spacing w:after="100" w:before="200"/>
      </w:pPr>
      <w:r>
        <w:rPr>
          <w:rFonts w:ascii="Times New Roman" w:cs="Times New Roman" w:eastAsia="Times New Roman" w:hAnsi="Times New Roman"/>
          <w:b/>
          <w:bCs/>
          <w:i/>
          <w:iCs/>
          <w:sz w:val="19"/>
          <w:szCs w:val="19"/>
        </w:rPr>
        <w:t xml:space="preserve">P. Positioning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p>
      <w:pPr>
        <w:sectPr>
          <w:footerReference w:type="default" r:id="rId7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56"/>
        <w:gridCol w:w="1464"/>
        <w:gridCol w:w="1809"/>
        <w:gridCol w:w="1550"/>
        <w:gridCol w:w="1292"/>
        <w:gridCol w:w="1809"/>
      </w:tblGrid>
      <w:tr>
        <w:trPr>
          <w:cantSplit/>
          <w:tblHeader/>
        </w:trPr>
        <w:tc>
          <w:tcPr>
            <w:tcW w:type="dxa" w:w="21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Property</w:t>
            </w:r>
          </w:p>
        </w:tc>
        <w:tc>
          <w:tcPr>
            <w:tcW w:type="dxa" w:w="14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Threshold [1]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Forecast-driven [2,3,8]</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Optimisation [4,5,6]</w:t>
            </w:r>
          </w:p>
        </w:tc>
        <w:tc>
          <w:tcPr>
            <w:tcW w:type="dxa" w:w="12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Hybrid [7,11]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This work</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rounded</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solved exactly</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partially</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as plant dead time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n/a</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Eq. (6), measured</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in the objective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none</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feedback term</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clipped-integral margin</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simulated plant</w:t>
            </w:r>
          </w:p>
        </w:tc>
      </w:tr>
    </w:tbl>
    <w:p>
      <w:pPr>
        <w:keepLines/>
        <w:spacing w:after="180" w:before="70"/>
        <w:jc w:val="center"/>
      </w:pPr>
      <w:r>
        <w:rPr>
          <w:rFonts w:ascii="Times New Roman" w:cs="Times New Roman" w:eastAsia="Times New Roman" w:hAnsi="Times New Roman"/>
          <w:sz w:val="16"/>
          <w:szCs w:val="16"/>
        </w:rPr>
        <w:t xml:space="preserve">Table XVIII. Mechanism comparison. Entries describe design choices reported by the cited work, not relative performance. The final row records the principal weakness of the present evaluation.</w:t>
      </w:r>
    </w:p>
    <w:p>
      <w:pPr>
        <w:sectPr>
          <w:footerReference w:type="default" r:id="rId7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columns separate this work from the rest — exact integrality, a horizon tied to measured delay, and churn treated as both a penalty and a reported metric — and those are precisely the three the experiments quantify. The last row runs the other way: every other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V-J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0.122).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44.4 to 274.1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(23.3 % against 3.5 %) and issues more scaling actions than the reactive baseline (41.5 against 16.9). An operator whose workload resembles the slow families in Table XIV,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XIV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V-J quantifies, and only when the horizon can be configured to cover it. Where the delay is short — at τc = 5 s the reactive baseline violates on 0.17 % of ticks against 0.07 % predictive — the additional machinery buys little.</w:t>
      </w:r>
    </w:p>
    <w:p>
      <w:pPr>
        <w:spacing w:after="140" w:before="280"/>
        <w:jc w:val="center"/>
      </w:pPr>
      <w:r>
        <w:rPr>
          <w:rFonts w:ascii="Times New Roman" w:cs="Times New Roman" w:eastAsia="Times New Roman" w:hAnsi="Times New Roman"/>
          <w:b/>
          <w:bCs/>
          <w:caps/>
          <w:sz w:val="20"/>
          <w:szCs w:val="20"/>
        </w:rPr>
        <w:t xml:space="preserve">VII. Limitations and Threats to Validity</w:t>
      </w:r>
    </w:p>
    <w:p>
      <w:pPr>
        <w:spacing w:after="100" w:before="200"/>
      </w:pPr>
      <w:r>
        <w:rPr>
          <w:rFonts w:ascii="Times New Roman" w:cs="Times New Roman" w:eastAsia="Times New Roman" w:hAnsi="Times New Roman"/>
          <w:b/>
          <w:bCs/>
          <w:i/>
          <w:iCs/>
          <w:sz w:val="19"/>
          <w:szCs w:val="19"/>
        </w:rPr>
        <w:t xml:space="preserve">A. Construct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Construct validity asks whether the quantities measured correspond to the properties claimed. Two constructs in this paper are imperfect and the imperfection bounds the claims that rest on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service-level violation rate counts ticks whose modelled tail latency exceeds the objective. Real service-level objectives are evaluated over windows and against measured request latencies, not over control ticks against a queueing approximation. A controller that performs well on this construct would perform well on the real one only to the extent the approximation holds, which Section IV-C argues it does in the moderate-utilisation regime and does not near saturation, where the measure is censored.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ground-truth replica requirement, used by both the decision classification of Section V-L and the excess column of Table XVII, is computed from the instantaneous arrival rate. It therefore treats noise as demand and changes on nearly every tick. It is an adequate construct for measuring systematic bias, which is how this paper uses it, and an inadequate one for ranking controllers by decision quality, which is why the classification results are reported but not used to support any claim.</w:t>
      </w:r>
    </w:p>
    <w:p>
      <w:pPr>
        <w:spacing w:after="100" w:before="200"/>
      </w:pPr>
      <w:r>
        <w:rPr>
          <w:rFonts w:ascii="Times New Roman" w:cs="Times New Roman" w:eastAsia="Times New Roman" w:hAnsi="Times New Roman"/>
          <w:b/>
          <w:bCs/>
          <w:i/>
          <w:iCs/>
          <w:sz w:val="19"/>
          <w:szCs w:val="19"/>
        </w:rPr>
        <w:t xml:space="preserve">B. Internal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Internal validity asks whether the measured differences are caused by the manipulated variable. The experimental design supports this reasonably well. Every method sees the identical trace for a given family and seed, so comparisons are paired and the Wilcoxon test is appropriate. Each ablation and sweep changes exactly one component or parameter with the others held fixed. The plant is shared across methods within a run, so differences cannot arise from plant variation.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threat remains. The methods operate at different default utilisations, so the aggregate comparison of Table VII compares points rather than frontiers. This is the reason the operating-point sweep of Section V-C exists, and conclusions about service level are drawn from that sweep rather than from the aggregate table.</w:t>
      </w:r>
    </w:p>
    <w:p>
      <w:pPr>
        <w:spacing w:after="100" w:before="200"/>
      </w:pPr>
      <w:r>
        <w:rPr>
          <w:rFonts w:ascii="Times New Roman" w:cs="Times New Roman" w:eastAsia="Times New Roman" w:hAnsi="Times New Roman"/>
          <w:b/>
          <w:bCs/>
          <w:i/>
          <w:iCs/>
          <w:sz w:val="19"/>
          <w:szCs w:val="19"/>
        </w:rPr>
        <w:t xml:space="preserve">C. External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External validity asks how far the results transfer, and it is where this evaluation is weakest. The plant is simulated, the workloads are synthetic, the learned forecaster was never run, and a single replica pool was controlled. Each is enumerated in the following subsection with the specific claim it bounds.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form of transfer is better supported than the others. The horizon condition of (6) is a statement about the relationship between two latencies, and the experiment confirms the transition occurs where that relationship predicts rather than at a fixed horizon. A result that tracks a parameter in this way is more likely to transfer than one that holds only at the values tested, because the mechanism rather than the magnitude is what has been identified. The integrality result is in the opposite position: the magnitude of the rounding gap depends on pool size, demand volatility and the operating point, and Table V shows it varying by more than a factor of three across pool sizes alone.</w:t>
      </w:r>
    </w:p>
    <w:p>
      <w:pPr>
        <w:spacing w:after="100" w:before="200"/>
      </w:pPr>
      <w:r>
        <w:rPr>
          <w:rFonts w:ascii="Times New Roman" w:cs="Times New Roman" w:eastAsia="Times New Roman" w:hAnsi="Times New Roman"/>
          <w:b/>
          <w:bCs/>
          <w:i/>
          <w:iCs/>
          <w:sz w:val="19"/>
          <w:szCs w:val="19"/>
        </w:rPr>
        <w:t xml:space="preserve">D. Enumerated Limitations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predictive container auto-scaling were measured on a simulated pool, with the predictor held at two extremes so that the control law was the only variable. They differ in how firmly they are established, and the distinction is worth keeping.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3.00 % to 0.28 % as the horizon crossed HΔt = τc, and below that boundary the predictive controller performed worse than a reactive baseline by up to 6.67 percentage points. Horizon selection is therefore not a tuning preference but a feasibility condition, and it can be checked before deployment from a single measurement of cold-start latency. This is the firmest of the three results: the transition appeared at every cold-start setting tested and landed where the inequality predicts rather than at a fixed horizon.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problem does not have to be approximated. Dead time confines the tracking-relevant decisions to the first H − τ + 1 steps of the horizon and leaves the rest separable, which reduced the search to 4 nested integer choices at the configuration used here. The solver built on that reduction reproduced the brute-force optimum in all 400 states small enough to enumerate exhaustively, which is a verification rather than a proof but a stronger warrant than the argument it replaces. Completing the horizon greedily instead, a device sometimes called exact on the grounds that only the first action is applied, returned an optimal first action in only 354 of those 400 states, and at the paper configuration differed from the optimum on 10.83 % of the plant states drawn, always in the direction of higher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19.4 to 71.4 % of control ticks, issued up to 3.4 times as many scaling actions, and degraded from 0.45 % to 17.92 % violations as the utilisation target was raised, against 0.00 % to 3.75 % for the exact controller. Exact solution cost at most 43.18 ms per tick, 0.86 % of the control interval, so relaxation buys compute that is not scarce at these problem sizes. That is a claim about this configuration rather than a general one: the exact solve is cheap here because the dead time is long relative to the horizon, and a pool with near-instant start-up and a long horizon would not enjoy the same reduction.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preprint,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 doi: 10.1109/TSC.2024.3522815.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Int. Conf. Service-Oriented System Engineering (SOSE), 2025, pp. 151–161, doi: 10.1109/SOSE67019.2025.00022.</w:t>
      </w:r>
    </w:p>
    <w:p>
      <w:pPr>
        <w:spacing w:after="60" w:line="210"/>
        <w:ind w:left="360" w:hanging="360"/>
        <w:jc w:val="both"/>
      </w:pPr>
      <w:r>
        <w:rPr>
          <w:rFonts w:ascii="Times New Roman" w:cs="Times New Roman" w:eastAsia="Times New Roman" w:hAnsi="Times New Roman"/>
          <w:sz w:val="17"/>
          <w:szCs w:val="17"/>
        </w:rPr>
        <w:t xml:space="preserve">[4] E. Incerto, M. Tribastone, and C. Trubiani, "Combined vertical and horizontal autoscaling through model predictive control," in Euro-Par 2018: Parallel Processing, Lecture Notes in Computer Science, vol. 11014, Springer, 2018, pp. 147–159, doi: 10.1007/978-3-319-96983-1_11.</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 doi: 10.1109/TSC.2024.3354062.</w:t>
      </w:r>
    </w:p>
    <w:p>
      <w:pPr>
        <w:spacing w:after="60" w:line="210"/>
        <w:ind w:left="360" w:hanging="360"/>
        <w:jc w:val="both"/>
      </w:pPr>
      <w:r>
        <w:rPr>
          <w:rFonts w:ascii="Times New Roman" w:cs="Times New Roman" w:eastAsia="Times New Roman" w:hAnsi="Times New Roman"/>
          <w:sz w:val="17"/>
          <w:szCs w:val="17"/>
        </w:rPr>
        <w:t xml:space="preserve">[6] D. Zou, W. Lu, Z. Zhu, X. Lu, J. Zhou, X. Wang, K. Liu, K. Wang, R. Sun, and H. Wang, "OptScaler: A collaborative framework for robust autoscaling in the cloud," Proc. VLDB Endowment, vol. 17, no. 12, pp. 4090–4103, 2024, doi: 10.14778/3685800.3685829.</w:t>
      </w:r>
    </w:p>
    <w:p>
      <w:pPr>
        <w:spacing w:after="60" w:line="210"/>
        <w:ind w:left="360" w:hanging="360"/>
        <w:jc w:val="both"/>
      </w:pPr>
      <w:r>
        <w:rPr>
          <w:rFonts w:ascii="Times New Roman" w:cs="Times New Roman" w:eastAsia="Times New Roman" w:hAnsi="Times New Roman"/>
          <w:sz w:val="17"/>
          <w:szCs w:val="17"/>
        </w:rPr>
        <w:t xml:space="preserve">[7] Z. Cai et al.,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et al., "CATScaler: A convolution-augmented transformer scaling framework for cloud-native applications," IEEE Trans. Services Computing, 2025.</w:t>
      </w:r>
    </w:p>
    <w:p>
      <w:pPr>
        <w:spacing w:after="60" w:line="210"/>
        <w:ind w:left="360" w:hanging="360"/>
        <w:jc w:val="both"/>
      </w:pPr>
      <w:r>
        <w:rPr>
          <w:rFonts w:ascii="Times New Roman" w:cs="Times New Roman" w:eastAsia="Times New Roman" w:hAnsi="Times New Roman"/>
          <w:sz w:val="17"/>
          <w:szCs w:val="17"/>
        </w:rPr>
        <w:t xml:space="preserve">[9] Z. Fang, H. Ma, G. Chen, and R. Buyya, "HGraphScale: Hierarchical graph learning for autoscaling microservice applications in container-based cloud computing," IEEE Trans. Services Computing, 2025.</w:t>
      </w:r>
    </w:p>
    <w:p>
      <w:pPr>
        <w:spacing w:after="60" w:line="210"/>
        <w:ind w:left="360" w:hanging="360"/>
        <w:jc w:val="both"/>
      </w:pPr>
      <w:r>
        <w:rPr>
          <w:rFonts w:ascii="Times New Roman" w:cs="Times New Roman" w:eastAsia="Times New Roman" w:hAnsi="Times New Roman"/>
          <w:sz w:val="17"/>
          <w:szCs w:val="17"/>
        </w:rPr>
        <w:t xml:space="preserve">[10] B. Kumar, A. Verma, and R. Buyya, "Predictive autoscaling in cloud-native and federated cloud-edge computing environments: A taxonomy and future directions," arXiv:2606.07046, 2026.</w:t>
      </w:r>
    </w:p>
    <w:sectPr>
      <w:footerReference w:type="default" r:id="rId75"/>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footer" Target="footer34.xml"/><Relationship Id="rId41" Type="http://schemas.openxmlformats.org/officeDocument/2006/relationships/footer" Target="footer35.xml"/><Relationship Id="rId42" Type="http://schemas.openxmlformats.org/officeDocument/2006/relationships/footer" Target="footer36.xml"/><Relationship Id="rId43" Type="http://schemas.openxmlformats.org/officeDocument/2006/relationships/footer" Target="footer37.xml"/><Relationship Id="rId44" Type="http://schemas.openxmlformats.org/officeDocument/2006/relationships/footer" Target="footer38.xml"/><Relationship Id="rId45" Type="http://schemas.openxmlformats.org/officeDocument/2006/relationships/footer" Target="footer39.xml"/><Relationship Id="rId46" Type="http://schemas.openxmlformats.org/officeDocument/2006/relationships/footer" Target="footer40.xml"/><Relationship Id="rId47" Type="http://schemas.openxmlformats.org/officeDocument/2006/relationships/footer" Target="footer41.xml"/><Relationship Id="rId48" Type="http://schemas.openxmlformats.org/officeDocument/2006/relationships/footer" Target="footer42.xml"/><Relationship Id="rId49" Type="http://schemas.openxmlformats.org/officeDocument/2006/relationships/footer" Target="footer43.xml"/><Relationship Id="rId50" Type="http://schemas.openxmlformats.org/officeDocument/2006/relationships/footer" Target="footer44.xml"/><Relationship Id="rId51" Type="http://schemas.openxmlformats.org/officeDocument/2006/relationships/footer" Target="footer45.xml"/><Relationship Id="rId52" Type="http://schemas.openxmlformats.org/officeDocument/2006/relationships/footer" Target="footer46.xml"/><Relationship Id="rId53" Type="http://schemas.openxmlformats.org/officeDocument/2006/relationships/footer" Target="footer47.xml"/><Relationship Id="rId54" Type="http://schemas.openxmlformats.org/officeDocument/2006/relationships/footer" Target="footer48.xml"/><Relationship Id="rId55" Type="http://schemas.openxmlformats.org/officeDocument/2006/relationships/footer" Target="footer49.xml"/><Relationship Id="rId56" Type="http://schemas.openxmlformats.org/officeDocument/2006/relationships/footer" Target="footer50.xml"/><Relationship Id="rId57" Type="http://schemas.openxmlformats.org/officeDocument/2006/relationships/footer" Target="footer51.xml"/><Relationship Id="rId58" Type="http://schemas.openxmlformats.org/officeDocument/2006/relationships/footer" Target="footer52.xml"/><Relationship Id="rId59" Type="http://schemas.openxmlformats.org/officeDocument/2006/relationships/footer" Target="footer53.xml"/><Relationship Id="rId60" Type="http://schemas.openxmlformats.org/officeDocument/2006/relationships/footer" Target="footer54.xml"/><Relationship Id="rId61" Type="http://schemas.openxmlformats.org/officeDocument/2006/relationships/footer" Target="footer55.xml"/><Relationship Id="rId62" Type="http://schemas.openxmlformats.org/officeDocument/2006/relationships/footer" Target="footer56.xml"/><Relationship Id="rId63" Type="http://schemas.openxmlformats.org/officeDocument/2006/relationships/footer" Target="footer57.xml"/><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footer" Target="footer61.xml"/><Relationship Id="rId68" Type="http://schemas.openxmlformats.org/officeDocument/2006/relationships/footer" Target="footer62.xml"/><Relationship Id="rId69" Type="http://schemas.openxmlformats.org/officeDocument/2006/relationships/footer" Target="footer63.xml"/><Relationship Id="rId70" Type="http://schemas.openxmlformats.org/officeDocument/2006/relationships/footer" Target="footer64.xml"/><Relationship Id="rId71" Type="http://schemas.openxmlformats.org/officeDocument/2006/relationships/footer" Target="footer65.xml"/><Relationship Id="rId72" Type="http://schemas.openxmlformats.org/officeDocument/2006/relationships/footer" Target="footer66.xml"/><Relationship Id="rId73" Type="http://schemas.openxmlformats.org/officeDocument/2006/relationships/footer" Target="footer67.xml"/><Relationship Id="rId74" Type="http://schemas.openxmlformats.org/officeDocument/2006/relationships/footer" Target="footer68.xml"/><Relationship Id="rId75" Type="http://schemas.openxmlformats.org/officeDocument/2006/relationships/footer" Target="footer69.xml"/><Relationship Id="rId76" Type="http://schemas.openxmlformats.org/officeDocument/2006/relationships/image" Target="media/7ee2675ccafd4f183c8ab1777fdac074564b3fb8.png"/><Relationship Id="rId77" Type="http://schemas.openxmlformats.org/officeDocument/2006/relationships/image" Target="media/c05fd63d23f6689066bb8d932d2da4d841442a7b.png"/><Relationship Id="rId78" Type="http://schemas.openxmlformats.org/officeDocument/2006/relationships/image" Target="media/1670dc7e60ec2197d48d4cf319942fa6edf4fb62.png"/><Relationship Id="rId79" Type="http://schemas.openxmlformats.org/officeDocument/2006/relationships/image" Target="media/a8b8a1ccb2f1cb0d996a10117c713509283c7a0b.png"/><Relationship Id="rId80" Type="http://schemas.openxmlformats.org/officeDocument/2006/relationships/image" Target="media/c78e0072e315da88d37b8c29f99ae4c754203461.png"/><Relationship Id="rId81" Type="http://schemas.openxmlformats.org/officeDocument/2006/relationships/image" Target="media/63a12aaf95e87ea72c11fc71a29b3a0e56f97e1f.png"/><Relationship Id="rId82" Type="http://schemas.openxmlformats.org/officeDocument/2006/relationships/image" Target="media/7adefe009c6e37cbb7c3338a79609dfa37f536c3.png"/><Relationship Id="rId83" Type="http://schemas.openxmlformats.org/officeDocument/2006/relationships/image" Target="media/f003a35d9d87f8cdf37a866aaa34a6be85fdc165.png"/><Relationship Id="rId84" Type="http://schemas.openxmlformats.org/officeDocument/2006/relationships/image" Target="media/e91fff84fa8bf75833a27cdb19100e2f97b30ea6.png"/><Relationship Id="rId85" Type="http://schemas.openxmlformats.org/officeDocument/2006/relationships/image" Target="media/8fc2bfeecb715e61986ccebf6e87782b076391fc.png"/><Relationship Id="rId86" Type="http://schemas.openxmlformats.org/officeDocument/2006/relationships/image" Target="media/20f16e1e9e0008e590e130b9823a47ef2e926dc5.png"/><Relationship Id="rId87" Type="http://schemas.openxmlformats.org/officeDocument/2006/relationships/image" Target="media/8dc8834d5485635d81277f92cab415b23ee10f07.png"/><Relationship Id="rId88" Type="http://schemas.openxmlformats.org/officeDocument/2006/relationships/image" Target="media/e8cf8c7d0506ac2d7014b8159c591f3e261877db.png"/><Relationship Id="rId89" Type="http://schemas.openxmlformats.org/officeDocument/2006/relationships/image" Target="media/2bebb2d173e8cac26cf98b28f7553ebddcee838f.png"/><Relationship Id="rId90" Type="http://schemas.openxmlformats.org/officeDocument/2006/relationships/image" Target="media/d08a1c7872325beda3afba0b1501850767df1c59.png"/><Relationship Id="rId91" Type="http://schemas.openxmlformats.org/officeDocument/2006/relationships/image" Target="media/99a37e1b4678631c551dc74d80d2a630afe50c31.png"/><Relationship Id="rId92" Type="http://schemas.openxmlformats.org/officeDocument/2006/relationships/image" Target="media/f1e2e6090ec6d3cc2b4736fca2921c6d40c56120.png"/><Relationship Id="rId93" Type="http://schemas.openxmlformats.org/officeDocument/2006/relationships/image" Target="media/5c7e39b177727e7a671068c55897475b0b74602f.png"/><Relationship Id="rId94" Type="http://schemas.openxmlformats.org/officeDocument/2006/relationships/image" Target="media/4f2768bbacfe227c7f99e88683fb0feebf1f8b45.png"/><Relationship Id="rId95" Type="http://schemas.openxmlformats.org/officeDocument/2006/relationships/image" Target="media/0a1d31fcbf545c7987030ebf61ab66b72e74bebe.png"/><Relationship Id="rId96" Type="http://schemas.openxmlformats.org/officeDocument/2006/relationships/image" Target="media/b0eafd65dfd88943d0415139f83fd962b0035e2e.png"/><Relationship Id="rId97" Type="http://schemas.openxmlformats.org/officeDocument/2006/relationships/image" Target="media/cc36fa8ce1e8483b6ce92b09a956eea35732e9e8.png"/><Relationship Id="rId98" Type="http://schemas.openxmlformats.org/officeDocument/2006/relationships/image" Target="media/daa87cea00c29c9ba77341b621cad5337ddc5c79.png"/><Relationship Id="rId99" Type="http://schemas.openxmlformats.org/officeDocument/2006/relationships/image" Target="media/79b25badaafd4dcfd84e4aacf4c874e4e2b3aacb.png"/><Relationship Id="rId100" Type="http://schemas.openxmlformats.org/officeDocument/2006/relationships/image" Target="media/c31fac5adb261dd1dbd1df27328142c5d54621f1.png"/><Relationship Id="rId101" Type="http://schemas.openxmlformats.org/officeDocument/2006/relationships/image" Target="media/c74acd0642ac59aad556672d0f8582cd3e6730bd.png"/><Relationship Id="rId102" Type="http://schemas.openxmlformats.org/officeDocument/2006/relationships/image" Target="media/2289b649fe96c674e3edbf0bc7e4dff260f90772.png"/><Relationship Id="rId103" Type="http://schemas.openxmlformats.org/officeDocument/2006/relationships/image" Target="media/837c71fdf05241caddd74cbac3d13d7ed12cf324.png"/><Relationship Id="rId1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2026-10-30T09:32:46.249Z</dcterms:created>
  <dcterms:modified xsi:type="dcterms:W3CDTF">2026-10-30T09:32:46.249Z</dcterms:modified>
</cp:coreProperties>
</file>

<file path=docProps/custom.xml><?xml version="1.0" encoding="utf-8"?>
<Properties xmlns="http://schemas.openxmlformats.org/officeDocument/2006/custom-properties" xmlns:vt="http://schemas.openxmlformats.org/officeDocument/2006/docPropsVTypes"/>
</file>