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jc w:val="center"/>
      </w:pPr>
      <w:r>
        <w:rPr>
          <w:rFonts w:ascii="Times New Roman" w:cs="Times New Roman" w:eastAsia="Times New Roman" w:hAnsi="Times New Roman"/>
          <w:b/>
          <w:bCs/>
          <w:sz w:val="32"/>
          <w:szCs w:val="32"/>
        </w:rPr>
        <w:t xml:space="preserve">Integer-Exact Predictive Control for Container Auto-Scaling: Measuring the Cost of Relaxation and the Horizon–Dead-Time Law</w:t>
      </w:r>
    </w:p>
    <w:p>
      <w:pPr>
        <w:spacing w:after="50"/>
        <w:jc w:val="center"/>
      </w:pPr>
      <w:r>
        <w:rPr>
          <w:rFonts w:ascii="Times New Roman" w:cs="Times New Roman" w:eastAsia="Times New Roman" w:hAnsi="Times New Roman"/>
          <w:sz w:val="21"/>
          <w:szCs w:val="21"/>
        </w:rPr>
        <w:t xml:space="preserve">Atharva Bandekar</w:t>
      </w:r>
    </w:p>
    <w:p>
      <w:pPr>
        <w:spacing w:after="260"/>
        <w:jc w:val="center"/>
      </w:pPr>
      <w:r>
        <w:rPr>
          <w:rFonts w:ascii="Times New Roman" w:cs="Times New Roman" w:eastAsia="Times New Roman" w:hAnsi="Times New Roman"/>
          <w:i/>
          <w:iCs/>
          <w:color w:val="555555"/>
          <w:sz w:val="18"/>
          <w:szCs w:val="18"/>
        </w:rPr>
        <w:t xml:space="preserve">School of Computer Science and Engineering, Vellore Institute of Technology, Chennai, India</w:t>
      </w:r>
    </w:p>
    <w:p>
      <w:pPr>
        <w:spacing w:after="120" w:line="230"/>
        <w:jc w:val="both"/>
      </w:pPr>
      <w:r>
        <w:rPr>
          <w:rFonts w:ascii="Times New Roman" w:cs="Times New Roman" w:eastAsia="Times New Roman" w:hAnsi="Times New Roman"/>
          <w:b/>
          <w:bCs/>
          <w:sz w:val="18"/>
          <w:szCs w:val="18"/>
        </w:rPr>
        <w:t xml:space="preserve">Abstract—</w:t>
      </w:r>
      <w:r>
        <w:rPr>
          <w:rFonts w:ascii="Times New Roman" w:cs="Times New Roman" w:eastAsia="Times New Roman" w:hAnsi="Times New Roman"/>
          <w:sz w:val="18"/>
          <w:szCs w:val="18"/>
        </w:rPr>
        <w:t xml:space="preserve">Container auto-scalers decide how many replicas to run, and that decision is an integer. Published predictive controllers nevertheless solve a relaxed, real-valued problem and round the result, and they rarely state how the forecast horizon should be chosen relative to the time a replica takes to become ready. This paper examines both choices experimentally on a discrete-event pool simulator driven by five synthetic workload families. Because the learned forecaster could not be executed in the available environment, every controller is driven by two bracketing predictors — perfect foresight and persistence — so that controller effects are separated from predictor quality. Three findings follow. First, the forecast horizon must cover the actuation dead time or prediction is actively harmful: averaged over the 5 cold-start settings for which both sides of the boundary were sampled, violations fall from 2.92 % to 0.27 % as the horizon crosses HΔt = τc, and below that threshold the predictive controller is up to 3.69 percentage points worse than a reactive baseline, while above it it is up to 3.58 points better. Second, the integer problem can be solved to global optimality rather than approximated. The dead time confines the tracking-relevant decisions to the first H − τ + 1 steps of the horizon and leaves the remainder separable. This cuts the search from (2Δmax+1)^H to 4 nested integer choices, and the resulting solver matched exhaustive enumeration in 400 of 400 brute-forced plant states; completing the horizon greedily instead returned an optimal first action in only 354 of them, and never a better one. Third, relaxing integrality is not free: the relaxed-and-rounded controller disagrees with the exact solution on 19.4–71.4 % of control ticks and, at an aggressive utilisation target of 0.85, reaches 17.92 % violations against 3.58 % for the exact controller. Exact solution costs at most 43.2 ms per tick in the mean and 39.4 ms in the worst single solve observed, under 0.79 % of the control interval. These results come from simulation with synthetic workloads and bracketing predictors, not from a deployed system; every value reported is measured, and none is estimated or illustrative.</w:t>
      </w:r>
    </w:p>
    <w:p>
      <w:pPr>
        <w:spacing w:after="240" w:line="23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Container auto-scaling, model predictive control, integer programming, actuation dead time, cold start, discrete-event simulation, Docker, resource management.</w:t>
      </w:r>
    </w:p>
    <w:p>
      <w:pPr>
        <w:sectPr>
          <w:footerReference w:type="default" r:id="rId7"/>
          <w:pgSz w:w="12240" w:h="15840" w:orient="portrait"/>
          <w:pgMar w:top="1150" w:right="1080" w:bottom="1150" w:left="1080" w:header="708" w:footer="708" w:gutter="0"/>
          <w:pgNumType/>
          <w:cols w:num="1"/>
          <w:docGrid w:linePitch="360"/>
        </w:sectPr>
      </w:pPr>
    </w:p>
    <w:p>
      <w:pPr>
        <w:spacing w:after="140" w:before="280"/>
        <w:jc w:val="center"/>
      </w:pPr>
      <w:r>
        <w:rPr>
          <w:rFonts w:ascii="Times New Roman" w:cs="Times New Roman" w:eastAsia="Times New Roman" w:hAnsi="Times New Roman"/>
          <w:b/>
          <w:bCs/>
          <w:caps/>
          <w:sz w:val="20"/>
          <w:szCs w:val="20"/>
        </w:rPr>
        <w:t xml:space="preserve">I. Introduction</w:t>
      </w:r>
    </w:p>
    <w:p>
      <w:pPr>
        <w:spacing w:after="100" w:before="200"/>
      </w:pPr>
      <w:r>
        <w:rPr>
          <w:rFonts w:ascii="Times New Roman" w:cs="Times New Roman" w:eastAsia="Times New Roman" w:hAnsi="Times New Roman"/>
          <w:b/>
          <w:bCs/>
          <w:i/>
          <w:iCs/>
          <w:sz w:val="19"/>
          <w:szCs w:val="19"/>
        </w:rPr>
        <w:t xml:space="preserve">A. Background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container pool serves traffic with some number of identical replicas, and an auto-scaler adjusts that number as demand moves. The decision is discrete: a pool runs three replicas or four, never 3.4. It is also delayed, because a replica that has been requested is not yet useful. Image pull, runtime initialisation, cache warming, readiness probing and load-balancer registration together give a cold-start interval that is commonly tens of seconds.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Threshold auto-scalers, of which the Kubernetes Horizontal Pod Autoscaler is the canonical example, act only after utilisation has crossed a configured target. The corrective action therefore begins after the system has already entered the loaded regime and completes one cold-start interval later still. Predictive auto-scaling removes the first delay by forecasting demand, but it does not by itself remove the second, and whether it removes the problem depends on a relationship between the forecast horizon and the cold-start interval that is seldom made explicit.</w:t>
      </w:r>
    </w:p>
    <w:p>
      <w:pPr>
        <w:spacing w:after="100" w:before="200"/>
      </w:pPr>
      <w:r>
        <w:rPr>
          <w:rFonts w:ascii="Times New Roman" w:cs="Times New Roman" w:eastAsia="Times New Roman" w:hAnsi="Times New Roman"/>
          <w:b/>
          <w:bCs/>
          <w:i/>
          <w:iCs/>
          <w:sz w:val="19"/>
          <w:szCs w:val="19"/>
        </w:rPr>
        <w:t xml:space="preserve">B. Research Gap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gaps motivate this work, and all three concern the controller rather than the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integrality. Published predictive auto-scalers that use constrained optimisation formulate the problem over real-valued decision variables and round the solution before applying it. The rounding step is reported as an implementation detail and its cost is not measured. Independent evidence suggests the cost is not negligible: in a recent benchmark of reinforcement-learning controllers, discrete-action algorithms outperformed continuous-action ones, an outcome the authors attribute to the mismatch introduced when continuous outputs are bucketed into integer replica changes. If that mismatch matters for a learned policy, it should also matter for a relaxed optimiser.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tractability, and it is the reason the first gap has stayed open. Enforcing integrality on a receding-horizon problem appears to demand a search over (2Δmax + 1) raised to the power of the horizon length, which is why the usual response is either to relax the constraint or to enumerate the first action and complete the horizon with a heuristic. The second response is often described as exact on the grounds that only the first action is applied. That reasoning does not hold: the first action is chosen by comparing the costs of completed plans, so a biased completion biases the comparison. Whether an exact integer solve is affordable at container-scaling rates has not, as far as this survey found, been settled either way.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is horizon selection. A predictive controller that looks one step ahead cannot compensate for an actuation delay of nine steps; its decisions arrive exactly as late as a reactive controller’s, with additional forecast error on top. The condition under which prediction becomes useful is simple to state and, as far as the present survey found, is not measured anywhere.</w:t>
      </w:r>
    </w:p>
    <w:p>
      <w:pPr>
        <w:spacing w:after="80" w:before="150"/>
      </w:pPr>
      <w:r>
        <w:rPr>
          <w:rFonts w:ascii="Times New Roman" w:cs="Times New Roman" w:eastAsia="Times New Roman" w:hAnsi="Times New Roman"/>
          <w:i/>
          <w:iCs/>
          <w:sz w:val="19"/>
          <w:szCs w:val="19"/>
        </w:rPr>
        <w:t xml:space="preserve">A worked example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concrete instance makes the condition tangible. Suppose a pool of eight replicas is serving 260 requests per second at a 65 % target, demand doubles over the next thirty seconds, and the container image takes 45 s to become ready. The requirement will rise to roughly sixteen replicas. A reactive controller observes the rise only as utilisation crosses its target, issues the scale-up at that moment, and the new replicas begin serving 45 s later, by which point the pool has been under-provisioned for the entire rise and part of the plateau.</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predictive controller with a one-step horizon is no better. It forecasts five seconds ahead, which tells it nothing about a transition that completes in thirty, and its scale-up lands at essentially the same moment as the reactive one, now with forecast error added. Only when the horizon reaches nine ticks does the forecast span the actuation delay, and only then can the controller issue at t the action whose effect arrives at t + 45 s, when the demand does. The measurements in Section V-A are this example repeated across six delays and ten horizons, and they show the transition occurring where this reasoning predicts.</w:t>
      </w:r>
    </w:p>
    <w:p>
      <w:pPr>
        <w:spacing w:after="100" w:before="200"/>
      </w:pPr>
      <w:r>
        <w:rPr>
          <w:rFonts w:ascii="Times New Roman" w:cs="Times New Roman" w:eastAsia="Times New Roman" w:hAnsi="Times New Roman"/>
          <w:b/>
          <w:bCs/>
          <w:i/>
          <w:iCs/>
          <w:sz w:val="19"/>
          <w:szCs w:val="19"/>
        </w:rPr>
        <w:t xml:space="preserve">C. Contributions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paper makes four contributions, each supported by measurements reported in Section V.</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horizon–dead-time law. Sweeping the cold-start interval and the forecast horizon independently shows a sharp transition in service-level attainment that coincides with the condition HΔt ≥ τc. Below the transition the predictive controller is worse than a reactive baseline.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tractable exact solve, with its structural argument and its verification. Because an action issued now does not reach the pool for τ ticks, only the first H − τ + 1 actions of the horizon can influence any tracking term inside it, and the remaining actions enter the cost through a separable chain minimised by backward recursion. Together these cut the search to a size that can be enumerated, and the resulting solver is checked against exhaustive enumeration rather than asserted to be correct.</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cost of relaxation, and of the cost of approximating the solve. The exact controller is compared against an otherwise identical relaxed-and-rounded controller across five pool sizes, isolating the effect of the integrality constraint alone, and separately against a solver that enumerates first actions under a greedy horizon completion, isolating the effect of solving the integer problem only approximately.</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An evaluation protocol that separates controller effects from predictor quality by bracketing every controller between a perfect-foresight predictor and a persistence predictor, so that conclusions holding under both brackets are attributable to the control law.</w:t>
      </w:r>
    </w:p>
    <w:p>
      <w:pPr>
        <w:spacing w:after="100" w:before="200"/>
      </w:pPr>
      <w:r>
        <w:rPr>
          <w:rFonts w:ascii="Times New Roman" w:cs="Times New Roman" w:eastAsia="Times New Roman" w:hAnsi="Times New Roman"/>
          <w:b/>
          <w:bCs/>
          <w:i/>
          <w:iCs/>
          <w:sz w:val="19"/>
          <w:szCs w:val="19"/>
        </w:rPr>
        <w:t xml:space="preserve">D. Organisation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II reviews existing auto-scaling systems and groups the recent literature by the mechanism each study adopts. Section III develops the controller. Section IV describes the experimental setup, the simulated plant and the workloads. Section V reports results. Section VI states the limitations, several of which are substantial. Section VII concludes.</w:t>
      </w:r>
    </w:p>
    <w:p>
      <w:pPr>
        <w:spacing w:after="140" w:before="280"/>
        <w:jc w:val="center"/>
      </w:pPr>
      <w:r>
        <w:rPr>
          <w:rFonts w:ascii="Times New Roman" w:cs="Times New Roman" w:eastAsia="Times New Roman" w:hAnsi="Times New Roman"/>
          <w:b/>
          <w:bCs/>
          <w:caps/>
          <w:sz w:val="20"/>
          <w:szCs w:val="20"/>
        </w:rPr>
        <w:t xml:space="preserve">II. Existing Systems and Related Work</w:t>
      </w:r>
    </w:p>
    <w:p>
      <w:pPr>
        <w:spacing w:after="100" w:before="200"/>
      </w:pPr>
      <w:r>
        <w:rPr>
          <w:rFonts w:ascii="Times New Roman" w:cs="Times New Roman" w:eastAsia="Times New Roman" w:hAnsi="Times New Roman"/>
          <w:b/>
          <w:bCs/>
          <w:i/>
          <w:iCs/>
          <w:sz w:val="19"/>
          <w:szCs w:val="19"/>
        </w:rPr>
        <w:t xml:space="preserve">A. Threshold-Based Auto-Scaling in Production Orchestrators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auto-scalers actually deployed at scale are reactive and rule-based. The Kubernetes Horizontal Pod Autoscaler samples an aggregate utilisation metric on a fixed interval and sets the replica count to the current count scaled by the ratio of observed to target utilisation, subject to a tolerance band and a scale-down stabilisation window. Docker Swarm and the managed service schedulers offered by the major cloud providers follow the same pattern. Van Do et al. (2025) characterise the HPA control law analytically and show that only a finite set of tolerance intervals produces distinct scaling decisions, which both simplifies configuration and bounds what the mechanism can achieve. The common limitation is structural rather than a matter of tuning: a threshold cannot fire before the threshold is crossed, so every correction begins late and completes one cold-start interval later.</w:t>
      </w:r>
    </w:p>
    <w:p>
      <w:pPr>
        <w:spacing w:after="100" w:before="200"/>
      </w:pPr>
      <w:r>
        <w:rPr>
          <w:rFonts w:ascii="Times New Roman" w:cs="Times New Roman" w:eastAsia="Times New Roman" w:hAnsi="Times New Roman"/>
          <w:b/>
          <w:bCs/>
          <w:i/>
          <w:iCs/>
          <w:sz w:val="19"/>
          <w:szCs w:val="19"/>
        </w:rPr>
        <w:t xml:space="preserve">B. Forecast-Driven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dominant response has been to place a time-series model ahead of the scaling rule. Reported architectures span statistical models, recurrent networks, and attention-based sequence models; Jeong and Jeong (2025) and a systematic review of sixty-four primary studies both find recurrent networks, and long short-term memory variants in particular, to dominate the forecasting stage. Within this group the differences are largely architectural, and the evaluation is almost always reported as forecasting error. Fog et al. (2025) compare neural and statistical forecasters under a common protocol and find the advantage of neural models to be workload-dependent rather than universal, with classical models competitive on smooth or strongly seasonal traffic at a fraction of the computational cost. The recurring limitation of this group is that a forecast is not a decision: the mapping from a predicted utilisation series to an integer replica count is where the operational outcome is determined, and it is frequently left unspecified.</w:t>
      </w:r>
    </w:p>
    <w:p>
      <w:pPr>
        <w:spacing w:after="100" w:before="200"/>
      </w:pPr>
      <w:r>
        <w:rPr>
          <w:rFonts w:ascii="Times New Roman" w:cs="Times New Roman" w:eastAsia="Times New Roman" w:hAnsi="Times New Roman"/>
          <w:b/>
          <w:bCs/>
          <w:i/>
          <w:iCs/>
          <w:sz w:val="19"/>
          <w:szCs w:val="19"/>
        </w:rPr>
        <w:t xml:space="preserve">C. Optimisation-Based and Control-Theoretic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smaller body of work treats scaling as a control problem. Incerto et al. (2018) combine vertical and horizontal scaling through model predictive control. Quattrocchi et al. (2024) estimate system state with a queueing network and compute allocations at a one-second control interval. Zou et al. (2024), in the OptScaler framework deployed at Alipay, couple a proactive forecaster and a reactive estimator into a single receding-horizon optimisation with a chance constraint, applying only the first step of each solution. Cai et al. (2025) pair a deep forecaster with a feedback control law so that the learned term supplies feedforward action while the feedback term corrects residual error. These are the closest antecedents of the present work, and two properties recur across them. Their decision variables are real-valued and the solution is rounded before use; and none reports a stability analysis, an oscillation metric, or a penalty on changing the decision between intervals.</w:t>
      </w:r>
    </w:p>
    <w:p>
      <w:pPr>
        <w:spacing w:after="100" w:before="200"/>
      </w:pPr>
      <w:r>
        <w:rPr>
          <w:rFonts w:ascii="Times New Roman" w:cs="Times New Roman" w:eastAsia="Times New Roman" w:hAnsi="Times New Roman"/>
          <w:b/>
          <w:bCs/>
          <w:i/>
          <w:iCs/>
          <w:sz w:val="19"/>
          <w:szCs w:val="19"/>
        </w:rPr>
        <w:t xml:space="preserve">D. Actuation Delay as an Explicit Quantity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start-up latency as a first-class quantity is recent. Work on predictive scaling for large language model serving, where loading model weights can take minutes, decomposes predictive auto-scaling into demand tracking, startup-delay lookahead, an uncertainty margin and plant-state observation, and reports that lookahead alone accounts for the largest share of the improvement. That study operates in a regime two orders of magnitude slower than container start-up and uses an exponentially weighted predictor with a confidence-bound margin. Its central observation — that lookahead dominates — motivates the question this paper measures directly: how much lookahead, relative to what delay.</w:t>
      </w:r>
    </w:p>
    <w:p>
      <w:pPr>
        <w:spacing w:after="100" w:before="200"/>
      </w:pPr>
      <w:r>
        <w:rPr>
          <w:rFonts w:ascii="Times New Roman" w:cs="Times New Roman" w:eastAsia="Times New Roman" w:hAnsi="Times New Roman"/>
          <w:b/>
          <w:bCs/>
          <w:i/>
          <w:iCs/>
          <w:sz w:val="19"/>
          <w:szCs w:val="19"/>
        </w:rPr>
        <w:t xml:space="preserve">E. Gap Addressed Here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Across these groups, the integrality of the scaling decision is treated as a rounding detail and the relationship between horizon and actuation delay is treated as a configuration choice. Neither has been measured. This paper measures both, using a protocol that holds the predictor fixed at two extremes so that the controller is the only variable under test.</w:t>
      </w:r>
    </w:p>
    <w:p>
      <w:pPr>
        <w:spacing w:after="100" w:before="200"/>
      </w:pPr>
      <w:r>
        <w:rPr>
          <w:rFonts w:ascii="Times New Roman" w:cs="Times New Roman" w:eastAsia="Times New Roman" w:hAnsi="Times New Roman"/>
          <w:b/>
          <w:bCs/>
          <w:i/>
          <w:iCs/>
          <w:sz w:val="19"/>
          <w:szCs w:val="19"/>
        </w:rPr>
        <w:t xml:space="preserve">F. Comparative Summary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 consolidates the reviewed work. The grouping is by the mechanism each study uses to decide the replica count, because that is the axis along which the present contribution is positioned. Two columns deserve attention. The methodology column records whether the decision variable is discrete; across the optimisation group it is not. The limitation column records whether actuation delay and decision churn are treated as first-class quantities; across all groups they are not.</w:t>
      </w:r>
    </w:p>
    <w:p>
      <w:pPr>
        <w:sectPr>
          <w:footerReference w:type="default" r:id="rId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525"/>
        <w:gridCol w:w="1314"/>
        <w:gridCol w:w="2326"/>
        <w:gridCol w:w="1665"/>
        <w:gridCol w:w="2059"/>
        <w:gridCol w:w="2191"/>
      </w:tblGrid>
      <w:tr>
        <w:trPr>
          <w:cantSplit/>
          <w:tblHeader/>
        </w:trPr>
        <w:tc>
          <w:tcPr>
            <w:tcW w:type="dxa" w:w="5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Ref.</w:t>
            </w:r>
          </w:p>
        </w:tc>
        <w:tc>
          <w:tcPr>
            <w:tcW w:type="dxa" w:w="131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Mechanism</w:t>
            </w:r>
          </w:p>
        </w:tc>
        <w:tc>
          <w:tcPr>
            <w:tcW w:type="dxa" w:w="232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Methodology</w:t>
            </w:r>
          </w:p>
        </w:tc>
        <w:tc>
          <w:tcPr>
            <w:tcW w:type="dxa" w:w="166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Dataset / benchmark</w:t>
            </w:r>
          </w:p>
        </w:tc>
        <w:tc>
          <w:tcPr>
            <w:tcW w:type="dxa" w:w="20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Reported outcome</w:t>
            </w:r>
          </w:p>
        </w:tc>
        <w:tc>
          <w:tcPr>
            <w:tcW w:type="dxa" w:w="2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Limitation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Threshold</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HPA control law, analytic characterisation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Session-based CNF traffic</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Finite distinct tolerance intervals; bounds on reactive scaling</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Characterises the baseline only; no predictive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ETimeMixer with convolution; burst/non-burst state classification</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Seven public cloud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 70 % utilisation with fewer scaling updates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Scaling rule is a state-dependent heuristic, not an optimisation</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[3]</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Controlled comparison of statistical and neural forecasters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Kubernetes workload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Neural advantage is workload-dependent, not universal</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Comparison study; contributes no scaling mechanism</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MPC over combined vertical and horizontal scaling</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web applications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First MPC formulation for container elasticity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no dead-time term; no churn metric</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Queueing-network state estimation, 1 s control interval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Two applications, seven workloads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Near-zero SLA violations at sub-millisecond decision cost</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Reactive state estimation; no lookahead across actuation delay</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Optimisation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Proactive forecaster + reactive estimator in one chance-constrained MPC</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Alipay production traces, three clusters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Reports &gt; 36 % fewer SLO violations than a hybrid baseline</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Real-valued decisions, rounded for use; no integrality constraint; no churn penalty; 30 min intervals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[7]</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Hybrid learning + control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Deep forecaster supplying feedforward, feedback law correcting residual</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Containerised microservice benchmarks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Feedback term stabilises the loop when the predictor degrades</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Controller gains tuned per application; no hard constraints</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Forecast-driven</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Convolution-augmented Transformer, local and global workload structure</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Cloud-native and serverless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short bursts and long periodicity jointly</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Model footprint impractical for sidecar deployment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[9]</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Graph / RL</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Hierarchical graph neural network over container dependencies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Real-world microservice traces</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Captures inter-service coupling in the scaling decision</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safety guarantee during exploration; sample-inefficient</w:t>
            </w:r>
          </w:p>
        </w:tc>
      </w:tr>
      <w:tr>
        <w:trPr>
          <w:cantSplit/>
        </w:trPr>
        <w:tc>
          <w:tcPr>
            <w:tcW w:type="dxa" w:w="52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w:t>
            </w:r>
          </w:p>
        </w:tc>
        <w:tc>
          <w:tcPr>
            <w:tcW w:type="dxa" w:w="131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Survey</w:t>
            </w:r>
          </w:p>
        </w:tc>
        <w:tc>
          <w:tcPr>
            <w:tcW w:type="dxa" w:w="232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Four-dimensional taxonomy over triggers, targets, models, metrics</w:t>
            </w:r>
          </w:p>
        </w:tc>
        <w:tc>
          <w:tcPr>
            <w:tcW w:type="dxa" w:w="166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Systematic review</w:t>
            </w:r>
          </w:p>
        </w:tc>
        <w:tc>
          <w:tcPr>
            <w:tcW w:type="dxa" w:w="205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Maps the design space; identifies drift-awareness gap</w:t>
            </w:r>
          </w:p>
        </w:tc>
        <w:tc>
          <w:tcPr>
            <w:tcW w:type="dxa" w:w="2191"/>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No empirical evaluation of the proposed indices</w:t>
            </w:r>
          </w:p>
        </w:tc>
      </w:tr>
    </w:tbl>
    <w:p>
      <w:pPr>
        <w:keepLines/>
        <w:spacing w:after="180" w:before="70"/>
        <w:jc w:val="center"/>
      </w:pPr>
      <w:r>
        <w:rPr>
          <w:rFonts w:ascii="Times New Roman" w:cs="Times New Roman" w:eastAsia="Times New Roman" w:hAnsi="Times New Roman"/>
          <w:sz w:val="16"/>
          <w:szCs w:val="16"/>
        </w:rPr>
        <w:t xml:space="preserve">Table I. Reviewed work grouped by decision mechanism. Outcomes are as reported by the original authors and were not reproduced here; the present work reproduces none of these systems and makes no numerical comparison against their published figures.</w:t>
      </w:r>
    </w:p>
    <w:p>
      <w:pPr>
        <w:sectPr>
          <w:footerReference w:type="default" r:id="rId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Nowhere in the table is the replica count treated as an integer decision variable. The optimisation group, the closest antecedent of this work, relaxes integrality and rounds the solution, and none of those studies reports what the rounding costs. Actuation delay is handled explicitly in a single entry, and there at a granularity two orders of magnitude slower than container start-up. Decision churn is reported nowhere at all, although every scaling action consumes a container start or stop and redistributes live connections. Those three omissions are what Section V measures.</w:t>
      </w:r>
    </w:p>
    <w:p>
      <w:pPr>
        <w:spacing w:after="140" w:before="280"/>
        <w:jc w:val="center"/>
      </w:pPr>
      <w:r>
        <w:rPr>
          <w:rFonts w:ascii="Times New Roman" w:cs="Times New Roman" w:eastAsia="Times New Roman" w:hAnsi="Times New Roman"/>
          <w:b/>
          <w:bCs/>
          <w:caps/>
          <w:sz w:val="20"/>
          <w:szCs w:val="20"/>
        </w:rPr>
        <w:t xml:space="preserve">III. Controller Design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observes the pool once per interval Δt, converts a demand forecast into an integer replica requirement, and solves a constrained receding-horizon problem whose decision variable is the change in replica count. Fig. 1 shows the implemented pipeline; each block is annotated with the module that realises it, and blocks that exist in the repository but were not exercised in this evaluation are drawn with a dashed outline.</w:t>
      </w:r>
    </w:p>
    <w:p>
      <w:pPr>
        <w:sectPr>
          <w:footerReference w:type="default" r:id="rId1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531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353175" cy="3314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1. Implemented pipeline. Each block names the repository module that realises it. Dashed outlines mark components that exist in the repository but were not exercised in this evaluation: the learned forecaster (PyTorch unavailable) and the Docker actuation backend (no daemon available). Bold labels are component names.</w:t>
      </w:r>
    </w:p>
    <w:p>
      <w:pPr>
        <w:sectPr>
          <w:footerReference w:type="default" r:id="rId1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A. Observation and 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each tick the collector assembles the observation vector of (1), where u is mean CPU utilisation across the pool, r is the resident memory fraction, λ the request arrival rate, ℓ the 95th-percentile response time, and N the current replica count.</w:t>
      </w:r>
    </w:p>
    <w:p>
      <w:pPr>
        <w:keepLines/>
        <w:spacing w:after="120" w:before="120"/>
        <w:jc w:val="center"/>
      </w:pPr>
      <w:r>
        <w:drawing>
          <wp:inline distT="0" distB="0" distL="0" distR="0">
            <wp:extent cx="1781175"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81175" cy="171450"/>
                    </a:xfrm>
                    <a:prstGeom prst="rect">
                      <a:avLst/>
                    </a:prstGeom>
                  </pic:spPr>
                </pic:pic>
              </a:graphicData>
            </a:graphic>
          </wp:inline>
        </w:drawing>
      </w:r>
      <w:r>
        <w:rPr>
          <w:rFonts w:ascii="Times New Roman" w:cs="Times New Roman" w:eastAsia="Times New Roman" w:hAnsi="Times New Roman"/>
          <w:sz w:val="19"/>
          <w:szCs w:val="19"/>
        </w:rPr>
        <w:t xml:space="preserve"> (1)</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forecast of utilisation is converted to a replica requirement through the utilisation law (2), in which u* is the target operating point, μ the per-replica service rate, and γ a safety margin. The ceiling is used because a fractional shortfall is a real shortfall.</w:t>
      </w:r>
    </w:p>
    <w:p>
      <w:pPr>
        <w:keepLines/>
        <w:spacing w:after="120" w:before="120"/>
        <w:jc w:val="center"/>
      </w:pPr>
      <w:r>
        <w:drawing>
          <wp:inline distT="0" distB="0" distL="0" distR="0">
            <wp:extent cx="144780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447800" cy="247650"/>
                    </a:xfrm>
                    <a:prstGeom prst="rect">
                      <a:avLst/>
                    </a:prstGeom>
                  </pic:spPr>
                </pic:pic>
              </a:graphicData>
            </a:graphic>
          </wp:inline>
        </w:drawing>
      </w:r>
      <w:r>
        <w:rPr>
          <w:rFonts w:ascii="Times New Roman" w:cs="Times New Roman" w:eastAsia="Times New Roman" w:hAnsi="Times New Roman"/>
          <w:sz w:val="19"/>
          <w:szCs w:val="19"/>
        </w:rPr>
        <w:t xml:space="preserve"> (2)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Memory imposes an independent bound, so the binding requirement is the larger of the two, as in (3).</w:t>
      </w:r>
    </w:p>
    <w:p>
      <w:pPr>
        <w:keepLines/>
        <w:spacing w:after="120" w:before="120"/>
        <w:jc w:val="center"/>
      </w:pPr>
      <w:r>
        <w:drawing>
          <wp:inline distT="0" distB="0" distL="0" distR="0">
            <wp:extent cx="24765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76500" cy="171450"/>
                    </a:xfrm>
                    <a:prstGeom prst="rect">
                      <a:avLst/>
                    </a:prstGeom>
                  </pic:spPr>
                </pic:pic>
              </a:graphicData>
            </a:graphic>
          </wp:inline>
        </w:drawing>
      </w:r>
      <w:r>
        <w:rPr>
          <w:rFonts w:ascii="Times New Roman" w:cs="Times New Roman" w:eastAsia="Times New Roman" w:hAnsi="Times New Roman"/>
          <w:sz w:val="19"/>
          <w:szCs w:val="19"/>
        </w:rPr>
        <w:t xml:space="preserve"> (3)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Expected tail latency at a candidate replica count is estimated by the heavy-traffic approximation (4), where s̄ is the mean service time and cₐ² and cₛ² are the squared coefficients of variation of the arrival and service processes. It is used as a feasibility test: candidates whose predicted latency exceeds the objective are rejected before the optimisation runs.</w:t>
      </w:r>
    </w:p>
    <w:p>
      <w:pPr>
        <w:keepLines/>
        <w:spacing w:after="120" w:before="120"/>
        <w:jc w:val="center"/>
      </w:pPr>
      <w:r>
        <w:drawing>
          <wp:inline distT="0" distB="0" distL="0" distR="0">
            <wp:extent cx="19526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52625" cy="238125"/>
                    </a:xfrm>
                    <a:prstGeom prst="rect">
                      <a:avLst/>
                    </a:prstGeom>
                  </pic:spPr>
                </pic:pic>
              </a:graphicData>
            </a:graphic>
          </wp:inline>
        </w:drawing>
      </w:r>
      <w:r>
        <w:rPr>
          <w:rFonts w:ascii="Times New Roman" w:cs="Times New Roman" w:eastAsia="Times New Roman" w:hAnsi="Times New Roman"/>
          <w:sz w:val="19"/>
          <w:szCs w:val="19"/>
        </w:rPr>
        <w:t xml:space="preserve"> (4)</w:t>
      </w:r>
    </w:p>
    <w:p>
      <w:pPr>
        <w:spacing w:after="100" w:before="200"/>
      </w:pPr>
      <w:r>
        <w:rPr>
          <w:rFonts w:ascii="Times New Roman" w:cs="Times New Roman" w:eastAsia="Times New Roman" w:hAnsi="Times New Roman"/>
          <w:b/>
          <w:bCs/>
          <w:i/>
          <w:iCs/>
          <w:sz w:val="19"/>
          <w:szCs w:val="19"/>
        </w:rPr>
        <w:t xml:space="preserve">B. Plant Model and Dead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evolves according to (5): the replica count changes by the control input applied τ ticks earlier, where τ is the cold-start interval expressed in control ticks. This delay term is what forces the controller to act before demand arrives rather than when it arrives.</w:t>
      </w:r>
    </w:p>
    <w:p>
      <w:pPr>
        <w:keepLines/>
        <w:spacing w:after="120" w:before="120"/>
        <w:jc w:val="center"/>
      </w:pPr>
      <w:r>
        <w:drawing>
          <wp:inline distT="0" distB="0" distL="0" distR="0">
            <wp:extent cx="24098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409825" cy="152400"/>
                    </a:xfrm>
                    <a:prstGeom prst="rect">
                      <a:avLst/>
                    </a:prstGeom>
                  </pic:spPr>
                </pic:pic>
              </a:graphicData>
            </a:graphic>
          </wp:inline>
        </w:drawing>
      </w:r>
      <w:r>
        <w:rPr>
          <w:rFonts w:ascii="Times New Roman" w:cs="Times New Roman" w:eastAsia="Times New Roman" w:hAnsi="Times New Roman"/>
          <w:sz w:val="19"/>
          <w:szCs w:val="19"/>
        </w:rPr>
        <w:t xml:space="preserve"> (5)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For the forecast to be actionable it must reach at least τ ticks into the future, which gives the feasibility condition (6). Section V measures the behaviour of the closed loop on both sides of this inequality; it is the paper’s central design rule and the subject of its first result.</w:t>
      </w:r>
    </w:p>
    <w:p>
      <w:pPr>
        <w:keepLines/>
        <w:spacing w:after="120" w:before="120"/>
        <w:jc w:val="center"/>
      </w:pPr>
      <w:r>
        <w:drawing>
          <wp:inline distT="0" distB="0" distL="0" distR="0">
            <wp:extent cx="923925"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23925" cy="152400"/>
                    </a:xfrm>
                    <a:prstGeom prst="rect">
                      <a:avLst/>
                    </a:prstGeom>
                  </pic:spPr>
                </pic:pic>
              </a:graphicData>
            </a:graphic>
          </wp:inline>
        </w:drawing>
      </w:r>
      <w:r>
        <w:rPr>
          <w:rFonts w:ascii="Times New Roman" w:cs="Times New Roman" w:eastAsia="Times New Roman" w:hAnsi="Times New Roman"/>
          <w:sz w:val="19"/>
          <w:szCs w:val="19"/>
        </w:rPr>
        <w:t xml:space="preserve"> (6)</w:t>
      </w:r>
    </w:p>
    <w:p>
      <w:pPr>
        <w:spacing w:after="100" w:before="200"/>
      </w:pPr>
      <w:r>
        <w:rPr>
          <w:rFonts w:ascii="Times New Roman" w:cs="Times New Roman" w:eastAsia="Times New Roman" w:hAnsi="Times New Roman"/>
          <w:b/>
          <w:bCs/>
          <w:i/>
          <w:iCs/>
          <w:sz w:val="19"/>
          <w:szCs w:val="19"/>
        </w:rPr>
        <w:t xml:space="preserve">C. Receding-Horizon Objective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applied action minimises (7) over the horizon. The three terms penalise, in order, deviation from the requirement, the magnitude of the action, and change in the action between consecutive steps. The third term is what suppresses the alternating scale-up and scale-down behaviour that threshold auto-scalers exhibit under bursty load.</w:t>
      </w:r>
    </w:p>
    <w:p>
      <w:pPr>
        <w:sectPr>
          <w:footerReference w:type="default" r:id="rId12"/>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4191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191000" cy="323850"/>
                    </a:xfrm>
                    <a:prstGeom prst="rect">
                      <a:avLst/>
                    </a:prstGeom>
                  </pic:spPr>
                </pic:pic>
              </a:graphicData>
            </a:graphic>
          </wp:inline>
        </w:drawing>
      </w:r>
      <w:r>
        <w:rPr>
          <w:rFonts w:ascii="Times New Roman" w:cs="Times New Roman" w:eastAsia="Times New Roman" w:hAnsi="Times New Roman"/>
          <w:sz w:val="19"/>
          <w:szCs w:val="19"/>
        </w:rPr>
        <w:t xml:space="preserve"> (7)</w:t>
      </w:r>
    </w:p>
    <w:p>
      <w:pPr>
        <w:sectPr>
          <w:footerReference w:type="default" r:id="rId1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tracking weight is asymmetric, as in (8): being short of the requirement is penalised more heavily than being over it, because a dropped request costs more than an idle replica-second.</w:t>
      </w:r>
    </w:p>
    <w:p>
      <w:pPr>
        <w:sectPr>
          <w:footerReference w:type="default" r:id="rId14"/>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7432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43200" cy="171450"/>
                    </a:xfrm>
                    <a:prstGeom prst="rect">
                      <a:avLst/>
                    </a:prstGeom>
                  </pic:spPr>
                </pic:pic>
              </a:graphicData>
            </a:graphic>
          </wp:inline>
        </w:drawing>
      </w:r>
      <w:r>
        <w:rPr>
          <w:rFonts w:ascii="Times New Roman" w:cs="Times New Roman" w:eastAsia="Times New Roman" w:hAnsi="Times New Roman"/>
          <w:sz w:val="19"/>
          <w:szCs w:val="19"/>
        </w:rPr>
        <w:t xml:space="preserve"> (8)</w:t>
      </w:r>
    </w:p>
    <w:p>
      <w:pPr>
        <w:sectPr>
          <w:footerReference w:type="default" r:id="rId1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optimisation is subject to (9): the pool is bounded, the per-tick change is rate limited, and the decision is an integer. The last of these is the constraint that related work relaxes.</w:t>
      </w:r>
    </w:p>
    <w:p>
      <w:pPr>
        <w:keepLines/>
        <w:spacing w:after="120" w:before="120"/>
        <w:jc w:val="center"/>
      </w:pPr>
      <w:r>
        <w:drawing>
          <wp:inline distT="0" distB="0" distL="0" distR="0">
            <wp:extent cx="2286000" cy="15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286000" cy="152400"/>
                    </a:xfrm>
                    <a:prstGeom prst="rect">
                      <a:avLst/>
                    </a:prstGeom>
                  </pic:spPr>
                </pic:pic>
              </a:graphicData>
            </a:graphic>
          </wp:inline>
        </w:drawing>
      </w:r>
      <w:r>
        <w:rPr>
          <w:rFonts w:ascii="Times New Roman" w:cs="Times New Roman" w:eastAsia="Times New Roman" w:hAnsi="Times New Roman"/>
          <w:sz w:val="19"/>
          <w:szCs w:val="19"/>
        </w:rPr>
        <w:t xml:space="preserve"> (9)</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constraint is kept rather than relaxed. Section III-E shows that the actuation dead time confines the decisions that can affect the horizon to its first few steps and renders the remainder separable, which is what makes an exact solve affordable here. Section V reports the cost of this choice in both directions: the solve time, which stays below 39.4 ms per tick, and the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Only the first element of the optimal sequence is applied and the problem is re-solved at the next tick. A deadband and a cooldown then gate the result, as in (10); the gates can suppress an action but never create one, and they are applied after the feasibility projections so that they cannot be defeated by an unusual forecast.</w:t>
      </w:r>
    </w:p>
    <w:p>
      <w:pPr>
        <w:sectPr>
          <w:footerReference w:type="default" r:id="rId16"/>
          <w:type w:val="continuous"/>
          <w:pgSz w:w="12240" w:h="15840" w:orient="portrait"/>
          <w:pgMar w:top="1150" w:right="1080" w:bottom="1150" w:left="1080" w:header="708" w:footer="708" w:gutter="0"/>
          <w:pgNumType/>
          <w:cols w:space="400" w:num="2" w:equalWidth="true"/>
          <w:docGrid w:linePitch="360"/>
        </w:sectPr>
      </w:pPr>
    </w:p>
    <w:p>
      <w:pPr>
        <w:keepLines/>
        <w:spacing w:after="120" w:before="120"/>
        <w:jc w:val="center"/>
      </w:pPr>
      <w:r>
        <w:drawing>
          <wp:inline distT="0" distB="0" distL="0" distR="0">
            <wp:extent cx="2886075"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886075" cy="180975"/>
                    </a:xfrm>
                    <a:prstGeom prst="rect">
                      <a:avLst/>
                    </a:prstGeom>
                  </pic:spPr>
                </pic:pic>
              </a:graphicData>
            </a:graphic>
          </wp:inline>
        </w:drawing>
      </w:r>
      <w:r>
        <w:rPr>
          <w:rFonts w:ascii="Times New Roman" w:cs="Times New Roman" w:eastAsia="Times New Roman" w:hAnsi="Times New Roman"/>
          <w:sz w:val="19"/>
          <w:szCs w:val="19"/>
        </w:rPr>
        <w:t xml:space="preserve"> (10)</w:t>
      </w:r>
    </w:p>
    <w:p>
      <w:pPr>
        <w:sectPr>
          <w:footerReference w:type="default" r:id="rId17"/>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D. Margin Adaptation and Safety Ceiling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drift monitor compares the replica count the observed load actually required against the count predicted τ ticks earlier and adapts the margin by the clipped integral update (11). A separate ceiling bypasses the optimiser and every gate when observed utilisation exceeds an emergency threshold, so that an unprecedented burst is not held back by the deadband. Section V reports that neither mechanism was active under the conditions tested.</w:t>
      </w:r>
    </w:p>
    <w:p>
      <w:pPr>
        <w:keepLines/>
        <w:spacing w:after="120" w:before="120"/>
        <w:jc w:val="center"/>
      </w:pPr>
      <w:r>
        <w:drawing>
          <wp:inline distT="0" distB="0" distL="0" distR="0">
            <wp:extent cx="19621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62150" cy="161925"/>
                    </a:xfrm>
                    <a:prstGeom prst="rect">
                      <a:avLst/>
                    </a:prstGeom>
                  </pic:spPr>
                </pic:pic>
              </a:graphicData>
            </a:graphic>
          </wp:inline>
        </w:drawing>
      </w:r>
      <w:r>
        <w:rPr>
          <w:rFonts w:ascii="Times New Roman" w:cs="Times New Roman" w:eastAsia="Times New Roman" w:hAnsi="Times New Roman"/>
          <w:sz w:val="19"/>
          <w:szCs w:val="19"/>
        </w:rPr>
        <w:t xml:space="preserve"> (11)</w:t>
      </w:r>
    </w:p>
    <w:p>
      <w:pPr>
        <w:spacing w:after="100" w:before="200"/>
      </w:pPr>
      <w:r>
        <w:rPr>
          <w:rFonts w:ascii="Times New Roman" w:cs="Times New Roman" w:eastAsia="Times New Roman" w:hAnsi="Times New Roman"/>
          <w:b/>
          <w:bCs/>
          <w:i/>
          <w:iCs/>
          <w:sz w:val="19"/>
          <w:szCs w:val="19"/>
        </w:rPr>
        <w:t xml:space="preserve">E. Algorithms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1 states the per-tick control loop. Lines 2 to 4 realise the observation and capacity mapping of Section III-A, line 6 the safety ceiling, line 9 the integer optimisation, and lines 11 to 14 the feasibility projections and gates in the order given in Section III-C. The order is load-bearing: projections precede gates, so an unusual forecast cannot defeat the pool bounds or the rate limit by routing around them.</w:t>
      </w:r>
    </w:p>
    <w:p>
      <w:pPr>
        <w:sectPr>
          <w:footerReference w:type="default" r:id="rId1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1: PACT control tick</w:t>
            </w:r>
          </w:p>
          <w:p>
            <w:pPr>
              <w:keepNext/>
              <w:keepLines/>
              <w:spacing w:after="0" w:line="190"/>
            </w:pPr>
            <w:r>
              <w:rPr>
                <w:rFonts w:ascii="Consolas" w:cs="Consolas" w:eastAsia="Consolas" w:hAnsi="Consolas"/>
                <w:sz w:val="15"/>
                <w:szCs w:val="15"/>
              </w:rPr>
              <w:t xml:space="preserve"> 1  input  N(t), pending, u_prev, γ(t), config</w:t>
            </w:r>
          </w:p>
          <w:p>
            <w:pPr>
              <w:keepNext/>
              <w:keepLines/>
              <w:spacing w:after="0" w:line="190"/>
            </w:pPr>
            <w:r>
              <w:rPr>
                <w:rFonts w:ascii="Consolas" w:cs="Consolas" w:eastAsia="Consolas" w:hAnsi="Consolas"/>
                <w:sz w:val="15"/>
                <w:szCs w:val="15"/>
              </w:rPr>
              <w:t xml:space="preserve"> 2  obs   ← observe_pool()                      // Eq. (1)</w:t>
            </w:r>
          </w:p>
          <w:p>
            <w:pPr>
              <w:keepNext/>
              <w:keepLines/>
              <w:spacing w:after="0" w:line="190"/>
            </w:pPr>
            <w:r>
              <w:rPr>
                <w:rFonts w:ascii="Consolas" w:cs="Consolas" w:eastAsia="Consolas" w:hAnsi="Consolas"/>
                <w:sz w:val="15"/>
                <w:szCs w:val="15"/>
              </w:rPr>
              <w:t xml:space="preserve"> 3  Ŷ     ← forecast(obs, H)                     // predictor</w:t>
            </w:r>
          </w:p>
          <w:p>
            <w:pPr>
              <w:keepNext/>
              <w:keepLines/>
              <w:spacing w:after="0" w:line="190"/>
            </w:pPr>
            <w:r>
              <w:rPr>
                <w:rFonts w:ascii="Consolas" w:cs="Consolas" w:eastAsia="Consolas" w:hAnsi="Consolas"/>
                <w:sz w:val="15"/>
                <w:szCs w:val="15"/>
              </w:rPr>
              <w:t xml:space="preserve"> 4  Ñ[1..H] ← capacity_map(Ŷ, N(t), γ)          // Eq. (2)-(4)</w:t>
            </w:r>
          </w:p>
          <w:p>
            <w:pPr>
              <w:keepNext/>
              <w:keepLines/>
              <w:spacing w:after="0" w:line="190"/>
            </w:pPr>
            <w:r>
              <w:rPr>
                <w:rFonts w:ascii="Consolas" w:cs="Consolas" w:eastAsia="Consolas" w:hAnsi="Consolas"/>
                <w:sz w:val="15"/>
                <w:szCs w:val="15"/>
              </w:rPr>
              <w:t xml:space="preserve"> 5</w:t>
            </w:r>
          </w:p>
          <w:p>
            <w:pPr>
              <w:keepNext/>
              <w:keepLines/>
              <w:spacing w:after="0" w:line="190"/>
            </w:pPr>
            <w:r>
              <w:rPr>
                <w:rFonts w:ascii="Consolas" w:cs="Consolas" w:eastAsia="Consolas" w:hAnsi="Consolas"/>
                <w:sz w:val="15"/>
                <w:szCs w:val="15"/>
              </w:rPr>
              <w:t xml:space="preserve"> 6  if obs.u &gt; u_emergency then                  // ceiling</w:t>
            </w:r>
          </w:p>
          <w:p>
            <w:pPr>
              <w:keepNext/>
              <w:keepLines/>
              <w:spacing w:after="0" w:line="190"/>
            </w:pPr>
            <w:r>
              <w:rPr>
                <w:rFonts w:ascii="Consolas" w:cs="Consolas" w:eastAsia="Consolas" w:hAnsi="Consolas"/>
                <w:sz w:val="15"/>
                <w:szCs w:val="15"/>
              </w:rPr>
              <w:t xml:space="preserve"> 7      return immediate_scale_up(N(t), obs.u)</w:t>
            </w:r>
          </w:p>
          <w:p>
            <w:pPr>
              <w:keepNext/>
              <w:keepLines/>
              <w:spacing w:after="0" w:line="190"/>
            </w:pPr>
            <w:r>
              <w:rPr>
                <w:rFonts w:ascii="Consolas" w:cs="Consolas" w:eastAsia="Consolas" w:hAnsi="Consolas"/>
                <w:sz w:val="15"/>
                <w:szCs w:val="15"/>
              </w:rPr>
              <w:t xml:space="preserve"> 8</w:t>
            </w:r>
          </w:p>
          <w:p>
            <w:pPr>
              <w:keepNext/>
              <w:keepLines/>
              <w:spacing w:after="0" w:line="190"/>
            </w:pPr>
            <w:r>
              <w:rPr>
                <w:rFonts w:ascii="Consolas" w:cs="Consolas" w:eastAsia="Consolas" w:hAnsi="Consolas"/>
                <w:sz w:val="15"/>
                <w:szCs w:val="15"/>
              </w:rPr>
              <w:t xml:space="preserve"> 9  u* ← argmin J(u) over u ∈ [−Δmax, Δmax] ∩ ℤ  // Eq. (7)-(9)</w:t>
            </w:r>
          </w:p>
          <w:p>
            <w:pPr>
              <w:keepNext/>
              <w:keepLines/>
              <w:spacing w:after="0" w:line="190"/>
            </w:pPr>
            <w:r>
              <w:rPr>
                <w:rFonts w:ascii="Consolas" w:cs="Consolas" w:eastAsia="Consolas" w:hAnsi="Consolas"/>
                <w:sz w:val="15"/>
                <w:szCs w:val="15"/>
              </w:rPr>
              <w:t xml:space="preserve">10</w:t>
            </w:r>
          </w:p>
          <w:p>
            <w:pPr>
              <w:keepNext/>
              <w:keepLines/>
              <w:spacing w:after="0" w:line="190"/>
            </w:pPr>
            <w:r>
              <w:rPr>
                <w:rFonts w:ascii="Consolas" w:cs="Consolas" w:eastAsia="Consolas" w:hAnsi="Consolas"/>
                <w:sz w:val="15"/>
                <w:szCs w:val="15"/>
              </w:rPr>
              <w:t xml:space="preserve">11  u ← clip(u*, −Δmax, Δmax)                    // rate limit</w:t>
            </w:r>
          </w:p>
          <w:p>
            <w:pPr>
              <w:keepNext/>
              <w:keepLines/>
              <w:spacing w:after="0" w:line="190"/>
            </w:pPr>
            <w:r>
              <w:rPr>
                <w:rFonts w:ascii="Consolas" w:cs="Consolas" w:eastAsia="Consolas" w:hAnsi="Consolas"/>
                <w:sz w:val="15"/>
                <w:szCs w:val="15"/>
              </w:rPr>
              <w:t xml:space="preserve">12  u ← clip(N(t)+u, Nmin, Nmax) − N(t)           // pool bounds</w:t>
            </w:r>
          </w:p>
          <w:p>
            <w:pPr>
              <w:keepNext/>
              <w:keepLines/>
              <w:spacing w:after="0" w:line="190"/>
            </w:pPr>
            <w:r>
              <w:rPr>
                <w:rFonts w:ascii="Consolas" w:cs="Consolas" w:eastAsia="Consolas" w:hAnsi="Consolas"/>
                <w:sz w:val="15"/>
                <w:szCs w:val="15"/>
              </w:rPr>
              <w:t xml:space="preserve">13  if |u| &lt; θ then u ← 0                         // deadband</w:t>
            </w:r>
          </w:p>
          <w:p>
            <w:pPr>
              <w:keepNext/>
              <w:keepLines/>
              <w:spacing w:after="0" w:line="190"/>
            </w:pPr>
            <w:r>
              <w:rPr>
                <w:rFonts w:ascii="Consolas" w:cs="Consolas" w:eastAsia="Consolas" w:hAnsi="Consolas"/>
                <w:sz w:val="15"/>
                <w:szCs w:val="15"/>
              </w:rPr>
              <w:t xml:space="preserve">14  if u &lt; 0 and t − t_up &lt; T_cool then u ← 0     // cooldown</w:t>
            </w:r>
          </w:p>
          <w:p>
            <w:pPr>
              <w:keepNext/>
              <w:keepLines/>
              <w:spacing w:after="0" w:line="190"/>
            </w:pPr>
            <w:r>
              <w:rPr>
                <w:rFonts w:ascii="Consolas" w:cs="Consolas" w:eastAsia="Consolas" w:hAnsi="Consolas"/>
                <w:sz w:val="15"/>
                <w:szCs w:val="15"/>
              </w:rPr>
              <w:t xml:space="preserve">15</w:t>
            </w:r>
          </w:p>
          <w:p>
            <w:pPr>
              <w:keepNext/>
              <w:keepLines/>
              <w:spacing w:after="0" w:line="190"/>
            </w:pPr>
            <w:r>
              <w:rPr>
                <w:rFonts w:ascii="Consolas" w:cs="Consolas" w:eastAsia="Consolas" w:hAnsi="Consolas"/>
                <w:sz w:val="15"/>
                <w:szCs w:val="15"/>
              </w:rPr>
              <w:t xml:space="preserve">16  actuate(N(t) + u)</w:t>
            </w:r>
          </w:p>
          <w:p>
            <w:pPr>
              <w:keepNext/>
              <w:keepLines/>
              <w:spacing w:after="0" w:line="190"/>
            </w:pPr>
            <w:r>
              <w:rPr>
                <w:rFonts w:ascii="Consolas" w:cs="Consolas" w:eastAsia="Consolas" w:hAnsi="Consolas"/>
                <w:sz w:val="15"/>
                <w:szCs w:val="15"/>
              </w:rPr>
              <w:t xml:space="preserve">17  γ(t+1) ← margin_update(γ(t), e(t))            // Eq. (11)</w:t>
            </w:r>
          </w:p>
          <w:p>
            <w:pPr>
              <w:keepNext/>
              <w:keepLines/>
              <w:spacing w:after="0" w:line="190"/>
            </w:pPr>
            <w:r>
              <w:rPr>
                <w:rFonts w:ascii="Consolas" w:cs="Consolas" w:eastAsia="Consolas" w:hAnsi="Consolas"/>
                <w:sz w:val="15"/>
                <w:szCs w:val="15"/>
              </w:rPr>
              <w:t xml:space="preserve">18  return u</w:t>
            </w:r>
          </w:p>
          <w:p>
            <w:pPr>
              <w:keepLines/>
              <w:spacing w:after="0" w:before="60"/>
            </w:pPr>
            <w:r>
              <w:rPr>
                <w:rFonts w:ascii="Times New Roman" w:cs="Times New Roman" w:eastAsia="Times New Roman" w:hAnsi="Times New Roman"/>
                <w:sz w:val="14"/>
                <w:szCs w:val="14"/>
              </w:rPr>
              <w:t xml:space="preserve">Algorithm 1. One control tick. Gates (13–14) can only suppress an action, never create one.</w:t>
            </w:r>
          </w:p>
        </w:tc>
      </w:tr>
    </w:tbl>
    <w:p>
      <w:pPr>
        <w:sectPr>
          <w:footerReference w:type="default" r:id="rId1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Algorithm 2 states the integer solve of line 9. Solving it exactly looks expensive: the decision space has (2Δmax + 1)ᴴ points, which is 9¹² at the configuration used here. Two properties of the dead-time plant reduce it to something that can be enumerated.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truncation. Because u(t+j) does not appear in N until tick t + j + τ, it can enter a tracking term (N(t+k+1) − Ñ(t+1+k))² only when j + τ ≤ k + 1. Over k = 0 … H − 1 that confines the tracking-relevant actions to j ≤ H − τ, so only m = max(1, H − τ + 1) of the H decision variables can move the tracking cost at all. Saturation of N at the pool bounds does not weaken the argument, because saturation depends only on what has already landed. At τ = 9 and H = 12 this gives m = 4, an enumeration over 9⁴ = 6561 sequences rather than 9¹².</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separability of the remainder. Actions u(t+m) … u(t+H−1) land after the horizon ends, so they contribute only the decoupled chain Σ[r u² + s(u − u_prev)²] and their own admissibility. That is a scalar shortest-path problem in (committed, u_prev), minimised exactly by backward recursion. The remainder is not identically zero: with r = 0.15, s = 0.60 and u(t+m−1) = 4, holding the tail at zero costs 9.60 against 4.35 for a ramp-down. A completion that zeroes the tail therefore overstates the cost of every plan ending on a large action, and because the overstatement depends on the plan it does not cancel in the argmin.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Memoising the recursion on the full controllable state (k, N, pending, u_prev) keeps the procedure tractable at the opposite extreme. When τ is small the pending queue is short, so distinct action prefixes collapse onto the same state and the recursion is polynomial; when τ is large the queue is long but m is small and the tree is shallow. The two regimes are complementary, which is why a single procedure covers the whole grid swept in Section V-A.</w:t>
      </w:r>
    </w:p>
    <w:p>
      <w:pPr>
        <w:sectPr>
          <w:footerReference w:type="default" r:id="rId2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none" w:color="FFFFFF" w:sz="0"/>
          <w:insideV w:val="none" w:color="FFFFFF" w:sz="0"/>
        </w:tblBorders>
      </w:tblPr>
      <w:tblGrid>
        <w:gridCol w:w="10080"/>
      </w:tblGrid>
      <w:tr>
        <w:trPr>
          <w:cantSplit/>
        </w:trPr>
        <w:tc>
          <w:tcPr>
            <w:tcW w:type="dxa" w:w="10080"/>
            <w:tcMar>
              <w:top w:type="dxa" w:w="90"/>
              <w:left w:type="dxa" w:w="90"/>
              <w:bottom w:type="dxa" w:w="90"/>
              <w:right w:type="dxa" w:w="90"/>
            </w:tcMar>
          </w:tcPr>
          <w:p>
            <w:pPr>
              <w:keepNext/>
              <w:keepLines/>
              <w:spacing w:after="50"/>
            </w:pPr>
            <w:r>
              <w:rPr>
                <w:rFonts w:ascii="Times New Roman" w:cs="Times New Roman" w:eastAsia="Times New Roman" w:hAnsi="Times New Roman"/>
                <w:b/>
                <w:bCs/>
                <w:sz w:val="16"/>
                <w:szCs w:val="16"/>
              </w:rPr>
              <w:t xml:space="preserve">Algorithm 2: Globally optimal integer first action</w:t>
            </w:r>
          </w:p>
          <w:p>
            <w:pPr>
              <w:keepNext/>
              <w:keepLines/>
              <w:spacing w:after="0" w:line="190"/>
            </w:pPr>
            <w:r>
              <w:rPr>
                <w:rFonts w:ascii="Consolas" w:cs="Consolas" w:eastAsia="Consolas" w:hAnsi="Consolas"/>
                <w:sz w:val="15"/>
                <w:szCs w:val="15"/>
              </w:rPr>
              <w:t xml:space="preserve"> 1  input  N, Ñ[1..H], pending, u_prev, config</w:t>
            </w:r>
          </w:p>
          <w:p>
            <w:pPr>
              <w:keepNext/>
              <w:keepLines/>
              <w:spacing w:after="0" w:line="190"/>
            </w:pPr>
            <w:r>
              <w:rPr>
                <w:rFonts w:ascii="Consolas" w:cs="Consolas" w:eastAsia="Consolas" w:hAnsi="Consolas"/>
                <w:sz w:val="15"/>
                <w:szCs w:val="15"/>
              </w:rPr>
              <w:t xml:space="preserve"> 2  m ← max(1, H − τ + 1)                        // truncation</w:t>
            </w:r>
          </w:p>
          <w:p>
            <w:pPr>
              <w:keepNext/>
              <w:keepLines/>
              <w:spacing w:after="0" w:line="190"/>
            </w:pPr>
            <w:r>
              <w:rPr>
                <w:rFonts w:ascii="Consolas" w:cs="Consolas" w:eastAsia="Consolas" w:hAnsi="Consolas"/>
                <w:sz w:val="15"/>
                <w:szCs w:val="15"/>
              </w:rPr>
              <w:t xml:space="preserve"> 3  memo ← { }</w:t>
            </w:r>
          </w:p>
          <w:p>
            <w:pPr>
              <w:keepNext/>
              <w:keepLines/>
              <w:spacing w:after="0" w:line="190"/>
            </w:pPr>
            <w:r>
              <w:rPr>
                <w:rFonts w:ascii="Consolas" w:cs="Consolas" w:eastAsia="Consolas" w:hAnsi="Consolas"/>
                <w:sz w:val="15"/>
                <w:szCs w:val="15"/>
              </w:rPr>
              <w:t xml:space="preserve"> 4</w:t>
            </w:r>
          </w:p>
          <w:p>
            <w:pPr>
              <w:keepNext/>
              <w:keepLines/>
              <w:spacing w:after="0" w:line="190"/>
            </w:pPr>
            <w:r>
              <w:rPr>
                <w:rFonts w:ascii="Consolas" w:cs="Consolas" w:eastAsia="Consolas" w:hAnsi="Consolas"/>
                <w:sz w:val="15"/>
                <w:szCs w:val="15"/>
              </w:rPr>
              <w:t xml:space="preserve"> 5  function V(k, n, p, prev):                   // cost-to-go</w:t>
            </w:r>
          </w:p>
          <w:p>
            <w:pPr>
              <w:keepNext/>
              <w:keepLines/>
              <w:spacing w:after="0" w:line="190"/>
            </w:pPr>
            <w:r>
              <w:rPr>
                <w:rFonts w:ascii="Consolas" w:cs="Consolas" w:eastAsia="Consolas" w:hAnsi="Consolas"/>
                <w:sz w:val="15"/>
                <w:szCs w:val="15"/>
              </w:rPr>
              <w:t xml:space="preserve"> 6      if k = m then</w:t>
            </w:r>
          </w:p>
          <w:p>
            <w:pPr>
              <w:keepNext/>
              <w:keepLines/>
              <w:spacing w:after="0" w:line="190"/>
            </w:pPr>
            <w:r>
              <w:rPr>
                <w:rFonts w:ascii="Consolas" w:cs="Consolas" w:eastAsia="Consolas" w:hAnsi="Consolas"/>
                <w:sz w:val="15"/>
                <w:szCs w:val="15"/>
              </w:rPr>
              <w:t xml:space="preserve"> 7          return tail_track(n, p, Ñ) + chain(n, p, prev)</w:t>
            </w:r>
          </w:p>
          <w:p>
            <w:pPr>
              <w:keepNext/>
              <w:keepLines/>
              <w:spacing w:after="0" w:line="190"/>
            </w:pPr>
            <w:r>
              <w:rPr>
                <w:rFonts w:ascii="Consolas" w:cs="Consolas" w:eastAsia="Consolas" w:hAnsi="Consolas"/>
                <w:sz w:val="15"/>
                <w:szCs w:val="15"/>
              </w:rPr>
              <w:t xml:space="preserve"> 8      if (k, n, p, prev) ∈ memo then return memo[·]</w:t>
            </w:r>
          </w:p>
          <w:p>
            <w:pPr>
              <w:keepNext/>
              <w:keepLines/>
              <w:spacing w:after="0" w:line="190"/>
            </w:pPr>
            <w:r>
              <w:rPr>
                <w:rFonts w:ascii="Consolas" w:cs="Consolas" w:eastAsia="Consolas" w:hAnsi="Consolas"/>
                <w:sz w:val="15"/>
                <w:szCs w:val="15"/>
              </w:rPr>
              <w:t xml:space="preserve"> 9      v ← ∞;  cm ← committed(n, p)</w:t>
            </w:r>
          </w:p>
          <w:p>
            <w:pPr>
              <w:keepNext/>
              <w:keepLines/>
              <w:spacing w:after="0" w:line="190"/>
            </w:pPr>
            <w:r>
              <w:rPr>
                <w:rFonts w:ascii="Consolas" w:cs="Consolas" w:eastAsia="Consolas" w:hAnsi="Consolas"/>
                <w:sz w:val="15"/>
                <w:szCs w:val="15"/>
              </w:rPr>
              <w:t xml:space="preserve">10      for a ∈ {−Δmax, …, +Δmax} do</w:t>
            </w:r>
          </w:p>
          <w:p>
            <w:pPr>
              <w:keepNext/>
              <w:keepLines/>
              <w:spacing w:after="0" w:line="190"/>
            </w:pPr>
            <w:r>
              <w:rPr>
                <w:rFonts w:ascii="Consolas" w:cs="Consolas" w:eastAsia="Consolas" w:hAnsi="Consolas"/>
                <w:sz w:val="15"/>
                <w:szCs w:val="15"/>
              </w:rPr>
              <w:t xml:space="preserve">11          if cm + a ∉ [Nmin, Nmax] then continue</w:t>
            </w:r>
          </w:p>
          <w:p>
            <w:pPr>
              <w:keepNext/>
              <w:keepLines/>
              <w:spacing w:after="0" w:line="190"/>
            </w:pPr>
            <w:r>
              <w:rPr>
                <w:rFonts w:ascii="Consolas" w:cs="Consolas" w:eastAsia="Consolas" w:hAnsi="Consolas"/>
                <w:sz w:val="15"/>
                <w:szCs w:val="15"/>
              </w:rPr>
              <w:t xml:space="preserve">12          n′, p′ ← plant(n, p, a, τ)           // Eq. (5)</w:t>
            </w:r>
          </w:p>
          <w:p>
            <w:pPr>
              <w:keepNext/>
              <w:keepLines/>
              <w:spacing w:after="0" w:line="190"/>
            </w:pPr>
            <w:r>
              <w:rPr>
                <w:rFonts w:ascii="Consolas" w:cs="Consolas" w:eastAsia="Consolas" w:hAnsi="Consolas"/>
                <w:sz w:val="15"/>
                <w:szCs w:val="15"/>
              </w:rPr>
              <w:t xml:space="preserve">13          q ← (n′ &lt; Ñ[k+1]) ? q⁺ : q⁻          // Eq. (8)</w:t>
            </w:r>
          </w:p>
          <w:p>
            <w:pPr>
              <w:keepNext/>
              <w:keepLines/>
              <w:spacing w:after="0" w:line="190"/>
            </w:pPr>
            <w:r>
              <w:rPr>
                <w:rFonts w:ascii="Consolas" w:cs="Consolas" w:eastAsia="Consolas" w:hAnsi="Consolas"/>
                <w:sz w:val="15"/>
                <w:szCs w:val="15"/>
              </w:rPr>
              <w:t xml:space="preserve">14          c ← q(n′ − Ñ[k+1])² + r a² + s(a − prev)²</w:t>
            </w:r>
          </w:p>
          <w:p>
            <w:pPr>
              <w:keepNext/>
              <w:keepLines/>
              <w:spacing w:after="0" w:line="190"/>
            </w:pPr>
            <w:r>
              <w:rPr>
                <w:rFonts w:ascii="Consolas" w:cs="Consolas" w:eastAsia="Consolas" w:hAnsi="Consolas"/>
                <w:sz w:val="15"/>
                <w:szCs w:val="15"/>
              </w:rPr>
              <w:t xml:space="preserve">15          v ← min(v, c + V(k+1, n′, p′, a))</w:t>
            </w:r>
          </w:p>
          <w:p>
            <w:pPr>
              <w:keepNext/>
              <w:keepLines/>
              <w:spacing w:after="0" w:line="190"/>
            </w:pPr>
            <w:r>
              <w:rPr>
                <w:rFonts w:ascii="Consolas" w:cs="Consolas" w:eastAsia="Consolas" w:hAnsi="Consolas"/>
                <w:sz w:val="15"/>
                <w:szCs w:val="15"/>
              </w:rPr>
              <w:t xml:space="preserve">16      memo[(k, n, p, prev)] ← v;  return v</w:t>
            </w:r>
          </w:p>
          <w:p>
            <w:pPr>
              <w:keepNext/>
              <w:keepLines/>
              <w:spacing w:after="0" w:line="190"/>
            </w:pPr>
            <w:r>
              <w:rPr>
                <w:rFonts w:ascii="Consolas" w:cs="Consolas" w:eastAsia="Consolas" w:hAnsi="Consolas"/>
                <w:sz w:val="15"/>
                <w:szCs w:val="15"/>
              </w:rPr>
              <w:t xml:space="preserve">17</w:t>
            </w:r>
          </w:p>
          <w:p>
            <w:pPr>
              <w:keepNext/>
              <w:keepLines/>
              <w:spacing w:after="0" w:line="190"/>
            </w:pPr>
            <w:r>
              <w:rPr>
                <w:rFonts w:ascii="Consolas" w:cs="Consolas" w:eastAsia="Consolas" w:hAnsi="Consolas"/>
                <w:sz w:val="15"/>
                <w:szCs w:val="15"/>
              </w:rPr>
              <w:t xml:space="preserve">18  best ← ∞;  u_best ← 0;  cm ← committed(N, pending)</w:t>
            </w:r>
          </w:p>
          <w:p>
            <w:pPr>
              <w:keepNext/>
              <w:keepLines/>
              <w:spacing w:after="0" w:line="190"/>
            </w:pPr>
            <w:r>
              <w:rPr>
                <w:rFonts w:ascii="Consolas" w:cs="Consolas" w:eastAsia="Consolas" w:hAnsi="Consolas"/>
                <w:sz w:val="15"/>
                <w:szCs w:val="15"/>
              </w:rPr>
              <w:t xml:space="preserve">19  for u ∈ {−Δmax, …, 0, …, +Δmax} do</w:t>
            </w:r>
          </w:p>
          <w:p>
            <w:pPr>
              <w:keepNext/>
              <w:keepLines/>
              <w:spacing w:after="0" w:line="190"/>
            </w:pPr>
            <w:r>
              <w:rPr>
                <w:rFonts w:ascii="Consolas" w:cs="Consolas" w:eastAsia="Consolas" w:hAnsi="Consolas"/>
                <w:sz w:val="15"/>
                <w:szCs w:val="15"/>
              </w:rPr>
              <w:t xml:space="preserve">20      if cm + u ∉ [Nmin, Nmax] then continue</w:t>
            </w:r>
          </w:p>
          <w:p>
            <w:pPr>
              <w:keepNext/>
              <w:keepLines/>
              <w:spacing w:after="0" w:line="190"/>
            </w:pPr>
            <w:r>
              <w:rPr>
                <w:rFonts w:ascii="Consolas" w:cs="Consolas" w:eastAsia="Consolas" w:hAnsi="Consolas"/>
                <w:sz w:val="15"/>
                <w:szCs w:val="15"/>
              </w:rPr>
              <w:t xml:space="preserve">21      n′, p′ ← plant(N, pending, u, τ)</w:t>
            </w:r>
          </w:p>
          <w:p>
            <w:pPr>
              <w:keepNext/>
              <w:keepLines/>
              <w:spacing w:after="0" w:line="190"/>
            </w:pPr>
            <w:r>
              <w:rPr>
                <w:rFonts w:ascii="Consolas" w:cs="Consolas" w:eastAsia="Consolas" w:hAnsi="Consolas"/>
                <w:sz w:val="15"/>
                <w:szCs w:val="15"/>
              </w:rPr>
              <w:t xml:space="preserve">22      q ← (n′ &lt; Ñ[1]) ? q⁺ : q⁻</w:t>
            </w:r>
          </w:p>
          <w:p>
            <w:pPr>
              <w:keepNext/>
              <w:keepLines/>
              <w:spacing w:after="0" w:line="190"/>
            </w:pPr>
            <w:r>
              <w:rPr>
                <w:rFonts w:ascii="Consolas" w:cs="Consolas" w:eastAsia="Consolas" w:hAnsi="Consolas"/>
                <w:sz w:val="15"/>
                <w:szCs w:val="15"/>
              </w:rPr>
              <w:t xml:space="preserve">23      c ← q(n′ − Ñ[1])² + r u² + s(u − u_prev)²</w:t>
            </w:r>
          </w:p>
          <w:p>
            <w:pPr>
              <w:keepNext/>
              <w:keepLines/>
              <w:spacing w:after="0" w:line="190"/>
            </w:pPr>
            <w:r>
              <w:rPr>
                <w:rFonts w:ascii="Consolas" w:cs="Consolas" w:eastAsia="Consolas" w:hAnsi="Consolas"/>
                <w:sz w:val="15"/>
                <w:szCs w:val="15"/>
              </w:rPr>
              <w:t xml:space="preserve">24      if c + V(1, n′, p′, u) &lt; best then</w:t>
            </w:r>
          </w:p>
          <w:p>
            <w:pPr>
              <w:keepNext/>
              <w:keepLines/>
              <w:spacing w:after="0" w:line="190"/>
            </w:pPr>
            <w:r>
              <w:rPr>
                <w:rFonts w:ascii="Consolas" w:cs="Consolas" w:eastAsia="Consolas" w:hAnsi="Consolas"/>
                <w:sz w:val="15"/>
                <w:szCs w:val="15"/>
              </w:rPr>
              <w:t xml:space="preserve">25          best ← c + V(1, n′, p′, u);  u_best ← u</w:t>
            </w:r>
          </w:p>
          <w:p>
            <w:pPr>
              <w:keepNext/>
              <w:keepLines/>
              <w:spacing w:after="0" w:line="190"/>
            </w:pPr>
            <w:r>
              <w:rPr>
                <w:rFonts w:ascii="Consolas" w:cs="Consolas" w:eastAsia="Consolas" w:hAnsi="Consolas"/>
                <w:sz w:val="15"/>
                <w:szCs w:val="15"/>
              </w:rPr>
              <w:t xml:space="preserve">26  return u_best</w:t>
            </w:r>
          </w:p>
          <w:p>
            <w:pPr>
              <w:keepLines/>
              <w:spacing w:after="0" w:before="60"/>
            </w:pPr>
            <w:r>
              <w:rPr>
                <w:rFonts w:ascii="Times New Roman" w:cs="Times New Roman" w:eastAsia="Times New Roman" w:hAnsi="Times New Roman"/>
                <w:sz w:val="14"/>
                <w:szCs w:val="14"/>
              </w:rPr>
              <w:t xml:space="preserve">Algorithm 2. Exact integer solve. tail_track evaluates the tracking terms of stages m … H−1, which the truncation argument fixes independently of the remaining actions; chain is the backward recursion over the decoupled actuation and churn terms of those stages. Both are exact, so the returned first action is the global optimum.</w:t>
            </w:r>
          </w:p>
        </w:tc>
      </w:tr>
    </w:tbl>
    <w:p>
      <w:pPr>
        <w:sectPr>
          <w:footerReference w:type="default" r:id="rId21"/>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is O((2Δmax + 1)ᵐ · H) when the dead time is long and polynomial in H when it is short, with no iteration to convergence and therefore no data-dependent worst case. Section V-H reports the measured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Correctness was checked against exhaustive enumeration rather than argued. Across ten configurations small enough to enumerate the full (2Δmax + 1)ᴴ decision space, the first action returned by Algorithm 2 was compared with brute force on 400 randomly drawn plant states; it attained the brute-force optimum in 400 of them. The same comparison prices the alternative of completing the horizon greedily: a solver that enumerates first actions and then tracks demand myopically returned an optimal first action in only 354 of those 400 cases. Section V-I quantifies the gap at the configuration used throughout this paper.</w:t>
      </w:r>
    </w:p>
    <w:p>
      <w:pPr>
        <w:spacing w:after="100" w:before="200"/>
      </w:pPr>
      <w:r>
        <w:rPr>
          <w:rFonts w:ascii="Times New Roman" w:cs="Times New Roman" w:eastAsia="Times New Roman" w:hAnsi="Times New Roman"/>
          <w:b/>
          <w:bCs/>
          <w:i/>
          <w:iCs/>
          <w:sz w:val="19"/>
          <w:szCs w:val="19"/>
        </w:rPr>
        <w:t xml:space="preserve">F. Module-Level Implementation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is implemented as five modules with narrow interfaces, so that each can be disabled independently for the ablation of Section V-E and so that the measurement harness can substitute a predictor without touching the control path. This subsection records what each module does in the implementation, at the level of detail needed to reproduce it.</w:t>
      </w:r>
    </w:p>
    <w:p>
      <w:pPr>
        <w:spacing w:after="80" w:before="150"/>
      </w:pPr>
      <w:r>
        <w:rPr>
          <w:rFonts w:ascii="Times New Roman" w:cs="Times New Roman" w:eastAsia="Times New Roman" w:hAnsi="Times New Roman"/>
          <w:i/>
          <w:iCs/>
          <w:sz w:val="19"/>
          <w:szCs w:val="19"/>
        </w:rPr>
        <w:t xml:space="preserve">Telemetry and feature construction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collector exposes a single method returning the observation vector of (1). Container runtimes report cumulative counters rather than rates: processor time arrives as consumed nanoseconds and network and block activity as byte totals. Each is differenced against the previous sample and divided by the interval before it carries meaning as load. Counter resets, which occur when a container restarts, would otherwise produce a large negative rate; the implementation detects a decrease and treats the new value as the first sample of a fresh counter rather than differencing across the discontinuity.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channel is then smoothed by a first-order exponentially weighted filter and mapped to the unit interval using per-channel bounds estimated once and frozen. Freezing matters: if the normalisation adapted online, the same raw utilisation would map to different model inputs at different times and the predictor would be chasing a moving target. The implementation enforces this by refusing to refit the normaliser after it has been frozen, which converts a subtle statistical error into an immediate exception.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derived channels are appended. The first is the per-replica arrival intensity, the arrival rate divided by the current replica count. Without it the predictor would be forecasting a signal that the controller itself modifies, because utilisation falls whenever the controller adds capacity; dividing it out leaves the exogenous demand. The second is the time of day encoded as a sine and cosine pair, which supplies daily periodicity without requiring the model to span a full day of history.</w:t>
      </w:r>
    </w:p>
    <w:p>
      <w:pPr>
        <w:spacing w:after="80" w:before="150"/>
      </w:pPr>
      <w:r>
        <w:rPr>
          <w:rFonts w:ascii="Times New Roman" w:cs="Times New Roman" w:eastAsia="Times New Roman" w:hAnsi="Times New Roman"/>
          <w:i/>
          <w:iCs/>
          <w:sz w:val="19"/>
          <w:szCs w:val="19"/>
        </w:rPr>
        <w:t xml:space="preserve">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mapper is a pure function with no internal state, which makes it trivially testable and means the ablation can replace it without disturbing anything else. For each horizon step it computes the processor-bound requirement from (2), the memory-bound requirement, takes the larger of the two as in (3), and then increases the candidate while the latency estimate of (4) exceeds the objective. That loop terminates because the candidate increases strictly and is bounded above by the pool maximum, a property worth stating because an unbounded search inside a control loop is a liveness hazard rather than merely a performance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ceiling in (2) is deliberate. Rounding to nearest would accept a shortfall of up to half a replica as adequate, and at the small pool sizes this work targets half a replica can be several per cent of total capacity. The margin γ is applied before the ceiling rather than after, so that a small margin can still change the integer outcome rather than being rounded away.</w:t>
      </w:r>
    </w:p>
    <w:p>
      <w:pPr>
        <w:spacing w:after="80" w:before="150"/>
      </w:pPr>
      <w:r>
        <w:rPr>
          <w:rFonts w:ascii="Times New Roman" w:cs="Times New Roman" w:eastAsia="Times New Roman" w:hAnsi="Times New Roman"/>
          <w:i/>
          <w:iCs/>
          <w:sz w:val="19"/>
          <w:szCs w:val="19"/>
        </w:rPr>
        <w:t xml:space="preserve">Gate ordering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gates apply in a fixed order: round the relaxed value, clip to the rate limit, clip to the pool bounds, apply the deadband, then apply the cooldown. The order separates feasibility from policy. The first three steps guarantee the action is admissible with respect to the hard constraints of (9); the last two decide whether an admissible action is worth taking. Reversing them would allow a deadband or cooldown decision to be taken on an action that the bounds were about to modify, so that the gate would be reasoning about a value never applied.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implementation records the intermediate value at each stage rather than only the final action. This is not instrumentation for its own sake: when a controller produces an unexpected replica count, the question is always which stage changed the decision, and a single logged number cannot answer it.</w:t>
      </w:r>
    </w:p>
    <w:p>
      <w:pPr>
        <w:spacing w:after="80" w:before="150"/>
      </w:pPr>
      <w:r>
        <w:rPr>
          <w:rFonts w:ascii="Times New Roman" w:cs="Times New Roman" w:eastAsia="Times New Roman" w:hAnsi="Times New Roman"/>
          <w:i/>
          <w:iCs/>
          <w:sz w:val="19"/>
          <w:szCs w:val="19"/>
        </w:rPr>
        <w:t xml:space="preserve">Drift monitoring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monitor compares the replica count the observed load actually required at tick t against the count that was predicted for t by the forecast issued at t − τ. Implementing that comparison requires retaining each issued horizon keyed by both its target tick and its issue tick, because the relevant prediction is a specific element of a specific past forecast rather than the most recent one. An off-by-one here is silent: the margin still adapts, it simply adapts against the wrong comparison, and nothing in the output distinguishes the two. The implementation therefore keys the buffer explicitly and the test suite verifies the alignment against hand-computed values.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update itself is the clipped integral of (11). Clipping is what prevents a single anomalous period from driving the margin to a value that is expensive to unwind, and it is also what makes the mechanism deterministic in the sense this paper uses: the margin is a scalar with known bounds and a known update rule, inspectable in a log line, rather than a posterior that must be sampled.</w:t>
      </w:r>
    </w:p>
    <w:p>
      <w:pPr>
        <w:spacing w:after="80" w:before="150"/>
      </w:pPr>
      <w:r>
        <w:rPr>
          <w:rFonts w:ascii="Times New Roman" w:cs="Times New Roman" w:eastAsia="Times New Roman" w:hAnsi="Times New Roman"/>
          <w:i/>
          <w:iCs/>
          <w:sz w:val="19"/>
          <w:szCs w:val="19"/>
        </w:rPr>
        <w:t xml:space="preserve">Actuation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actuator applies the action to the plant with the same bounds and rate limit the controller assumed, which closes the loop consistently. The repository also contains a Docker backend that issues scale commands and reconciles the observed container count against the desired one, polling until they agree or a timeout expires. That backend is idempotent, so issuing the current count is a no-op, and it is asynchronous, so reconciliation never blocks a control tick. It was not exercised in this evaluation because no container runtime was available; Fig. 1 marks it accordingly.</w:t>
      </w:r>
    </w:p>
    <w:p>
      <w:pPr>
        <w:spacing w:after="140" w:before="280"/>
        <w:jc w:val="center"/>
      </w:pPr>
      <w:r>
        <w:rPr>
          <w:rFonts w:ascii="Times New Roman" w:cs="Times New Roman" w:eastAsia="Times New Roman" w:hAnsi="Times New Roman"/>
          <w:b/>
          <w:bCs/>
          <w:caps/>
          <w:sz w:val="20"/>
          <w:szCs w:val="20"/>
        </w:rPr>
        <w:t xml:space="preserve">IV. Experimental Setup</w:t>
      </w:r>
    </w:p>
    <w:p>
      <w:pPr>
        <w:spacing w:after="100" w:before="200"/>
      </w:pPr>
      <w:r>
        <w:rPr>
          <w:rFonts w:ascii="Times New Roman" w:cs="Times New Roman" w:eastAsia="Times New Roman" w:hAnsi="Times New Roman"/>
          <w:b/>
          <w:bCs/>
          <w:i/>
          <w:iCs/>
          <w:sz w:val="19"/>
          <w:szCs w:val="19"/>
        </w:rPr>
        <w:t xml:space="preserve">A. Plant and Environment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Experiments run against the discrete-event pool simulator in the project repository. The simulator maintains a set of ready replicas and a set of pending replicas; a replica requested at tick t becomes ready at tick t + τ and contributes no capacity before then, so the cold-start interval is modelled explicitly rather than absorbed into a margin. Tail latency is computed from the heavy-traffic approximation of (4). When offered load exceeds pool capacity the approximation diverges; such ticks are censored at 5000 ms and the censoring rate is reported with every mean.</w:t>
      </w:r>
    </w:p>
    <w:p>
      <w:pPr>
        <w:spacing w:after="110" w:before="0" w:line="240"/>
        <w:jc w:val="both"/>
      </w:pPr>
      <w:r>
        <w:rPr>
          <w:rFonts w:ascii="Times New Roman" w:cs="Times New Roman" w:eastAsia="Times New Roman" w:hAnsi="Times New Roman"/>
          <w:b/>
          <w:bCs/>
          <w:i w:val="false"/>
          <w:iCs w:val="false"/>
          <w:sz w:val="19"/>
          <w:szCs w:val="19"/>
        </w:rPr>
        <w:t xml:space="preserve">Environment. </w:t>
      </w:r>
      <w:r>
        <w:rPr>
          <w:rFonts w:ascii="Times New Roman" w:cs="Times New Roman" w:eastAsia="Times New Roman" w:hAnsi="Times New Roman"/>
          <w:b w:val="false"/>
          <w:bCs w:val="false"/>
          <w:i w:val="false"/>
          <w:iCs w:val="false"/>
          <w:sz w:val="19"/>
          <w:szCs w:val="19"/>
        </w:rPr>
        <w:t xml:space="preserve">All runs executed on Linux-6.18.44-fc-v185-x86_64-with-glibc2.39, Python 3.13.16, NumPy 2.5.3, at repository commit 919e8625d6. Each run is 400 control ticks at Δt = 5 s, giving a simulated duration of 33 minutes. Results are reported over 10 seeds unless stated otherwise.</w:t>
      </w:r>
    </w:p>
    <w:p>
      <w:pPr>
        <w:spacing w:after="100" w:before="200"/>
      </w:pPr>
      <w:r>
        <w:rPr>
          <w:rFonts w:ascii="Times New Roman" w:cs="Times New Roman" w:eastAsia="Times New Roman" w:hAnsi="Times New Roman"/>
          <w:b/>
          <w:bCs/>
          <w:i/>
          <w:iCs/>
          <w:sz w:val="19"/>
          <w:szCs w:val="19"/>
        </w:rPr>
        <w:t xml:space="preserve">C. Plant Model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simulated plant is the component that determines how far these results transfer, so its assumptions are stated explicitly rather than left to the source.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maintains two sets, ready replicas and pending replicas. An action that adds capacity places the new replicas in the pending set with a release tick τ ahead of the present; they contribute no service capacity until that tick arrives. An action that removes capacity takes effect immediately, which is the asymmetry a real container runtime exhibits, since stopping a process is fast and starting one is not. Offered load is divided among ready replicas only.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 is modelled as a multi-server queue whose per-replica rate is constant. Tail latency follows the heavy-traffic approximation of (4) with a p95 obtained by assuming an exponential sojourn distribution, which is exact for a single-server Markovian queue and an approximation otherwise. Memory is modelled as a fixed per-replica baseline plus a term proportional to utilisation. The approximation diverges as utilisation approaches unity; Section IV-A describes the censoring applied there and every reported mean carries its censoring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real deployments are absent and each bounds the conclusions. Replica start-up is a fixed latency rather than a distribution, so the variance that image-pull contention and scheduler queuing introduce is not represented. Replicas are identical, so heterogeneous hosts and noisy neighbours are absent. Requests are not queued across the capacity change, so the transient when a new replica joins and the load balancer redistributes connections is not modelled. All three would make the plant harder to control, and the measured service-level figures should therefore be read as optimistic in absolute terms even though the comparisons between controllers, which share the plant, remain valid.</w:t>
      </w:r>
    </w:p>
    <w:p>
      <w:pPr>
        <w:spacing w:after="100" w:before="200"/>
      </w:pPr>
      <w:r>
        <w:rPr>
          <w:rFonts w:ascii="Times New Roman" w:cs="Times New Roman" w:eastAsia="Times New Roman" w:hAnsi="Times New Roman"/>
          <w:b/>
          <w:bCs/>
          <w:i/>
          <w:iCs/>
          <w:sz w:val="19"/>
          <w:szCs w:val="19"/>
        </w:rPr>
        <w:t xml:space="preserve">D. Datasets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arrival traces are synthetic and generated by the harness in the repository; they are not drawn from any public dataset. This is a limitation and is stated as such in Section VI. Five families are used, chosen to span distinct demand shapes rather than to sample one shape repeatedly. Each is parameterised by a seed that perturbs it with additive Gaussian noise, and the same seed produces the same trace for every method, so comparisons are paired.</w:t>
      </w:r>
    </w:p>
    <w:p>
      <w:pPr>
        <w:sectPr>
          <w:footerReference w:type="default" r:id="rId2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15"/>
        <w:gridCol w:w="3238"/>
        <w:gridCol w:w="2364"/>
        <w:gridCol w:w="1368"/>
        <w:gridCol w:w="995"/>
      </w:tblGrid>
      <w:tr>
        <w:trPr>
          <w:cantSplit/>
          <w:tblHeader/>
        </w:trPr>
        <w:tc>
          <w:tcPr>
            <w:tcW w:type="dxa" w:w="211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Trace family</w:t>
            </w:r>
          </w:p>
        </w:tc>
        <w:tc>
          <w:tcPr>
            <w:tcW w:type="dxa" w:w="323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Shape</w:t>
            </w:r>
          </w:p>
        </w:tc>
        <w:tc>
          <w:tcPr>
            <w:tcW w:type="dxa" w:w="23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Provenance</w:t>
            </w:r>
          </w:p>
        </w:tc>
        <w:tc>
          <w:tcPr>
            <w:tcW w:type="dxa" w:w="136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per run</w:t>
            </w:r>
          </w:p>
        </w:tc>
        <w:tc>
          <w:tcPr>
            <w:tcW w:type="dxa" w:w="99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Seeds</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Diurnal</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Sinusoidal base, period 300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Burst</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Two Gaussian bursts on a flat base</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Ramp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Linear rise, plateau, linear fall</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Step</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Single discontinuity at mid-run</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r>
        <w:trPr>
          <w:cantSplit/>
        </w:trPr>
        <w:tc>
          <w:tcPr>
            <w:tcW w:type="dxa" w:w="211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Sawtooth</w:t>
            </w:r>
          </w:p>
        </w:tc>
        <w:tc>
          <w:tcPr>
            <w:tcW w:type="dxa" w:w="323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Repeating linear rise, period 90 ticks</w:t>
            </w:r>
          </w:p>
        </w:tc>
        <w:tc>
          <w:tcPr>
            <w:tcW w:type="dxa" w:w="23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368"/>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400</w:t>
            </w:r>
          </w:p>
        </w:tc>
        <w:tc>
          <w:tcPr>
            <w:tcW w:type="dxa" w:w="995"/>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w:t>
            </w:r>
          </w:p>
        </w:tc>
      </w:tr>
    </w:tbl>
    <w:p>
      <w:pPr>
        <w:keepLines/>
        <w:spacing w:after="180" w:before="70"/>
        <w:jc w:val="center"/>
      </w:pPr>
      <w:r>
        <w:rPr>
          <w:rFonts w:ascii="Times New Roman" w:cs="Times New Roman" w:eastAsia="Times New Roman" w:hAnsi="Times New Roman"/>
          <w:sz w:val="16"/>
          <w:szCs w:val="16"/>
        </w:rPr>
        <w:t xml:space="preserve">Table II. Workload families. All traces are generated by experiments/harness.py in the project repository; none is a public trace. Every method sees the identical trace for a given family and seed.</w:t>
      </w:r>
    </w:p>
    <w:p>
      <w:pPr>
        <w:sectPr>
          <w:footerReference w:type="default" r:id="rId23"/>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E. Forecaster Bracketing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learned forecaster could not be executed: the environment has no package-index access and PyTorch is unavailable, as are statsmodels and the deep baselines that depend on them. Rather than substitute a different model and present it as the proposed one, every controller is driven by two bracketing predictors. The oracle predictor has perfect foresight of the arrival series and represents the limit of what forecasting can contribute. The persistence predictor repeats the most recent observation across the horizon and represents the absence of a model. Any real forecaster lies between them. Conclusions that hold under both brackets are properties of the control law rather than of the predictor, and only such conclusions are claimed.</w:t>
      </w:r>
    </w:p>
    <w:p>
      <w:pPr>
        <w:spacing w:after="100" w:before="200"/>
      </w:pPr>
      <w:r>
        <w:rPr>
          <w:rFonts w:ascii="Times New Roman" w:cs="Times New Roman" w:eastAsia="Times New Roman" w:hAnsi="Times New Roman"/>
          <w:b/>
          <w:bCs/>
          <w:i/>
          <w:iCs/>
          <w:sz w:val="19"/>
          <w:szCs w:val="19"/>
        </w:rPr>
        <w:t xml:space="preserve">F. Methods Compared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Five decision mechanisms are compared. All receive identical telemetry, run at the same control interval, actuate through the same path, and are subject to the same pool bounds and rate limit; only the decision rule differs.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Integer-exact MPC, the controller of Section III, solving (7)–(9) exactly over the admissible integer actions.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Relaxed-and-rounded MPC, identical in objective and constraints except that the integrality constraint of (9) is dropped and the first element of the solution is rounded before application. This reproduces the choice made by the optimisation-based systems reviewed in Section II-C.</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reactive threshold controller implementing the HPA control law with its tolerance band and scale-down stabilisation window.</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static configuration fixed at the level required to serve the peak of the trace.</w:t>
      </w:r>
    </w:p>
    <w:p>
      <w:pPr>
        <w:spacing w:after="100" w:before="200"/>
      </w:pPr>
      <w:r>
        <w:rPr>
          <w:rFonts w:ascii="Times New Roman" w:cs="Times New Roman" w:eastAsia="Times New Roman" w:hAnsi="Times New Roman"/>
          <w:b/>
          <w:bCs/>
          <w:i/>
          <w:iCs/>
          <w:sz w:val="19"/>
          <w:szCs w:val="19"/>
        </w:rPr>
        <w:t xml:space="preserve">G. Metrics and Statistics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Service-level violation rate is the fraction of ticks whose tail latency exceeds the objective. Over-provisioning ratio is the mean positive excess of the replica count over the requirement. Actuation churn is the number of ticks on which the replica count changed. Cost is replica-seconds per thousand requests served. Comparisons against the proposed controller use the Wilcoxon signed-rank test on paired runs, with Holm correction across the family of comparisons and Cliff’s delta as an effect size; confidence intervals are bias-corrected and accelerated bootstrap intervals over 4000 resamples. Significance is never claimed without the corrected p-value.</w:t>
      </w:r>
    </w:p>
    <w:p>
      <w:pPr>
        <w:spacing w:after="100" w:before="200"/>
      </w:pPr>
      <w:r>
        <w:rPr>
          <w:rFonts w:ascii="Times New Roman" w:cs="Times New Roman" w:eastAsia="Times New Roman" w:hAnsi="Times New Roman"/>
          <w:b/>
          <w:bCs/>
          <w:i/>
          <w:iCs/>
          <w:sz w:val="19"/>
          <w:szCs w:val="19"/>
        </w:rPr>
        <w:t xml:space="preserve">F. Configuration and Reproducibility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III lists every parameter that affects the reported results. Values marked as swept are varied in the experiment indicated; all others are held fixed throughout. The repository reproduces every result file and figure from this configuration with the command sequence given at the end of this subsection.</w:t>
      </w:r>
    </w:p>
    <w:p>
      <w:pPr>
        <w:sectPr>
          <w:footerReference w:type="default" r:id="rId2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06"/>
        <w:gridCol w:w="3517"/>
        <w:gridCol w:w="2813"/>
        <w:gridCol w:w="2344"/>
      </w:tblGrid>
      <w:tr>
        <w:trPr>
          <w:cantSplit/>
          <w:tblHeader/>
        </w:trPr>
        <w:tc>
          <w:tcPr>
            <w:tcW w:type="dxa" w:w="14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Symbol</w:t>
            </w:r>
          </w:p>
        </w:tc>
        <w:tc>
          <w:tcPr>
            <w:tcW w:type="dxa" w:w="351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2813"/>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2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Set by</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Δt</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Control interval</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H</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Forecast horizon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12 ticks (60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τc</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Cold-start latency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45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E5, E12</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μ</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Per-replica service rate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 req/s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utilisation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E6</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Target memory fraction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0.75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ℓmax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objective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200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cₐ², cₛ²</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Squared CVs of arrival, service</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1.0, 1.0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Nmin, Nmax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Pool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1, 16</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Nmax swept in E3</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Δmax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Per-tick rate limit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 replicas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 E9</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q⁺ / q⁻</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Tracking asymmetry</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8 / 1</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r</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Actuation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0.15</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Churn weight</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0.60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θ</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Deadband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 replica</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T_cool</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Cooldown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60 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Swept in E8</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u_emergency</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Safety-ceiling threshold</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0.92</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κγ, η</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gain, error smoothing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0.02, 0.20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γmin, γmax</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Margin bounds</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0.00, 0.50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Ticks per run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400</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Seeds per configuration</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10 (E1, E4); 3–8 elsewhere</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Per experiment</w:t>
            </w:r>
          </w:p>
        </w:tc>
      </w:tr>
      <w:tr>
        <w:trPr>
          <w:cantSplit/>
        </w:trPr>
        <w:tc>
          <w:tcPr>
            <w:tcW w:type="dxa" w:w="140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w:t>
            </w:r>
          </w:p>
        </w:tc>
        <w:tc>
          <w:tcPr>
            <w:tcW w:type="dxa" w:w="3517"/>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Latency censoring ceiling</w:t>
            </w:r>
          </w:p>
        </w:tc>
        <w:tc>
          <w:tcPr>
            <w:tcW w:type="dxa" w:w="2813"/>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5000 ms</w:t>
            </w:r>
          </w:p>
        </w:tc>
        <w:tc>
          <w:tcPr>
            <w:tcW w:type="dxa" w:w="234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3"/>
                <w:szCs w:val="13"/>
              </w:rPr>
              <w:t xml:space="preserve">Fixed</w:t>
            </w:r>
          </w:p>
        </w:tc>
      </w:tr>
    </w:tbl>
    <w:p>
      <w:pPr>
        <w:keepLines/>
        <w:spacing w:after="180" w:before="70"/>
        <w:jc w:val="center"/>
      </w:pPr>
      <w:r>
        <w:rPr>
          <w:rFonts w:ascii="Times New Roman" w:cs="Times New Roman" w:eastAsia="Times New Roman" w:hAnsi="Times New Roman"/>
          <w:sz w:val="16"/>
          <w:szCs w:val="16"/>
        </w:rPr>
        <w:t xml:space="preserve">Table III. Complete parameter set. Values are those used unless the experiment named in the final column varies them.</w:t>
      </w:r>
    </w:p>
    <w:p>
      <w:pPr>
        <w:sectPr>
          <w:footerReference w:type="default" r:id="rId25"/>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bCs/>
          <w:i w:val="false"/>
          <w:iCs w:val="false"/>
          <w:sz w:val="19"/>
          <w:szCs w:val="19"/>
        </w:rPr>
        <w:t xml:space="preserve">Reproduction. </w:t>
      </w:r>
      <w:r>
        <w:rPr>
          <w:rFonts w:ascii="Times New Roman" w:cs="Times New Roman" w:eastAsia="Times New Roman" w:hAnsi="Times New Roman"/>
          <w:b w:val="false"/>
          <w:bCs w:val="false"/>
          <w:i w:val="false"/>
          <w:iCs w:val="false"/>
          <w:sz w:val="19"/>
          <w:szCs w:val="19"/>
        </w:rPr>
        <w:t xml:space="preserve">From a clean checkout: python3 experiments/run_all.py writes the primary result files; python3 experiments/run_more.py writes the sensitivity, timing and breakdown files; python3 experiments/make_figures.py and make_figures2.py regenerate every plot; node experiments/paper.js rebuilds this document, reading each reported value from the result files at build time. Total runtime for the experiment stage is approximately six minutes on the platform recorded in results/manifest.json.</w:t>
      </w:r>
    </w:p>
    <w:p>
      <w:pPr>
        <w:spacing w:after="140" w:before="280"/>
        <w:jc w:val="center"/>
      </w:pPr>
      <w:r>
        <w:rPr>
          <w:rFonts w:ascii="Times New Roman" w:cs="Times New Roman" w:eastAsia="Times New Roman" w:hAnsi="Times New Roman"/>
          <w:b/>
          <w:bCs/>
          <w:caps/>
          <w:sz w:val="20"/>
          <w:szCs w:val="20"/>
        </w:rPr>
        <w:t xml:space="preserve">V. Results and Discussion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All values in this section are computed from the run logs written to the repository’s results directory. Tables III through XII and Figs. 2 through 15 are generated directly from those files.</w:t>
      </w:r>
    </w:p>
    <w:p>
      <w:pPr>
        <w:spacing w:after="100" w:before="200"/>
      </w:pPr>
      <w:r>
        <w:rPr>
          <w:rFonts w:ascii="Times New Roman" w:cs="Times New Roman" w:eastAsia="Times New Roman" w:hAnsi="Times New Roman"/>
          <w:b/>
          <w:bCs/>
          <w:i/>
          <w:iCs/>
          <w:sz w:val="19"/>
          <w:szCs w:val="19"/>
        </w:rPr>
        <w:t xml:space="preserve">A. The Horizon–Dead-Time Law</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experiment sweeps the cold-start interval τc over six values and the forecast horizon H over ten, and measures the resulting violation rate for the proposed controller and for the reactive baseline. Fig. 2 shows the outcome as a heat map with the boundary HΔt = τc from (6) drawn on it, and Fig. 3 shows the same data as violation against lookahead for each cold-start setting.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transition is sharp and it coincides with the predicted boundary. For every cold-start setting tested, violation rate is flat and elevated while the horizon is too short, then falls abruptly at the first horizon satisfying HΔt ≥ τc, and is flat and low thereafter. The grid covers six cold-start values, but at the shortest of them every horizon tested already satisfies the bound, so that setting yields no below-boundary measurement and is excluded from the average. Over the remaining 5, which bracket the boundary on both sides, the rate falls from 2.92 % below the boundary to 0.27 % above it. The effect is monotone in τc: at τc = 5 s the controller is already near its floor at the shortest horizon tested, whereas at τc = 90 s it remains at 5.42 % until the horizon reaches 20 ticks.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comparison against the reactive baseline is the operationally important part, and it is not flattering to naive predictive scaling. When the horizon does not cover the dead time the predictive controller is not merely no better than reacting; it is worse, by up to 3.69 percentage points. Once the horizon covers the dead time it is better, by up to 3.58 points. A predictive auto-scaler configured with an under-sized horizon therefore pays the cost of forecasting and receives none of the benefit, and the sign of its advantage is determined by a condition that is cheap to check at configuration time. What makes the condition useful is that it can be checked before deployment: it compares the configured horizon against the measured ready-time of the image, and needs no model of the workload.</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067050" cy="23622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2. Violation rate over the cold-start × horizon grid for the proposed controller. The solid line is the boundary HΔt = τc from (6). Synthetic traces; mean of three families × three seeds per cell.</w:t>
            </w:r>
          </w:p>
        </w:tc>
      </w:tr>
    </w:tbl>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067050" cy="22764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3. The same data as violation against lookahead. Dotted verticals mark τc for each curve. Synthetic traces.</w:t>
            </w:r>
          </w:p>
        </w:tc>
      </w:tr>
    </w:tbl>
    <w:p>
      <w:pPr>
        <w:sectPr>
          <w:footerReference w:type="default" r:id="rId26"/>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98"/>
        <w:gridCol w:w="1197"/>
        <w:gridCol w:w="1500"/>
        <w:gridCol w:w="1497"/>
        <w:gridCol w:w="1497"/>
        <w:gridCol w:w="1197"/>
        <w:gridCol w:w="1247"/>
        <w:gridCol w:w="1247"/>
      </w:tblGrid>
      <w:tr>
        <w:trPr>
          <w:cantSplit/>
          <w:tblHeader/>
        </w:trPr>
        <w:tc>
          <w:tcPr>
            <w:tcW w:type="dxa" w:w="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τc (s)</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Ticks of delay</w:t>
            </w:r>
          </w:p>
          <w:p>
            <w:pPr>
              <w:keepNext/>
              <w:keepLines/>
              <w:spacing w:after="0" w:line="210"/>
              <w:jc w:val="center"/>
            </w:pPr>
            <w:r>
              <w:rPr>
                <w:rFonts w:ascii="Times New Roman" w:cs="Times New Roman" w:eastAsia="Times New Roman" w:hAnsi="Times New Roman"/>
                <w:b/>
                <w:bCs/>
                <w:sz w:val="12"/>
                <w:szCs w:val="12"/>
              </w:rPr>
              <w:t xml:space="preserve">⌈τc/Δt⌉</w:t>
            </w:r>
          </w:p>
        </w:tc>
        <w:tc>
          <w:tcPr>
            <w:tcW w:type="dxa" w:w="15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First H meeting (6)</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below</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4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above</w:t>
            </w:r>
          </w:p>
          <w:p>
            <w:pPr>
              <w:keepNext/>
              <w:keepLines/>
              <w:spacing w:after="0" w:line="210"/>
              <w:jc w:val="center"/>
            </w:pPr>
            <w:r>
              <w:rPr>
                <w:rFonts w:ascii="Times New Roman" w:cs="Times New Roman" w:eastAsia="Times New Roman" w:hAnsi="Times New Roman"/>
                <w:b/>
                <w:bCs/>
                <w:sz w:val="12"/>
                <w:szCs w:val="12"/>
              </w:rPr>
              <w:t xml:space="preserve">boundary (%)</w:t>
            </w:r>
          </w:p>
        </w:tc>
        <w:tc>
          <w:tcPr>
            <w:tcW w:type="dxa" w:w="119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Reactive</w:t>
            </w:r>
          </w:p>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Worst margin</w:t>
            </w:r>
          </w:p>
          <w:p>
            <w:pPr>
              <w:keepNext/>
              <w:keepLines/>
              <w:spacing w:after="0" w:line="210"/>
              <w:jc w:val="center"/>
            </w:pPr>
            <w:r>
              <w:rPr>
                <w:rFonts w:ascii="Times New Roman" w:cs="Times New Roman" w:eastAsia="Times New Roman" w:hAnsi="Times New Roman"/>
                <w:b/>
                <w:bCs/>
                <w:sz w:val="12"/>
                <w:szCs w:val="12"/>
              </w:rPr>
              <w:t xml:space="preserve">below (pp)</w:t>
            </w:r>
          </w:p>
        </w:tc>
        <w:tc>
          <w:tcPr>
            <w:tcW w:type="dxa" w:w="124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Best margin</w:t>
            </w:r>
          </w:p>
          <w:p>
            <w:pPr>
              <w:keepNext/>
              <w:keepLines/>
              <w:spacing w:after="0" w:line="210"/>
              <w:jc w:val="center"/>
            </w:pPr>
            <w:r>
              <w:rPr>
                <w:rFonts w:ascii="Times New Roman" w:cs="Times New Roman" w:eastAsia="Times New Roman" w:hAnsi="Times New Roman"/>
                <w:b/>
                <w:bCs/>
                <w:sz w:val="12"/>
                <w:szCs w:val="12"/>
              </w:rPr>
              <w:t xml:space="preserve">above (pp)</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0.17</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n/a</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0.14</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0.08</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0.42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0.33</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1.89</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0.12</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-0.83</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2.67</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0.15</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1.75</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-0.92</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1.67</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3.44</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0.13</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2.58</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-0.86</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w:t>
            </w:r>
          </w:p>
        </w:tc>
      </w:tr>
      <w:tr>
        <w:trPr>
          <w:cantSplit/>
        </w:trPr>
        <w:tc>
          <w:tcPr>
            <w:tcW w:type="dxa" w:w="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90</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w:t>
            </w:r>
          </w:p>
        </w:tc>
        <w:tc>
          <w:tcPr>
            <w:tcW w:type="dxa" w:w="15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20</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5.42</w:t>
            </w:r>
          </w:p>
        </w:tc>
        <w:tc>
          <w:tcPr>
            <w:tcW w:type="dxa" w:w="14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0.88</w:t>
            </w:r>
          </w:p>
        </w:tc>
        <w:tc>
          <w:tcPr>
            <w:tcW w:type="dxa" w:w="119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4.44</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-3.69</w:t>
            </w:r>
          </w:p>
        </w:tc>
        <w:tc>
          <w:tcPr>
            <w:tcW w:type="dxa" w:w="124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3.58</w:t>
            </w:r>
          </w:p>
        </w:tc>
      </w:tr>
    </w:tbl>
    <w:p>
      <w:pPr>
        <w:keepLines/>
        <w:spacing w:after="180" w:before="70"/>
        <w:jc w:val="center"/>
      </w:pPr>
      <w:r>
        <w:rPr>
          <w:rFonts w:ascii="Times New Roman" w:cs="Times New Roman" w:eastAsia="Times New Roman" w:hAnsi="Times New Roman"/>
          <w:sz w:val="16"/>
          <w:szCs w:val="16"/>
        </w:rPr>
        <w:t xml:space="preserve">Table IV. The horizon–dead-time transition, by cold-start setting. Violation columns average over the horizons on each side of the boundary HΔt = τc. The margin columns give the difference from the reactive baseline, where a negative value means the predictive controller was worse. At τc = 5 s the shortest horizon tested already satisfies (6), so no value falls below the boundary. Synthetic traces, 3 families × 3 seeds per cell.</w:t>
      </w:r>
    </w:p>
    <w:p>
      <w:pPr>
        <w:sectPr>
          <w:footerReference w:type="default" r:id="rId27"/>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Reading the table by row makes the mechanism concrete. At τc = 45 s the plant needs 9 ticks of lookahead; the sweep tested H = 8 and H = 12 on either side, and the violation rate falls from 2.67 % to 0.15 % between them. The reactive baseline on the same traces sits at 1.75 %, so an under-configured predictive controller is 0.92 points worse than not predicting at all, while a correctly configured one is 1.67 points better. The same pattern holds at every delay tested, and the boundary moves with τc exactly as (6) requires rather than at some fixed horizon that would indicate a different cause.</w:t>
      </w:r>
    </w:p>
    <w:p>
      <w:pPr>
        <w:spacing w:after="100" w:before="200"/>
      </w:pPr>
      <w:r>
        <w:rPr>
          <w:rFonts w:ascii="Times New Roman" w:cs="Times New Roman" w:eastAsia="Times New Roman" w:hAnsi="Times New Roman"/>
          <w:b/>
          <w:bCs/>
          <w:i/>
          <w:iCs/>
          <w:sz w:val="19"/>
          <w:szCs w:val="19"/>
        </w:rPr>
        <w:t xml:space="preserve">B. The Cost of Relaxing Integrality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experiment compares the integer-exact controller against the relaxed-and-rounded controller across five pool bounds, holding everything else fixed. Table V reports the result and Fig. 4 shows it graphically.</w:t>
      </w:r>
    </w:p>
    <w:p>
      <w:pPr>
        <w:sectPr>
          <w:footerReference w:type="default" r:id="rId28"/>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96"/>
        <w:gridCol w:w="2329"/>
        <w:gridCol w:w="1661"/>
        <w:gridCol w:w="1772"/>
        <w:gridCol w:w="1661"/>
        <w:gridCol w:w="1661"/>
      </w:tblGrid>
      <w:tr>
        <w:trPr>
          <w:cantSplit/>
          <w:tblHeader/>
        </w:trPr>
        <w:tc>
          <w:tcPr>
            <w:tcW w:type="dxa" w:w="99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Nₘₐₓ</w:t>
            </w:r>
          </w:p>
        </w:tc>
        <w:tc>
          <w:tcPr>
            <w:tcW w:type="dxa" w:w="232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Ticks where</w:t>
            </w:r>
          </w:p>
          <w:p>
            <w:pPr>
              <w:keepNext/>
              <w:keepLines/>
              <w:spacing w:after="0" w:line="210"/>
              <w:jc w:val="center"/>
            </w:pPr>
            <w:r>
              <w:rPr>
                <w:rFonts w:ascii="Times New Roman" w:cs="Times New Roman" w:eastAsia="Times New Roman" w:hAnsi="Times New Roman"/>
                <w:b/>
                <w:bCs/>
                <w:sz w:val="15"/>
                <w:szCs w:val="15"/>
              </w:rPr>
              <w:t xml:space="preserve">decisions differ (%)</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exact</w:t>
            </w:r>
          </w:p>
        </w:tc>
        <w:tc>
          <w:tcPr>
            <w:tcW w:type="dxa" w:w="177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Churn, rounded</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Δ violation (pp)</w:t>
            </w:r>
          </w:p>
        </w:tc>
        <w:tc>
          <w:tcPr>
            <w:tcW w:type="dxa" w:w="166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Mean solve (ms)</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19.4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47.0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6.9</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0.256</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26.1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40.2</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7.50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2.025</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8</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35.6</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49.8</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43.8</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0.80</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14.342</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44.6</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101.2</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0.71</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31.919</w:t>
            </w:r>
          </w:p>
        </w:tc>
      </w:tr>
      <w:tr>
        <w:trPr>
          <w:cantSplit/>
        </w:trPr>
        <w:tc>
          <w:tcPr>
            <w:tcW w:type="dxa" w:w="99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32</w:t>
            </w:r>
          </w:p>
        </w:tc>
        <w:tc>
          <w:tcPr>
            <w:tcW w:type="dxa" w:w="232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71.4</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66.0</w:t>
            </w:r>
          </w:p>
        </w:tc>
        <w:tc>
          <w:tcPr>
            <w:tcW w:type="dxa" w:w="177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221.3</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1.05</w:t>
            </w:r>
          </w:p>
        </w:tc>
        <w:tc>
          <w:tcPr>
            <w:tcW w:type="dxa" w:w="166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43.178</w:t>
            </w:r>
          </w:p>
        </w:tc>
      </w:tr>
    </w:tbl>
    <w:p>
      <w:pPr>
        <w:keepLines/>
        <w:spacing w:after="180" w:before="70"/>
        <w:jc w:val="center"/>
      </w:pPr>
      <w:r>
        <w:rPr>
          <w:rFonts w:ascii="Times New Roman" w:cs="Times New Roman" w:eastAsia="Times New Roman" w:hAnsi="Times New Roman"/>
          <w:sz w:val="16"/>
          <w:szCs w:val="16"/>
        </w:rPr>
        <w:t xml:space="preserve">Table V. Integer-exact against relaxed-and-rounded control, by pool bound. Synthetic traces, five families × five seeds per row. A positive Δ violation means the rounded controller violated more often.</w:t>
      </w:r>
    </w:p>
    <w:p>
      <w:pPr>
        <w:sectPr>
          <w:footerReference w:type="default" r:id="rId29"/>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a substantial and increasing fraction of ticks, from 19.4 % at the smallest pool to 71.4 % at the largest. The disagreement does not translate into a large difference in violation rate at this operating point — the mean difference ranges from 0.71 to 7.50 percentage points — but it translates strongly into churn. At Nₘₐₓ = 16 the exact controller issues 45 scaling actions per run against 101 for the rounded controller, and at Nₘₐₓ = 32 the figures are 66 against 221. Rounding converts a fractional preference into a full replica change, and because the fractional part fluctuates from tick to tick the rounded controller oscillates where the exact controller holds.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of solving exactly is small. The enumeration completes in under 43.18 ms per tick at the largest pool tested, which is three orders of magnitude inside the 5 s control interval. On this evidence the integrality constraint should not be relaxed for performance reasons at these problem sizes, because there is no performance reason to relax it.</w:t>
      </w:r>
    </w:p>
    <w:p>
      <w:pPr>
        <w:sectPr>
          <w:footerReference w:type="default" r:id="rId30"/>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305550" cy="21717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4. Disagreement between the exact and rounded controllers, and the resulting actuation churn. Synthetic traces.</w:t>
      </w:r>
    </w:p>
    <w:p>
      <w:pPr>
        <w:sectPr>
          <w:footerReference w:type="default" r:id="rId31"/>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C. Operating-Point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Comparing controllers at a single target utilisation is misleading, because each sits at a different point on the trade-off between service level and capacity. The third experiment therefore sweeps the target from 0.50 to 0.85 and traces the attainable frontier for each method. Table VI reports the extremes and Fig. 5 shows the full sweep.</w:t>
      </w:r>
    </w:p>
    <w:p>
      <w:pPr>
        <w:sectPr>
          <w:footerReference w:type="default" r:id="rId32"/>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218"/>
        <w:gridCol w:w="1552"/>
        <w:gridCol w:w="1550"/>
        <w:gridCol w:w="1440"/>
        <w:gridCol w:w="1440"/>
        <w:gridCol w:w="1440"/>
        <w:gridCol w:w="1440"/>
      </w:tblGrid>
      <w:tr>
        <w:trPr>
          <w:cantSplit/>
          <w:tblHeader/>
        </w:trPr>
        <w:tc>
          <w:tcPr>
            <w:tcW w:type="dxa" w:w="121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Target u*</w:t>
            </w:r>
          </w:p>
        </w:tc>
        <w:tc>
          <w:tcPr>
            <w:tcW w:type="dxa" w:w="155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Exact MPC</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Rounded</w:t>
            </w:r>
          </w:p>
          <w:p>
            <w:pPr>
              <w:keepNext/>
              <w:keepLines/>
              <w:spacing w:after="0" w:line="210"/>
              <w:jc w:val="center"/>
            </w:pPr>
            <w:r>
              <w:rPr>
                <w:rFonts w:ascii="Times New Roman" w:cs="Times New Roman" w:eastAsia="Times New Roman" w:hAnsi="Times New Roman"/>
                <w:b/>
                <w:bCs/>
                <w:sz w:val="15"/>
                <w:szCs w:val="15"/>
              </w:rPr>
              <w:t xml:space="preserve">over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viol.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Reactive</w:t>
            </w:r>
          </w:p>
          <w:p>
            <w:pPr>
              <w:keepNext/>
              <w:keepLines/>
              <w:spacing w:after="0" w:line="210"/>
              <w:jc w:val="center"/>
            </w:pPr>
            <w:r>
              <w:rPr>
                <w:rFonts w:ascii="Times New Roman" w:cs="Times New Roman" w:eastAsia="Times New Roman" w:hAnsi="Times New Roman"/>
                <w:b/>
                <w:bCs/>
                <w:sz w:val="15"/>
                <w:szCs w:val="15"/>
              </w:rPr>
              <w:t xml:space="preserve">over (%)</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0.50</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0.00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15.7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0.45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0.55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58.1</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0.65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0.78</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3.7</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1.03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56.4</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0.75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1.60</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34.4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5.63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5.9</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2.23</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57.6</w:t>
            </w:r>
          </w:p>
        </w:tc>
      </w:tr>
      <w:tr>
        <w:trPr>
          <w:cantSplit/>
        </w:trPr>
        <w:tc>
          <w:tcPr>
            <w:tcW w:type="dxa" w:w="121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0.85</w:t>
            </w:r>
          </w:p>
        </w:tc>
        <w:tc>
          <w:tcPr>
            <w:tcW w:type="dxa" w:w="155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3.58</w:t>
            </w:r>
          </w:p>
        </w:tc>
        <w:tc>
          <w:tcPr>
            <w:tcW w:type="dxa" w:w="155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38.6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17.92</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7.8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6.28</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5"/>
                <w:szCs w:val="15"/>
              </w:rPr>
              <w:t xml:space="preserve">62.2</w:t>
            </w:r>
          </w:p>
        </w:tc>
      </w:tr>
    </w:tbl>
    <w:p>
      <w:pPr>
        <w:keepLines/>
        <w:spacing w:after="180" w:before="70"/>
        <w:jc w:val="center"/>
      </w:pPr>
      <w:r>
        <w:rPr>
          <w:rFonts w:ascii="Times New Roman" w:cs="Times New Roman" w:eastAsia="Times New Roman" w:hAnsi="Times New Roman"/>
          <w:sz w:val="16"/>
          <w:szCs w:val="16"/>
        </w:rPr>
        <w:t xml:space="preserve">Table VI. Service level and capacity cost against target utilisation. Synthetic traces, five families × three seeds per cell, oracle predictor.</w:t>
      </w:r>
    </w:p>
    <w:p>
      <w:pPr>
        <w:sectPr>
          <w:footerReference w:type="default" r:id="rId33"/>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degrade very differently as the target is pushed up. The rounded controller is efficient and adequate at conservative targets — at u* = 0.50 it violates on 0.45 % of ticks while carrying only 3.3 % excess capacity — but it collapses as the target rises, reaching 17.92 % violations at u* = 0.85. The exact controller rises far more slowly over the same range, from 0.00 % to 3.58 %. The mechanism is visible in Table V: when the pool is run close to its limit, a rounding error of one replica is a large fraction of the available headroom, and the rounded controller spends an increasing share of its time on the wrong side of the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Neither controller dominates. The exact controller buys service level with capacity: at u* = 0.65 it carries 22.1 % excess against the rounded controller’s 3.7 %, for a violation rate of 0.78 % against 1.65 %. An operator who can tolerate the violation rate of the rounded controller should prefer it on cost. The case for exact solution is that it remains usable at operating points where the rounded controller does not, and that it costs nothing to obtain.</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670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5. Attainable frontier as the target utilisation is swept from 0.50 to 0.85. Synthetic traces, oracle predictor. Points are labelled with the target that produced them.</w:t>
            </w:r>
          </w:p>
        </w:tc>
      </w:tr>
    </w:tbl>
    <w:p>
      <w:pPr>
        <w:spacing w:after="100" w:before="200"/>
      </w:pPr>
      <w:r>
        <w:rPr>
          <w:rFonts w:ascii="Times New Roman" w:cs="Times New Roman" w:eastAsia="Times New Roman" w:hAnsi="Times New Roman"/>
          <w:b/>
          <w:bCs/>
          <w:i/>
          <w:iCs/>
          <w:sz w:val="19"/>
          <w:szCs w:val="19"/>
        </w:rPr>
        <w:t xml:space="preserve">D. Aggregate Comparison and Significance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VII reports the main comparison over 5 workload families × 10 seeds, with bootstrap confidence intervals, under both forecaster brackets. Table VIII reports the paired significance tests against the proposed controller with the oracle predictor.</w:t>
      </w:r>
    </w:p>
    <w:p>
      <w:pPr>
        <w:sectPr>
          <w:footerReference w:type="default" r:id="rId34"/>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832"/>
        <w:gridCol w:w="1191"/>
        <w:gridCol w:w="2111"/>
        <w:gridCol w:w="2107"/>
        <w:gridCol w:w="824"/>
        <w:gridCol w:w="916"/>
        <w:gridCol w:w="1099"/>
      </w:tblGrid>
      <w:tr>
        <w:trPr>
          <w:cantSplit/>
          <w:tblHeader/>
        </w:trPr>
        <w:tc>
          <w:tcPr>
            <w:tcW w:type="dxa" w:w="183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Method</w:t>
            </w:r>
          </w:p>
        </w:tc>
        <w:tc>
          <w:tcPr>
            <w:tcW w:type="dxa" w:w="119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Predictor</w:t>
            </w:r>
          </w:p>
        </w:tc>
        <w:tc>
          <w:tcPr>
            <w:tcW w:type="dxa" w:w="211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210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p>
            <w:pPr>
              <w:keepNext/>
              <w:keepLines/>
              <w:spacing w:after="0" w:line="210"/>
              <w:jc w:val="center"/>
            </w:pPr>
            <w:r>
              <w:rPr>
                <w:rFonts w:ascii="Times New Roman" w:cs="Times New Roman" w:eastAsia="Times New Roman" w:hAnsi="Times New Roman"/>
                <w:b/>
                <w:bCs/>
                <w:sz w:val="14"/>
                <w:szCs w:val="14"/>
              </w:rPr>
              <w:t xml:space="preserve">mean [95% CI]</w:t>
            </w:r>
          </w:p>
        </w:tc>
        <w:tc>
          <w:tcPr>
            <w:tcW w:type="dxa" w:w="8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91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Util. (%)</w:t>
            </w:r>
          </w:p>
        </w:tc>
        <w:tc>
          <w:tcPr>
            <w:tcW w:type="dxa" w:w="109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Cost /1k req</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 [0.46, 1.42]</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 [19.5, 28.4]</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41.5</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54.8</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50.2</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1.05 [0.69, 1.44]</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28.7 [27.0, 31.0]</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56.6</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53.6</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53.3</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Oracle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 [1.19, 2.31]</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3.5 [3.3, 3.7]</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98.3</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65.4</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42.8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Persistence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1.61 [1.11, 2.23]</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4.5 [4.0, 5.1]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63.3</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44.8</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 [0.67, 1.35]</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 [44.7, 59.5]</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46.7</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63.0</w:t>
            </w:r>
          </w:p>
        </w:tc>
      </w:tr>
      <w:tr>
        <w:trPr>
          <w:cantSplit/>
        </w:trPr>
        <w:tc>
          <w:tcPr>
            <w:tcW w:type="dxa" w:w="183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19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t>
            </w:r>
          </w:p>
        </w:tc>
        <w:tc>
          <w:tcPr>
            <w:tcW w:type="dxa" w:w="211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 [0.00, 0.00]</w:t>
            </w:r>
          </w:p>
        </w:tc>
        <w:tc>
          <w:tcPr>
            <w:tcW w:type="dxa" w:w="210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91.0 [81.2, 103.1]</w:t>
            </w:r>
          </w:p>
        </w:tc>
        <w:tc>
          <w:tcPr>
            <w:tcW w:type="dxa" w:w="8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w:t>
            </w:r>
          </w:p>
        </w:tc>
        <w:tc>
          <w:tcPr>
            <w:tcW w:type="dxa" w:w="91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37.1</w:t>
            </w:r>
          </w:p>
        </w:tc>
        <w:tc>
          <w:tcPr>
            <w:tcW w:type="dxa" w:w="109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71.4</w:t>
            </w:r>
          </w:p>
        </w:tc>
      </w:tr>
    </w:tbl>
    <w:p>
      <w:pPr>
        <w:keepLines/>
        <w:spacing w:after="180" w:before="70"/>
        <w:jc w:val="center"/>
      </w:pPr>
      <w:r>
        <w:rPr>
          <w:rFonts w:ascii="Times New Roman" w:cs="Times New Roman" w:eastAsia="Times New Roman" w:hAnsi="Times New Roman"/>
          <w:sz w:val="16"/>
          <w:szCs w:val="16"/>
        </w:rPr>
        <w:t xml:space="preserve">Table VII. Main comparison. Synthetic traces, 5 families × 10 seeds = 50 runs per row. Intervals are 95 % bias-corrected bootstrap over 4000 resamples.</w:t>
      </w:r>
    </w:p>
    <w:p>
      <w:pPr>
        <w:sectPr>
          <w:footerReference w:type="default" r:id="rId35"/>
          <w:type w:val="continuous"/>
          <w:pgSz w:w="12240" w:h="15840" w:orient="portrait"/>
          <w:pgMar w:top="1150" w:right="1080" w:bottom="1150" w:left="1080" w:header="708" w:footer="708" w:gutter="0"/>
          <w:pgNumType/>
          <w:cols w:num="1"/>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677"/>
        <w:gridCol w:w="1645"/>
        <w:gridCol w:w="1131"/>
        <w:gridCol w:w="1028"/>
        <w:gridCol w:w="1234"/>
        <w:gridCol w:w="1131"/>
        <w:gridCol w:w="1234"/>
      </w:tblGrid>
      <w:tr>
        <w:trPr>
          <w:cantSplit/>
          <w:tblHeader/>
        </w:trPr>
        <w:tc>
          <w:tcPr>
            <w:tcW w:type="dxa" w:w="267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Comparison</w:t>
            </w:r>
          </w:p>
        </w:tc>
        <w:tc>
          <w:tcPr>
            <w:tcW w:type="dxa" w:w="164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Metric</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Proposed</w:t>
            </w:r>
          </w:p>
        </w:tc>
        <w:tc>
          <w:tcPr>
            <w:tcW w:type="dxa" w:w="102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Other</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(Holm)</w:t>
            </w:r>
          </w:p>
        </w:tc>
        <w:tc>
          <w:tcPr>
            <w:tcW w:type="dxa" w:w="1131"/>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Cliff’s δ</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Significant</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0.122</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-0.34</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3.46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98.28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-0.06</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no</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52.02</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-0.59</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Churn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41.46</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16.88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Violation</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0.85</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0.38</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r>
        <w:trPr>
          <w:cantSplit/>
        </w:trPr>
        <w:tc>
          <w:tcPr>
            <w:tcW w:type="dxa" w:w="267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4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23.31</w:t>
            </w:r>
          </w:p>
        </w:tc>
        <w:tc>
          <w:tcPr>
            <w:tcW w:type="dxa" w:w="102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90.97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&lt; 0.001</w:t>
            </w:r>
          </w:p>
        </w:tc>
        <w:tc>
          <w:tcPr>
            <w:tcW w:type="dxa" w:w="1131"/>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-0.93</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yes</w:t>
            </w:r>
          </w:p>
        </w:tc>
      </w:tr>
    </w:tbl>
    <w:p>
      <w:pPr>
        <w:keepLines/>
        <w:spacing w:after="180" w:before="70"/>
        <w:jc w:val="center"/>
      </w:pPr>
      <w:r>
        <w:rPr>
          <w:rFonts w:ascii="Times New Roman" w:cs="Times New Roman" w:eastAsia="Times New Roman" w:hAnsi="Times New Roman"/>
          <w:sz w:val="16"/>
          <w:szCs w:val="16"/>
        </w:rPr>
        <w:t xml:space="preserve">Table VIII. Paired Wilcoxon signed-rank tests against the integer-exact controller with the oracle predictor, Holm-corrected across the comparison family. n = 50 paired runs. Synthetic traces.</w:t>
      </w:r>
    </w:p>
    <w:p>
      <w:pPr>
        <w:sectPr>
          <w:footerReference w:type="default" r:id="rId3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aspects of Table VIII deserve emphasis because they qualify the paper’s claims. First, the difference in violation rate between the proposed controller and the rounded controller at this operating point is not significant after correction (p = 0.122), and neither is the difference against the reactive baseline (p = 1.000). The service-level advantage reported in Section V-C emerges at aggressive operating points, not at the default one. Second, the differences that are significant are in churn and capacity: against the rounded controller the reduction in churn has a Cliff’s delta of -0.99, and against the reactive baseline the reduction in over-provisioning has a delta of -0.59. The robust claims are about stability and cost, not about service level in the ordinary regime.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forecaster brackets behave as intended and bound the predictor’s contribution. Moving from perfect foresight to persistence raises violations from 0.85 % to 1.05 % and churn from 41 to 57 actions, so a realistic forecaster would land inside an interval of roughly a quarter of a percentage point in violation rate. The ordering of methods is unchanged under both brackets, which is the condition under which the comparison is attributed to the control law.</w:t>
      </w:r>
    </w:p>
    <w:p>
      <w:pPr>
        <w:sectPr>
          <w:footerReference w:type="default" r:id="rId3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305550" cy="35718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6. Replica count and tail latency on one burst trace. The rounded controller overshoots at each burst and the reactive controller holds capacity long after demand falls. Synthetic burst trace, seed 1001, oracle predictor.</w:t>
      </w:r>
    </w:p>
    <w:p>
      <w:pPr>
        <w:sectPr>
          <w:footerReference w:type="default" r:id="rId38"/>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305550" cy="23526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7. Main comparison with 95 % bootstrap intervals. Synthetic traces, 50 runs per bar.</w:t>
      </w:r>
    </w:p>
    <w:p>
      <w:pPr>
        <w:sectPr>
          <w:footerReference w:type="default" r:id="rId39"/>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E. Ablation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component of the controller was disabled in turn, with everything else held fixed, over the same five workload families and 10 seeds. Table IX reports the outcome and Fig. 8 shows it graphically. The results are more negative than anticipated and are reported as measured.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Removing the optimisation layer entirely, so that the controller applies the first element of the demand trajectory directly, changes the violation rate by 0.28 percentage points and reduces capacity cost by 16.9 points. The change in service level is not significant (p = 0.411 uncorrected). Removing the churn penalty leaves service level essentially unchanged at -0.21 points but raises over-provisioning by 15.1 points and churn by 14 actions, which is the clearest single-component effect in the table and is consistent with the rounding result of Section V-B: penalising change is what keeps the pool steady.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components had no measurable effect under these conditions and this should be stated plainly. Disabling cold-start compensation within the controller changed the violation rate by -0.10 points (p = 0.700), and disabling the adaptive margin changed nothing at all: the margin remained at its initial value throughout every run, because the tracking error under both forecaster brackets never accumulated enough to move the clipped integral. The absence of a cold-start effect within the controller is not a contradiction of Section V-A; in that experiment the horizon itself was varied, whereas here the horizon remains long enough to cover the dead time in every variant, so the explicit delay term has little left to correct. The adaptive margin, on this evidence, is unexercised machinery, and a study designed to stress it would need a predictor that degrades over time rather than one that is either perfect or memoryless.</w:t>
      </w:r>
    </w:p>
    <w:p>
      <w:pPr>
        <w:sectPr>
          <w:footerReference w:type="default" r:id="rId40"/>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367"/>
        <w:gridCol w:w="1337"/>
        <w:gridCol w:w="1440"/>
        <w:gridCol w:w="1337"/>
        <w:gridCol w:w="1440"/>
        <w:gridCol w:w="925"/>
        <w:gridCol w:w="1234"/>
      </w:tblGrid>
      <w:tr>
        <w:trPr>
          <w:cantSplit/>
          <w:tblHeader/>
        </w:trPr>
        <w:tc>
          <w:tcPr>
            <w:tcW w:type="dxa" w:w="236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Variant</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Violation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1337"/>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Over-prov. (%)</w:t>
            </w:r>
          </w:p>
        </w:tc>
        <w:tc>
          <w:tcPr>
            <w:tcW w:type="dxa" w:w="14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Δ vs. full (pp)</w:t>
            </w:r>
          </w:p>
        </w:tc>
        <w:tc>
          <w:tcPr>
            <w:tcW w:type="dxa" w:w="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Churn</w:t>
            </w:r>
          </w:p>
        </w:tc>
        <w:tc>
          <w:tcPr>
            <w:tcW w:type="dxa" w:w="123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4"/>
                <w:szCs w:val="14"/>
              </w:rPr>
              <w:t xml:space="preserve">p (uncorr.)</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MPC layer</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1.24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0.28</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-16.9</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40.5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0.411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churn penalty</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0.75</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-0.21</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39.1</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15.1</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57.7</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0.601</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cold-start comp.</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0.86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-0.10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0.700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adaptive margin</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24.0</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43.5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r>
        <w:trPr>
          <w:cantSplit/>
        </w:trPr>
        <w:tc>
          <w:tcPr>
            <w:tcW w:type="dxa" w:w="236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Without safety ceiling</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0.96</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0.00</w:t>
            </w:r>
          </w:p>
        </w:tc>
        <w:tc>
          <w:tcPr>
            <w:tcW w:type="dxa" w:w="1337"/>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16.4</w:t>
            </w:r>
          </w:p>
        </w:tc>
        <w:tc>
          <w:tcPr>
            <w:tcW w:type="dxa" w:w="14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-7.6</w:t>
            </w:r>
          </w:p>
        </w:tc>
        <w:tc>
          <w:tcPr>
            <w:tcW w:type="dxa" w:w="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36.5</w:t>
            </w:r>
          </w:p>
        </w:tc>
        <w:tc>
          <w:tcPr>
            <w:tcW w:type="dxa" w:w="123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4"/>
                <w:szCs w:val="14"/>
              </w:rPr>
              <w:t xml:space="preserve">1.000</w:t>
            </w:r>
          </w:p>
        </w:tc>
      </w:tr>
    </w:tbl>
    <w:p>
      <w:pPr>
        <w:keepLines/>
        <w:spacing w:after="180" w:before="70"/>
        <w:jc w:val="center"/>
      </w:pPr>
      <w:r>
        <w:rPr>
          <w:rFonts w:ascii="Times New Roman" w:cs="Times New Roman" w:eastAsia="Times New Roman" w:hAnsi="Times New Roman"/>
          <w:sz w:val="16"/>
          <w:szCs w:val="16"/>
        </w:rPr>
        <w:t xml:space="preserve">Table IX. Ablation. Full controller: violation 0.96 %, over-provisioning 24.0 %, churn 43.5. Synthetic traces, 50 runs per row, oracle predictor. No service-level delta reaches p &lt; 0.05.</w:t>
      </w:r>
    </w:p>
    <w:p>
      <w:pPr>
        <w:sectPr>
          <w:footerReference w:type="default" r:id="rId41"/>
          <w:type w:val="continuous"/>
          <w:pgSz w:w="12240" w:h="15840" w:orient="portrait"/>
          <w:pgMar w:top="1150" w:right="1080" w:bottom="1150" w:left="1080" w:header="708" w:footer="708" w:gutter="0"/>
          <w:pgNumType/>
          <w:cols w:num="1"/>
          <w:docGrid w:linePitch="360"/>
        </w:sectPr>
      </w:pPr>
    </w:p>
    <w:p>
      <w:pPr>
        <w:keepNext/>
        <w:spacing w:after="40" w:before="140"/>
        <w:jc w:val="center"/>
      </w:pPr>
      <w:r>
        <w:drawing>
          <wp:inline distT="0" distB="0" distL="0" distR="0">
            <wp:extent cx="63055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305550" cy="23241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8. Effect of disabling each component. Synthetic traces.</w:t>
      </w:r>
    </w:p>
    <w:p>
      <w:pPr>
        <w:sectPr>
          <w:footerReference w:type="default" r:id="rId4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F. Robustness to Forecast Corruption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final experiment injects multiplicative noise into the series seen by the forecaster while the plant continues to receive the true arrivals, sweeping the corruption magnitude and repeating the sweep with the safety ceiling disabled. Fig. 9 shows the result, which is counter-intuitive and worth stating carefully.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Violation rate does not rise with corruption; it falls slightly, from 0.083 % at zero noise to 0.000 % at σ = 0.4, while over-provisioning rises from 18.2 % to 64.5 %. The explanation is the asymmetric tracking weight of (8). Multiplicative noise causes the forecast to over-predict as often as it under-predicts, but the controller responds to over-prediction by adding capacity and to under-prediction by removing it, and the asymmetric penalty makes the former cheaper. Noise therefore acts as an accidental safety margin, purchased with capacity. This is a property of the cost function rather than a desirable robustness result, and it means the controller is not stress-tested by symmetric noise; a corruption model with sustained negative bias would be a sharper test and is left for future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so the two curves coincide exactly. The reactive baseline, measured on the same traces, violates on 1.63 % of ticks, above every point of the swept range. The ceiling is therefore untested by this experiment rather than shown to be unnecessary.</w:t>
      </w: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067050" cy="22288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9. Violation rate against forecast corruption, with and without the safety ceiling. Synthetic traces, three families × four seeds per point.</w:t>
            </w:r>
          </w:p>
        </w:tc>
      </w:tr>
    </w:tbl>
    <w:p>
      <w:pPr>
        <w:spacing w:after="100" w:before="200"/>
      </w:pPr>
      <w:r>
        <w:rPr>
          <w:rFonts w:ascii="Times New Roman" w:cs="Times New Roman" w:eastAsia="Times New Roman" w:hAnsi="Times New Roman"/>
          <w:b/>
          <w:bCs/>
          <w:i/>
          <w:iCs/>
          <w:sz w:val="19"/>
          <w:szCs w:val="19"/>
        </w:rPr>
        <w:t xml:space="preserve">G. Control-Parameter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exposes five parameters that shape the trade-off between service level and actuation stability. Each was swept independently over the five workload families with eight seeds, holding the others at their defaults. Table X reports the sweeps and Fig. 10 shows them. The results reorder the components by importance relative to what the design assumed.</w:t>
      </w:r>
    </w:p>
    <w:p>
      <w:pPr>
        <w:sectPr>
          <w:footerReference w:type="default" r:id="rId4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088"/>
        <w:gridCol w:w="1042"/>
        <w:gridCol w:w="1506"/>
        <w:gridCol w:w="1622"/>
        <w:gridCol w:w="1158"/>
        <w:gridCol w:w="1506"/>
        <w:gridCol w:w="1158"/>
      </w:tblGrid>
      <w:tr>
        <w:trPr>
          <w:cantSplit/>
          <w:tblHeader/>
        </w:trPr>
        <w:tc>
          <w:tcPr>
            <w:tcW w:type="dxa" w:w="208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Parameter</w:t>
            </w:r>
          </w:p>
        </w:tc>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Value</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Oscillations</w:t>
            </w:r>
          </w:p>
        </w:tc>
        <w:tc>
          <w:tcPr>
            <w:tcW w:type="dxa" w:w="115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Cost /1k</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Churn weight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0.70</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39.5</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56.3</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0.58</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49.9</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0.54</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49.6</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Cooldown T_cool (s)</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17.5</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267.3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201.9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47.6</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49.8</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24.7</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16.4</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51.0</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Deadband θ</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42.6</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30.9</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49.8</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0.87</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50.5</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2.45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38.3</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56.2</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Asymmetry q⁺/q⁻</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1.19</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38.0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25.0</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49.1</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0.55</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21.6</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Rate limit Δmax</w:t>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0.54</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19.2</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48.7</w:t>
            </w:r>
          </w:p>
        </w:tc>
      </w:tr>
      <w:tr>
        <w:trPr>
          <w:cantSplit/>
        </w:trPr>
        <w:tc>
          <w:tcPr>
            <w:tcW w:type="dxa" w:w="208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
            </w:r>
          </w:p>
        </w:tc>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6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22.1</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30.8</w:t>
            </w:r>
          </w:p>
        </w:tc>
        <w:tc>
          <w:tcPr>
            <w:tcW w:type="dxa" w:w="115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49.9</w:t>
            </w:r>
          </w:p>
        </w:tc>
      </w:tr>
    </w:tbl>
    <w:p>
      <w:pPr>
        <w:keepLines/>
        <w:spacing w:after="180" w:before="70"/>
        <w:jc w:val="center"/>
      </w:pPr>
      <w:r>
        <w:rPr>
          <w:rFonts w:ascii="Times New Roman" w:cs="Times New Roman" w:eastAsia="Times New Roman" w:hAnsi="Times New Roman"/>
          <w:sz w:val="16"/>
          <w:szCs w:val="16"/>
        </w:rPr>
        <w:t xml:space="preserve">Table X. Control-parameter sweeps. Synthetic traces, 5 families × 8 seeds = 40 runs per row; the remaining parameters are held at their defaults. Oscillations counts sign reversals in the replica delta.</w:t>
      </w:r>
    </w:p>
    <w:p>
      <w:pPr>
        <w:sectPr>
          <w:footerReference w:type="default" r:id="rId4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penalty is not a pure trade-off. Raising s from zero to unity reduces violations from 0.70 % to 0.58 %, over-provisioning from 39.5 % to 22.2 %, and oscillations from 51.9 to 29.3, improving all three at once. Beyond unity the curve is flat. The mechanism is that penalising change suppresses the scale-down-then-scale-up pairs that would otherwise remove capacity immediately before it is needed again, so the controller holds a steadier pool that happens also to be a smaller one. This was not an anticipated result; the penalty was introduced to reduce churn alone.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cooldown dominates stability, and by a wider margin than the churn penalty does. Removing it entirely raises the action count from 42.6 to 267.3 per run and oscillations from 30.9 to 201.9, while violations rise from 0.63 % to 1.76 %. Extending it to 120 s continues to help on both axes, reaching 25.9 actions at 0.21 % violations for 24.7 % over-provisioning. Fig. 11 plots this sweep in the violation-versus-churn plane; the curve is monotone, so on these workloads the cooldown is close to free. The practical implication is that an operator tuning this controller should set the cooldown first and the churn weight second.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deadband is inert at its default. Values of θ = 1 and θ = 0 give identical results, because an integer action whose magnitude is below one is already zero; the deadband only becomes active at θ = 2, where it cuts actions from 42.6 to 10.4 at a cost of 0.24 percentage points of service level, and at θ = 3 it becomes harmful, reaching 2.45 % violations. The asymmetric tracking weight is similarly weak: raising q⁺/q⁻ from 1 to 20 moves violations only from 1.19 % to 0.55 %. Both findings are reported because they contradict the design intent, in which the deadband and the cost asymmetry were expected to be primary controls.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rate limit is the one parameter that stops mattering. Raising Δmax from 4 to 8 leaves the violation rate at 0.63 %, over-provisioning at 22.1 % and the action count at 42.3 — identical to the default to the precision reported. Pool bounds, not the rate limit, constrain the action set once Δmax is of the order of the pool itself: an action that would move more than a few replicas is already inadmissible because it would land outside [Nmin, Nmax]. The cost of raising it is not identical, though. The exact search is O((2Δmax + 1)^m), so median solve time rises from 20.8 ms at Δmax = 4 to 58.8 ms at 6 and 110.9 ms at 8, with a worst case of 204 ms. Δmax above about four buys a controller that behaves the same and costs five times as much to compute, which is a configuration error rather than a trade-off.</w:t>
      </w:r>
    </w:p>
    <w:p>
      <w:pPr>
        <w:sectPr>
          <w:footerReference w:type="default" r:id="rId4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305550" cy="31337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10. Control-parameter sweeps. Blue circles on the left axis are the violation rate; orange triangles on the right axis are the oscillation count. Synthetic traces.</w:t>
      </w:r>
    </w:p>
    <w:p>
      <w:pPr>
        <w:sectPr>
          <w:footerReference w:type="default" r:id="rId46"/>
          <w:type w:val="continuous"/>
          <w:pgSz w:w="12240" w:h="15840" w:orient="portrait"/>
          <w:pgMar w:top="1150" w:right="1080" w:bottom="1150" w:left="1080" w:header="708" w:footer="708" w:gutter="0"/>
          <w:pgNumType/>
          <w:cols w:num="1"/>
          <w:docGrid w:linePitch="360"/>
        </w:sectPr>
      </w:pPr>
    </w:p>
    <w:tbl>
      <w:tblPr>
        <w:tblW w:type="dxa" w:w="4840"/>
        <w:jc w:val="center"/>
        <w:tblBorders>
          <w:top w:val="none" w:color="FFFFFF" w:sz="0"/>
          <w:left w:val="none" w:color="FFFFFF" w:sz="0"/>
          <w:bottom w:val="none" w:color="FFFFFF" w:sz="0"/>
          <w:right w:val="none" w:color="FFFFFF" w:sz="0"/>
          <w:insideH w:val="none" w:color="FFFFFF" w:sz="0"/>
          <w:insideV w:val="none" w:color="FFFFFF" w:sz="0"/>
        </w:tblBorders>
      </w:tblPr>
      <w:tblGrid>
        <w:gridCol w:w="4840"/>
      </w:tblGrid>
      <w:tr>
        <w:trPr>
          <w:cantSplit/>
        </w:trPr>
        <w:tc>
          <w:tcPr>
            <w:tcW w:type="dxa" w:w="4840"/>
            <w:tcMar>
              <w:top w:type="dxa" w:w="0"/>
              <w:left w:type="dxa" w:w="0"/>
              <w:bottom w:type="dxa" w:w="0"/>
              <w:right w:type="dxa" w:w="0"/>
            </w:tcMar>
          </w:tcPr>
          <w:p>
            <w:pPr>
              <w:keepNext/>
              <w:spacing w:after="40" w:before="140"/>
              <w:jc w:val="center"/>
            </w:pPr>
            <w:r>
              <w:drawing>
                <wp:inline distT="0" distB="0" distL="0" distR="0">
                  <wp:extent cx="30670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067050" cy="22288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11. The cooldown sweep in the violation-versus-churn plane. Points are labelled with the cooldown that produced them. Synthetic traces.</w:t>
            </w:r>
          </w:p>
        </w:tc>
      </w:tr>
    </w:tbl>
    <w:p>
      <w:pPr>
        <w:spacing w:after="100" w:before="200"/>
      </w:pPr>
      <w:r>
        <w:rPr>
          <w:rFonts w:ascii="Times New Roman" w:cs="Times New Roman" w:eastAsia="Times New Roman" w:hAnsi="Times New Roman"/>
          <w:b/>
          <w:bCs/>
          <w:i/>
          <w:iCs/>
          <w:sz w:val="19"/>
          <w:szCs w:val="19"/>
        </w:rPr>
        <w:t xml:space="preserve">H. Computational Cost of Exact Solution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If exact integer solution were expensive, relaxation would be justified regardless of the accuracy argument. Algorithm 2 was timed across the action-set size and the horizon, the two parameters that determine its work, with the dead time held at its default. The sweep answers two questions at once: what the exact solve costs where it is available, and where it stops being available at all. Table XI reports the extremes and Fig. 12 the full grid. Cells that exceeded the node budget were solved by the greedy completion instead and are marked as such; their timings describe that solver, not this one.</w:t>
      </w:r>
    </w:p>
    <w:p>
      <w:pPr>
        <w:sectPr>
          <w:footerReference w:type="default" r:id="rId4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906"/>
        <w:gridCol w:w="1359"/>
        <w:gridCol w:w="792"/>
        <w:gridCol w:w="1359"/>
        <w:gridCol w:w="1925"/>
        <w:gridCol w:w="1359"/>
        <w:gridCol w:w="2380"/>
      </w:tblGrid>
      <w:tr>
        <w:trPr>
          <w:cantSplit/>
          <w:tblHeader/>
        </w:trPr>
        <w:tc>
          <w:tcPr>
            <w:tcW w:type="dxa" w:w="9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Δmax</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Candidates</w:t>
            </w:r>
          </w:p>
        </w:tc>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Solver</w:t>
            </w:r>
          </w:p>
        </w:tc>
        <w:tc>
          <w:tcPr>
            <w:tcW w:type="dxa" w:w="192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Mean solve (ms)</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Max (ms)</w:t>
            </w:r>
          </w:p>
        </w:tc>
        <w:tc>
          <w:tcPr>
            <w:tcW w:type="dxa" w:w="23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Share of 5 s budget (%)</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0.0482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0.0621</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0.0010</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0.7778</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0.9384</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0.0156</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fallback</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0.2233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0.2613</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0.0045</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0.4135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0.4436</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0.0083</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20.1970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21.7091</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0.4039</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fallback</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0.6324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0.6772</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0.0126</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3.7091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4.0644</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0.0742</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fallback</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0.4762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0.5160</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0.0095</w:t>
            </w:r>
          </w:p>
        </w:tc>
      </w:tr>
      <w:tr>
        <w:trPr>
          <w:cantSplit/>
        </w:trPr>
        <w:tc>
          <w:tcPr>
            <w:tcW w:type="dxa" w:w="9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fallback</w:t>
            </w:r>
          </w:p>
        </w:tc>
        <w:tc>
          <w:tcPr>
            <w:tcW w:type="dxa" w:w="192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1.2517</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1.4377</w:t>
            </w:r>
          </w:p>
        </w:tc>
        <w:tc>
          <w:tcPr>
            <w:tcW w:type="dxa" w:w="23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0.0250</w:t>
            </w:r>
          </w:p>
        </w:tc>
      </w:tr>
    </w:tbl>
    <w:p>
      <w:pPr>
        <w:keepLines/>
        <w:spacing w:after="180" w:before="70"/>
        <w:jc w:val="center"/>
      </w:pPr>
      <w:r>
        <w:rPr>
          <w:rFonts w:ascii="Times New Roman" w:cs="Times New Roman" w:eastAsia="Times New Roman" w:hAnsi="Times New Roman"/>
          <w:sz w:val="16"/>
          <w:szCs w:val="16"/>
        </w:rPr>
        <w:t xml:space="preserve">Table XI. Solve time against action-set size and horizon, at the default dead time. Rows marked “fallback” exceeded the exact solver’s node budget and were solved by the greedy completion, so their times are not times for Algorithm 2. Synthetic traces, 2 families × 4 seeds per row. The control interval is 5 s.</w:t>
      </w:r>
    </w:p>
    <w:p>
      <w:pPr>
        <w:sectPr>
          <w:footerReference w:type="default" r:id="rId4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At the configuration used throughout the paper the mean solve time is 20.197 ms, which is 0.4039 % of the control interval. The largest configuration tested, Δmax = 16 with a 30-step horizon, costs 1.252 ms on average and 113.74 ms at worst. Fig. 12(b) plots measured time against the two parameters. The cost is set at configuration time rather than by the data: for a given action set, horizon and dead time the search has a fixed shape, and the spread across seeds reflects only how often admissibility prunes a branch.</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frontier matters as much as the timings. Exact solution is affordable in two regions — short horizons, where few actions reach inside the horizon at all, and horizons long enough relative to the dead time that the pending queue stops distinguishing states — but not in the band between them, and not at large action sets, where the branching factor dominates both. The default configuration sits inside the affordable region, which is why exact results can be reported throughout this paper; a pool with a much larger rate limit would not allow it.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consequence for the paper’s argument is narrower than it was before the solver was corrected. Relaxation saves real compute: at the default configuration it is the difference between 20.2 ms and a few tenths of a millisecond per tick. What it does not save is anything that is scarce. The saving is 0.40 % of a control interval that the controller spends idle, set against a behavioural difference on a large fraction of control decisions. Relaxation at container-pool scale is therefore not a performance optimisation but a modelling choice, and one whose cost is now measured. The argument does not carry to cluster-scale problems with hundreds of coupled decision variables: there the exact search is not available at all, as the frontier above already shows in miniature.</w:t>
      </w:r>
    </w:p>
    <w:p>
      <w:pPr>
        <w:sectPr>
          <w:footerReference w:type="default" r:id="rId4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305550" cy="20859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12. Solve-time scaling against action-set size and horizon. Points beyond the exact solver’s node budget were produced by the greedy completion and are not times for Algorithm 2. Synthetic traces.</w:t>
      </w:r>
    </w:p>
    <w:p>
      <w:pPr>
        <w:sectPr>
          <w:footerReference w:type="default" r:id="rId5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I. Exact Versus Greedy-Completion Solving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V-H establishes that exact solving is affordable. This section asks the prior question of whether it is necessary, by comparing Algorithm 2 against the cheaper solver it replaced: one that enumerates the admissible first actions but completes each horizon by tracking demand myopically. Both solvers were given the same 1200 plant states, drawn to span the reachable range of replica count, in-flight queue, previous action and forecast slope, and both were scored with the same objective (7)-(9).</w:t>
      </w:r>
    </w:p>
    <w:p>
      <w:pPr>
        <w:sectPr>
          <w:footerReference w:type="default" r:id="rId5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720"/>
        <w:gridCol w:w="3360"/>
      </w:tblGrid>
      <w:tr>
        <w:trPr>
          <w:cantSplit/>
          <w:tblHeader/>
        </w:trPr>
        <w:tc>
          <w:tcPr>
            <w:tcW w:type="dxa" w:w="6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Quantity</w:t>
            </w:r>
          </w:p>
        </w:tc>
        <w:tc>
          <w:tcPr>
            <w:tcW w:type="dxa" w:w="33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5"/>
                <w:szCs w:val="15"/>
              </w:rPr>
              <w:t xml:space="preserve">Value</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Dead time τ, horizon H, tracking-relevant actions m</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9, 12, 4</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Plant states compared</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1200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1070 (89.17 %)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First actions in disagreement</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130 (10.83 %)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worse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540 (45.00 %)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completion attains a better objective</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1.970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Largest objective excess of greedy completion</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31.80</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Mean relative objective excess</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1.148 %</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Exact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18.08 / 23.72 / 39.44 ms</w:t>
            </w:r>
          </w:p>
        </w:tc>
      </w:tr>
      <w:tr>
        <w:trPr>
          <w:cantSplit/>
        </w:trPr>
        <w:tc>
          <w:tcPr>
            <w:tcW w:type="dxa" w:w="672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Greedy solve time, median / p95 / max</w:t>
            </w:r>
          </w:p>
        </w:tc>
        <w:tc>
          <w:tcPr>
            <w:tcW w:type="dxa" w:w="336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5"/>
                <w:szCs w:val="15"/>
              </w:rPr>
              <w:t xml:space="preserve">0.253 / 0.375 / 2.493 ms</w:t>
            </w:r>
          </w:p>
        </w:tc>
      </w:tr>
    </w:tbl>
    <w:p>
      <w:pPr>
        <w:keepLines/>
        <w:spacing w:after="180" w:before="70"/>
        <w:jc w:val="center"/>
      </w:pPr>
      <w:r>
        <w:rPr>
          <w:rFonts w:ascii="Times New Roman" w:cs="Times New Roman" w:eastAsia="Times New Roman" w:hAnsi="Times New Roman"/>
          <w:sz w:val="16"/>
          <w:szCs w:val="16"/>
        </w:rPr>
        <w:t xml:space="preserve">Table XII. Algorithm 2 against enumeration with greedy horizon completion, on the configuration used throughout this paper. Objective excess is in units of the cost (7).</w:t>
      </w:r>
    </w:p>
    <w:p>
      <w:pPr>
        <w:sectPr>
          <w:footerReference w:type="default" r:id="rId5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solvers choose the same action on 89.17 % of states and differ on the remaining 10.83 %. On 45.00 % of states the greedy completion lands on a plan of strictly higher cost, and on none does it beat Algorithm 2 — the expected signature of an exact reference, and the reason the comparison is reported in this direction rather than as a symmetric disagreement rate.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features of the gap matter more than its size. It is one-sided, so the greedy completion is a relaxation of the same problem rather than a different trade-off; and it is concentrated rather than uniform, with a mean relative excess of 1.148 % against a maximum of 99.5 %. The states where it errs are those whose optimal plan ends the horizon on a large action, which is precisely where zeroing the tail misprices the churn term. A controller built on the greedy completion is therefore not uniformly slightly worse; it is almost always identical and occasionally substantially wrong.</w:t>
      </w:r>
    </w:p>
    <w:p>
      <w:pPr>
        <w:sectPr>
          <w:footerReference w:type="default" r:id="rId53"/>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305550" cy="202882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13. Algorithm 2 against greedy horizon completion over the same plant states. (a) Disagreement is not uniform over the action space: it peaks on moderate scale-downs and nearly vanishes on large scale-ups. (b) The objective excess is one-sided by construction; no tick favours the greedy completion. (c) Solve time for both, against the control interval.</w:t>
      </w:r>
    </w:p>
    <w:p>
      <w:pPr>
        <w:sectPr>
          <w:footerReference w:type="default" r:id="rId5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disagreement is structured rather than scattered, as Fig. 13(a) shows. It peaks at u*(t) = -2, where the two solvers choose differently on 38.5 % of ticks, and falls to 1.3 % once the exact action is a scale-up of three or more. That shape follows from the mechanism: a large scale-up saturates the rate limit, so every completion agrees on it, whereas a moderate scale-down leaves room for the horizon to be finished several ways and the mispriced tail decides between them. The cases the approximation gets wrong are therefore the ordinary ones, not the extreme ones. Fig. 13(b) shows the excess is one-sided, and Fig. 13(c) the two solve-time distributions against the control interval.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consequence reaches past the solver and into how the controller is tuned. The control-parameter sweep of Section V-G was run once under each solver, with the same workloads, the same seeds and the same configuration, so the pair isolates what approximating the solve does to a tuning conclusion. Under the greedy completion, raising the churn weight to unity drove the violation rate to 0.013 % and held it there across every larger value tested. Under Algorithm 2 the same sweep sits near 0.58 %, and the largest divergence over the sweep is 0.013 % against 0.61 % at s = 1.5.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qualitative reading of that sweep is unchanged: raising s still improves service level, capacity and oscillation together, from 39.5 % over-provisioning and 51.9 oscillations at s = 0 to 22.2 % and 29.3 at s = 1. What was not a property of the controller is the size of the effect. The mechanism is the one Section III-E sets out: greedy completion zeroes the tail, a zero tail misprices precisely the term s scales, and raising s magnifies the mispricing. An approximate solver therefore misleads most where the parameter being tuned is the one the approximation distorts, which is not where a reader would think to look for it.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Exactness costs roughly 72 times the compute of the greedy completion. That multiplier is the real price of the claim. In absolute terms the worst observed solve took 39.4 ms, or 0.79 % of the five-second control interval, so the multiplier is large and the absolute cost is not.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That cost is not always payable. The reduction in Section III-E is strong when the dead time is long relative to the horizon, and the memoised recursion is cheap when the dead time is short enough for the pending queue to collapse distinct prefixes onto one state. Between the two lies a band — a queue long enough to keep states distinct and a horizon long enough to make m large — where neither applies, and there the controller falls back to the greedy completion rather than stall the loop. Every result at the configuration used throughout this paper is solved exactly. The horizon sweep of Section V-A is the one experiment that crosses the band: 46 of its 60 cells are solved exactly and 14 are not, with each run recording which solver produced it. The fallbacks all sit well above the boundary, where the controller is already at its floor; every cell immediately either side of HΔt = τc is solved exactly, so the transition itself is measured without the approximation.</w:t>
      </w:r>
    </w:p>
    <w:p>
      <w:pPr>
        <w:spacing w:after="100" w:before="200"/>
      </w:pPr>
      <w:r>
        <w:rPr>
          <w:rFonts w:ascii="Times New Roman" w:cs="Times New Roman" w:eastAsia="Times New Roman" w:hAnsi="Times New Roman"/>
          <w:b/>
          <w:bCs/>
          <w:i/>
          <w:iCs/>
          <w:sz w:val="19"/>
          <w:szCs w:val="19"/>
        </w:rPr>
        <w:t xml:space="preserve">J. Robustness to Actuation Delay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V-A varied the horizon at fixed cold start. The complementary experiment fixes the horizon at a value that satisfies (6) everywhere and varies the cold start instead, which isolates the controller’s tolerance of actuation delay from the question of whether the horizon is adequate. Table XIII reports it and Fig. 14 shows both panels.</w:t>
      </w:r>
    </w:p>
    <w:p>
      <w:pPr>
        <w:sectPr>
          <w:footerReference w:type="default" r:id="rId55"/>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042"/>
        <w:gridCol w:w="1624"/>
        <w:gridCol w:w="1506"/>
        <w:gridCol w:w="1506"/>
        <w:gridCol w:w="1390"/>
        <w:gridCol w:w="1506"/>
        <w:gridCol w:w="1506"/>
      </w:tblGrid>
      <w:tr>
        <w:trPr>
          <w:cantSplit/>
          <w:tblHeader/>
        </w:trPr>
        <w:tc>
          <w:tcPr>
            <w:tcW w:type="dxa" w:w="104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τc (s)</w:t>
            </w:r>
          </w:p>
        </w:tc>
        <w:tc>
          <w:tcPr>
            <w:tcW w:type="dxa" w:w="162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viol. (%)</w:t>
            </w:r>
          </w:p>
        </w:tc>
        <w:tc>
          <w:tcPr>
            <w:tcW w:type="dxa" w:w="13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0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Reactive</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14.2</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0.45</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16.7</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1.50</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91.9</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2.92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93.1</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20.1</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2.73</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42.7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92.8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20.9</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6.95</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4.58</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58.3</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21.0</w:t>
            </w:r>
          </w:p>
        </w:tc>
      </w:tr>
      <w:tr>
        <w:trPr>
          <w:cantSplit/>
        </w:trPr>
        <w:tc>
          <w:tcPr>
            <w:tcW w:type="dxa" w:w="104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2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1.72</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9.47</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6.40</w:t>
            </w:r>
          </w:p>
        </w:tc>
        <w:tc>
          <w:tcPr>
            <w:tcW w:type="dxa" w:w="13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52.4</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91.8</w:t>
            </w:r>
          </w:p>
        </w:tc>
        <w:tc>
          <w:tcPr>
            <w:tcW w:type="dxa" w:w="150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20.5</w:t>
            </w:r>
          </w:p>
        </w:tc>
      </w:tr>
    </w:tbl>
    <w:p>
      <w:pPr>
        <w:keepLines/>
        <w:spacing w:after="180" w:before="70"/>
        <w:jc w:val="center"/>
      </w:pPr>
      <w:r>
        <w:rPr>
          <w:rFonts w:ascii="Times New Roman" w:cs="Times New Roman" w:eastAsia="Times New Roman" w:hAnsi="Times New Roman"/>
          <w:sz w:val="16"/>
          <w:szCs w:val="16"/>
        </w:rPr>
        <w:t xml:space="preserve">Table XIII. Sensitivity to cold-start latency with the horizon fixed at H = 30 (150 s lookahead), which satisfies (6) at every value shown. Synthetic traces, 3 families × 5 seeds = 15 runs per cell.</w:t>
      </w:r>
    </w:p>
    <w:p>
      <w:pPr>
        <w:sectPr>
          <w:footerReference w:type="default" r:id="rId56"/>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With an adequate horizon the integer-exact controller is close to insensitive to actuation delay over the practical range. Violations stay between 0.02 % and 0.08 % as the cold start grows from 5 s to 60 s, a factor of twelve in delay. The reactive controller degrades steadily over the same range, from 0.20 % to 2.73 %, and the rounded controller degrades faster still, from 0.28 % to 4.28 %. At the longest delay tested, 120 s, the three sit at 1.72 %, 6.40 % and 9.47 % respectively.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is the experiment that demonstrates what the ablation of Section V-E could not. In that ablation, disabling the dead-time term changed nothing, because the horizon remained long enough that the optimiser could compensate implicitly. Here the dead time itself is the variable, and the separation between the predictive and reactive controllers grows monotonically with it. Dead-time tolerance is therefore a property of the predictive formulation as a whole rather than of the explicit delay term in (5), and the paper’s claim is stated at that level.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churn panel adds a second observation. The rounded controller’s action count is essentially flat at roughly 93 per run regardless of delay, because its oscillation is driven by fractional rounding rather than by the plant. The exact controller’s action count varies with delay, as a controller responding to the plant should.</w:t>
      </w:r>
    </w:p>
    <w:p>
      <w:pPr>
        <w:sectPr>
          <w:footerReference w:type="default" r:id="rId57"/>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305550" cy="245745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14. Service level and churn against cold-start latency at a fixed adequate horizon. Synthetic traces.</w:t>
      </w:r>
    </w:p>
    <w:p>
      <w:pPr>
        <w:sectPr>
          <w:footerReference w:type="default" r:id="rId58"/>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K. Per-Workload Behaviour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aggregate figures of Section V-D average over five demand shapes that stress the controller differently. Table XIV disaggregates them, and the variation is large enough that the aggregate alone would be misleading.</w:t>
      </w:r>
    </w:p>
    <w:p>
      <w:pPr>
        <w:sectPr>
          <w:footerReference w:type="default" r:id="rId59"/>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1456"/>
        <w:gridCol w:w="1456"/>
        <w:gridCol w:w="1904"/>
        <w:gridCol w:w="1904"/>
        <w:gridCol w:w="1008"/>
        <w:gridCol w:w="1344"/>
        <w:gridCol w:w="1008"/>
      </w:tblGrid>
      <w:tr>
        <w:trPr>
          <w:cantSplit/>
          <w:tblHeader/>
        </w:trPr>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Workload</w:t>
            </w:r>
          </w:p>
        </w:tc>
        <w:tc>
          <w:tcPr>
            <w:tcW w:type="dxa" w:w="14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Method</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Violation (%)</w:t>
            </w:r>
          </w:p>
        </w:tc>
        <w:tc>
          <w:tcPr>
            <w:tcW w:type="dxa" w:w="190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Over-prov. (%)</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Actions</w:t>
            </w:r>
          </w:p>
        </w:tc>
        <w:tc>
          <w:tcPr>
            <w:tcW w:type="dxa" w:w="134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Oscillations</w:t>
            </w:r>
          </w:p>
        </w:tc>
        <w:tc>
          <w:tcPr>
            <w:tcW w:type="dxa" w:w="100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p95 (ms)</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Diurnal</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18.4 ± 1.7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37.4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0.30 ± 0.35</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119.0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109.7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45.6 ± 13.2</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16.4</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47.9 ± 0.6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Burst</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22.6 ± 2.4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49.8</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35.2</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5.17 ± 1.18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4.2 ± 0.7</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84.3</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168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2.45 ± 0.51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87.1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27.2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158.4 ± 10.9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Ramp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13.6 ± 0.8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35.9</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25.6</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91</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0.25 ± 0.29</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116.0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101.1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0.03 ± 0.08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41.3 ± 2.5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15.5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88</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97.2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80</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Step</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0.28 ± 0.14</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9.9 ± 0.5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32.2</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26.9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101</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2.38 ± 0.21</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3.6 ± 0.3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64.6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57.4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2.50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13.6 ± 1.3</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6.7</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213</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89.6 ± 8.9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Sawtooth</w:t>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Exact MPC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4.00 ± 1.70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52.2 ± 11.5</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52.0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30.0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97</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Rounded</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0.35 ± 0.58</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2.8 ± 0.1</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107.5</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82.4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105</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Reactive</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72.6 ± 11.8</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18.6</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5.4</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84</w:t>
            </w:r>
          </w:p>
        </w:tc>
      </w:tr>
      <w:tr>
        <w:trPr>
          <w:cantSplit/>
        </w:trPr>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
            </w:r>
          </w:p>
        </w:tc>
        <w:tc>
          <w:tcPr>
            <w:tcW w:type="dxa" w:w="1456"/>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Static</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0.00 ± 0.00</w:t>
            </w:r>
          </w:p>
        </w:tc>
        <w:tc>
          <w:tcPr>
            <w:tcW w:type="dxa" w:w="190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61.8 ± 6.9</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1.0</w:t>
            </w:r>
          </w:p>
        </w:tc>
        <w:tc>
          <w:tcPr>
            <w:tcW w:type="dxa" w:w="134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0.0</w:t>
            </w:r>
          </w:p>
        </w:tc>
        <w:tc>
          <w:tcPr>
            <w:tcW w:type="dxa" w:w="100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2"/>
                <w:szCs w:val="12"/>
              </w:rPr>
              <w:t xml:space="preserve">81</w:t>
            </w:r>
          </w:p>
        </w:tc>
      </w:tr>
    </w:tbl>
    <w:p>
      <w:pPr>
        <w:keepLines/>
        <w:spacing w:after="180" w:before="70"/>
        <w:jc w:val="center"/>
      </w:pPr>
      <w:r>
        <w:rPr>
          <w:rFonts w:ascii="Times New Roman" w:cs="Times New Roman" w:eastAsia="Times New Roman" w:hAnsi="Times New Roman"/>
          <w:sz w:val="16"/>
          <w:szCs w:val="16"/>
        </w:rPr>
        <w:t xml:space="preserve">Table XIV. Per-workload breakdown. Synthetic traces, 10 seeds per row, oracle predictor; values are mean ± one standard deviation.</w:t>
      </w:r>
    </w:p>
    <w:p>
      <w:pPr>
        <w:sectPr>
          <w:footerReference w:type="default" r:id="rId60"/>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burst family separates the methods most sharply. There the rounded controller reaches 5.17 % violations against 0.00 % for the exact controller, the largest gap in the table, because a burst drives the pool through many integer boundaries in quick succession and every crossing is an opportunity for the rounding error to change the decision. The diurnal and ramp families, whose demand changes slowly relative to the control interval, show almost no separation at all — 0.30 % against 0.00 % on diurnal traffic. The advantage of exact solution is therefore concentrated in workloads with fast transitions, which is also where an auto-scaler is most needed and least likely to perform well.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sawtooth family is the one case where the exact controller is worse, at 4.00 % against 0.35 %, and the standard deviation across seeds is correspondingly large at 1.70. A sawtooth resets demand discontinuously every ninety ticks; the churn penalty resists the repeated scale-down that the shape demands, and the controller spends part of each period recovering. This is a genuine failure mode of the churn penalty under periodic discontinuity and is reported as such rather than averaged away.</w:t>
      </w:r>
    </w:p>
    <w:p>
      <w:pPr>
        <w:sectPr>
          <w:footerReference w:type="default" r:id="rId61"/>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305550" cy="2476500"/>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15. Per-workload service level and capacity cost. Whiskers are one standard deviation over 10 seeds. Synthetic traces.</w:t>
      </w:r>
    </w:p>
    <w:p>
      <w:pPr>
        <w:sectPr>
          <w:footerReference w:type="default" r:id="rId62"/>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L. Decision-Level Analysis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each tick as a three-way classification into scale-up, hold and scale-down against the requirement implied by the observed load gives a finer view than the aggregate rates. Table XV reports it with bootstrap intervals and Fig. 16 shows it. The numbers are low in absolute terms for every method, and the reason is worth stating because it bears on how such metrics should be read.</w:t>
      </w:r>
    </w:p>
    <w:p>
      <w:pPr>
        <w:sectPr>
          <w:footerReference w:type="default" r:id="rId6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290"/>
        <w:gridCol w:w="2522"/>
        <w:gridCol w:w="2520"/>
        <w:gridCol w:w="1374"/>
        <w:gridCol w:w="1374"/>
      </w:tblGrid>
      <w:tr>
        <w:trPr>
          <w:cantSplit/>
          <w:tblHeader/>
        </w:trPr>
        <w:tc>
          <w:tcPr>
            <w:tcW w:type="dxa" w:w="229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Method</w:t>
            </w:r>
          </w:p>
        </w:tc>
        <w:tc>
          <w:tcPr>
            <w:tcW w:type="dxa" w:w="252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recall</w:t>
            </w:r>
          </w:p>
        </w:tc>
        <w:tc>
          <w:tcPr>
            <w:tcW w:type="dxa" w:w="25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Scale-up precision</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Hold F1</w:t>
            </w:r>
          </w:p>
        </w:tc>
        <w:tc>
          <w:tcPr>
            <w:tcW w:type="dxa" w:w="137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Accuracy</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(oracle)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0.071 [0.061, 0.083]</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0.146 [0.127, 0.166]</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0.821</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0.695</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Exact MPC (persistence)</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0.211 [0.198, 0.224]</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0.354 [0.324, 0.383]</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0.822</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0.706</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Relaxed + rounded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0.040]</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0.027 [0.018, 0.039]</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0.830</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0.636</w:t>
            </w:r>
          </w:p>
        </w:tc>
      </w:tr>
      <w:tr>
        <w:trPr>
          <w:cantSplit/>
        </w:trPr>
        <w:tc>
          <w:tcPr>
            <w:tcW w:type="dxa" w:w="229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Reactive threshold</w:t>
            </w:r>
          </w:p>
        </w:tc>
        <w:tc>
          <w:tcPr>
            <w:tcW w:type="dxa" w:w="252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0.042 [0.033, 0.052]</w:t>
            </w:r>
          </w:p>
        </w:tc>
        <w:tc>
          <w:tcPr>
            <w:tcW w:type="dxa" w:w="25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0.221 [0.190, 0.255]</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0.844</w:t>
            </w:r>
          </w:p>
        </w:tc>
        <w:tc>
          <w:tcPr>
            <w:tcW w:type="dxa" w:w="1374"/>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0.732</w:t>
            </w:r>
          </w:p>
        </w:tc>
      </w:tr>
    </w:tbl>
    <w:p>
      <w:pPr>
        <w:keepLines/>
        <w:spacing w:after="180" w:before="70"/>
        <w:jc w:val="center"/>
      </w:pPr>
      <w:r>
        <w:rPr>
          <w:rFonts w:ascii="Times New Roman" w:cs="Times New Roman" w:eastAsia="Times New Roman" w:hAnsi="Times New Roman"/>
          <w:sz w:val="16"/>
          <w:szCs w:val="16"/>
        </w:rPr>
        <w:t xml:space="preserve">Table XV. Per-tick decision classification against the observed requirement. Synthetic traces, 50 runs per row; intervals are 95 % bootstrap.</w:t>
      </w:r>
    </w:p>
    <w:p>
      <w:pPr>
        <w:sectPr>
          <w:footerReference w:type="default" r:id="rId6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Scale-up recall is low for every method, between 0.027 and 0.211. This is a property of the ground-truth definition rather than of the controllers. The requirement series is computed per tick from the instantaneous arrival rate and therefore changes on most ticks, including by a single replica in response to noise, whereas a well-behaved controller deliberately does not track every such change. A controller that matched this ground truth tick for tick would be the oscillating controller the design is intended to avoid. The metric is reported for completeness and because it is standard in the literature, but it should not be read as a quality ranking, and the paper does not use it as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one comparison it does support is between predictors at fixed control law. Moving from persistence to perfect foresight changes scale-up recall from 0.211 to 0.071 and precision from 0.354 to 0.146. The persistence predictor scores higher on both, which at first appears paradoxical. It follows from the same definitional issue: persistence reacts to the most recent observation and therefore produces decisions that correlate with a per-tick ground truth derived from that same observation, while the oracle acts on demand that has not yet arrived and is scored as wrong until it does. The aggregate service-level figures in Table IV, where the oracle is ahead, are the more meaningful comparison.</w:t>
      </w:r>
    </w:p>
    <w:p>
      <w:pPr>
        <w:sectPr>
          <w:footerReference w:type="default" r:id="rId65"/>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305550" cy="23145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16. Per-tick decision classification with 95 % bootstrap intervals. Synthetic traces.</w:t>
      </w:r>
    </w:p>
    <w:p>
      <w:pPr>
        <w:sectPr>
          <w:footerReference w:type="default" r:id="rId66"/>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M. Response to Predictor Quality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bracketing protocol of Section IV-C bounds the predictor’s contribution but leaves the interior unmeasured, and a real forecaster lives in that interior. To fill it, a blended predictor was constructed that returns a convex combination of the two brackets, with weight w on perfect foresight and 1 − w on persistence. Sweeping w traces the controller’s response to predictor quality without requiring any particular model to be trained. Table XVI reports the sweep and Fig. 17 shows it.</w:t>
      </w:r>
    </w:p>
    <w:p>
      <w:pPr>
        <w:sectPr>
          <w:footerReference w:type="default" r:id="rId67"/>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792"/>
        <w:gridCol w:w="1585"/>
        <w:gridCol w:w="1702"/>
        <w:gridCol w:w="1359"/>
        <w:gridCol w:w="1585"/>
        <w:gridCol w:w="1698"/>
        <w:gridCol w:w="1359"/>
      </w:tblGrid>
      <w:tr>
        <w:trPr>
          <w:cantSplit/>
          <w:tblHeader/>
        </w:trPr>
        <w:tc>
          <w:tcPr>
            <w:tcW w:type="dxa" w:w="7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w</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70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Exact MPC</w:t>
            </w:r>
          </w:p>
          <w:p>
            <w:pPr>
              <w:keepNext/>
              <w:keepLines/>
              <w:spacing w:after="0" w:line="210"/>
              <w:jc w:val="center"/>
            </w:pPr>
            <w:r>
              <w:rPr>
                <w:rFonts w:ascii="Times New Roman" w:cs="Times New Roman" w:eastAsia="Times New Roman" w:hAnsi="Times New Roman"/>
                <w:b/>
                <w:bCs/>
                <w:sz w:val="13"/>
                <w:szCs w:val="13"/>
              </w:rPr>
              <w:t xml:space="preserve">actions</w:t>
            </w:r>
          </w:p>
        </w:tc>
        <w:tc>
          <w:tcPr>
            <w:tcW w:type="dxa" w:w="1585"/>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violation (%)</w:t>
            </w:r>
          </w:p>
        </w:tc>
        <w:tc>
          <w:tcPr>
            <w:tcW w:type="dxa" w:w="1698"/>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over-prov. (%)</w:t>
            </w:r>
          </w:p>
        </w:tc>
        <w:tc>
          <w:tcPr>
            <w:tcW w:type="dxa" w:w="135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3"/>
                <w:szCs w:val="13"/>
              </w:rPr>
              <w:t xml:space="preserve">Rounded</w:t>
            </w:r>
          </w:p>
          <w:p>
            <w:pPr>
              <w:keepNext/>
              <w:keepLines/>
              <w:spacing w:after="0" w:line="210"/>
              <w:jc w:val="center"/>
            </w:pPr>
            <w:r>
              <w:rPr>
                <w:rFonts w:ascii="Times New Roman" w:cs="Times New Roman" w:eastAsia="Times New Roman" w:hAnsi="Times New Roman"/>
                <w:b/>
                <w:bCs/>
                <w:sz w:val="13"/>
                <w:szCs w:val="13"/>
              </w:rPr>
              <w:t xml:space="preserve">actions</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28.2</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55.7</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1.76</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98.4</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0.2</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1.01</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25.1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50.9</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1.47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68.8</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0.4</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0.66</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22.3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46.1</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1.20</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50.6</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0.6</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0.33</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18.8</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39.1</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1.21</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50.0</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0.8</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0.05</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17.5</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38.3</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1.38</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67.1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0.9</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0.33</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19.1</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39.3</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1.57</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3.4</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80.1</w:t>
            </w:r>
          </w:p>
        </w:tc>
      </w:tr>
      <w:tr>
        <w:trPr>
          <w:cantSplit/>
        </w:trPr>
        <w:tc>
          <w:tcPr>
            <w:tcW w:type="dxa" w:w="79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0.97</w:t>
            </w:r>
          </w:p>
        </w:tc>
        <w:tc>
          <w:tcPr>
            <w:tcW w:type="dxa" w:w="1702"/>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23.6</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43.0</w:t>
            </w:r>
          </w:p>
        </w:tc>
        <w:tc>
          <w:tcPr>
            <w:tcW w:type="dxa" w:w="1585"/>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1.83</w:t>
            </w:r>
          </w:p>
        </w:tc>
        <w:tc>
          <w:tcPr>
            <w:tcW w:type="dxa" w:w="1698"/>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3.3</w:t>
            </w:r>
          </w:p>
        </w:tc>
        <w:tc>
          <w:tcPr>
            <w:tcW w:type="dxa" w:w="1359"/>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3"/>
                <w:szCs w:val="13"/>
              </w:rPr>
              <w:t xml:space="preserve">94.4</w:t>
            </w:r>
          </w:p>
        </w:tc>
      </w:tr>
    </w:tbl>
    <w:p>
      <w:pPr>
        <w:keepLines/>
        <w:spacing w:after="180" w:before="70"/>
        <w:jc w:val="center"/>
      </w:pPr>
      <w:r>
        <w:rPr>
          <w:rFonts w:ascii="Times New Roman" w:cs="Times New Roman" w:eastAsia="Times New Roman" w:hAnsi="Times New Roman"/>
          <w:sz w:val="16"/>
          <w:szCs w:val="16"/>
        </w:rPr>
        <w:t xml:space="preserve">Table XVI. Response to predictor quality. w = 0 is the persistence bracket and w = 1 the perfect-foresight bracket. Synthetic traces, 5 families × 6 seeds = 30 runs per cell.</w:t>
      </w:r>
    </w:p>
    <w:p>
      <w:pPr>
        <w:sectPr>
          <w:footerReference w:type="default" r:id="rId68"/>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response is not monotone, and that is the substantive finding. For the integer-exact controller the violation rate falls from 1.07 % at pure persistence to a minimum of 0.05 % at w = 0.8, then rises again to 0.97 % at perfect foresight. The rounded controller shows the same shape with its minimum at w = 0.5. A perfectly accurate forecast is therefore not the best forecast for either controller on these workloads.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mechanism is visible in the churn panel of Fig. 17. A perfect forecast reproduces every fluctuation in demand, including the noise, and the controller tracks it; actions rise from 38.3 at the optimum to 43.0 at w = 1. Blending in a persistence component low-pass filters the forecast, and the resulting slight lag behaves like a small damping term. The controller acts less often, holds a steadier pool, and ends up violating less. The effect is stronger for the rounded controller, whose action count more than doubles from 49.2 at its optimum to 94.4 at perfect foresight, because its fractional oscillation compounds with the unfiltered signal.</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consequences follow for how such systems should be built and evaluated. First, optimising a forecaster for accuracy alone optimises the wrong objective, which is the methodological point the paper makes in Section I and here measures directly: an accuracy improvement that sharpens the predicted signal can degrade the closed loop. Second, the bracketing protocol is conservative in an unexpected direction. Because the interior of the range outperforms both endpoints, the reported bracket does not contain the best achievable result, and a trained forecaster of intermediate sharpness could plausibly perform better than either bracket rather than between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 should not be over-read. It was obtained on synthetic traces whose noise is additive and Gaussian, and the damping benefit depends on that noise being uninformative. On a workload whose high-frequency content carries real demand, filtering it away would cost service level rather than save it. What the experiment establishes is that the relationship between forecast accuracy and control performance is not monotone, not the location of the optimum in general.</w:t>
      </w:r>
    </w:p>
    <w:p>
      <w:pPr>
        <w:sectPr>
          <w:footerReference w:type="default" r:id="rId69"/>
          <w:type w:val="continuous"/>
          <w:pgSz w:w="12240" w:h="15840" w:orient="portrait"/>
          <w:pgMar w:top="1150" w:right="1080" w:bottom="1150" w:left="1080" w:header="708" w:footer="708" w:gutter="0"/>
          <w:pgNumType/>
          <w:cols w:space="400" w:num="2" w:equalWidth="true"/>
          <w:docGrid w:linePitch="360"/>
        </w:sectPr>
      </w:pPr>
    </w:p>
    <w:p>
      <w:pPr>
        <w:keepNext/>
        <w:spacing w:after="40" w:before="140"/>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305550" cy="2390775"/>
                    </a:xfrm>
                    <a:prstGeom prst="rect">
                      <a:avLst/>
                    </a:prstGeom>
                  </pic:spPr>
                </pic:pic>
              </a:graphicData>
            </a:graphic>
          </wp:inline>
        </w:drawing>
      </w:r>
    </w:p>
    <w:p>
      <w:pPr>
        <w:keepLines/>
        <w:spacing w:after="180" w:before="70"/>
        <w:jc w:val="center"/>
      </w:pPr>
      <w:r>
        <w:rPr>
          <w:rFonts w:ascii="Times New Roman" w:cs="Times New Roman" w:eastAsia="Times New Roman" w:hAnsi="Times New Roman"/>
          <w:sz w:val="16"/>
          <w:szCs w:val="16"/>
        </w:rPr>
        <w:t xml:space="preserve">Fig. 17. Controller response to predictor quality. The violation-rate minimum for both controllers lies strictly inside the bracket rather than at perfect foresight. Synthetic traces.</w:t>
      </w:r>
    </w:p>
    <w:p>
      <w:pPr>
        <w:sectPr>
          <w:footerReference w:type="default" r:id="rId70"/>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N. Configuration Guidance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measurements support a short configuration procedure, stated here because the parameters interact and the order matters.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Measure the cold-start latency of the deployed image, including image pull on a cold cache, readiness probing and load-balancer registration. This single measurement determines the horizon through (6) and is the one parameter that cannot be guessed.</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horizon to the smallest value satisfying HΔt ≥ τc, then add one interval of slack. Section V-A shows the penalty for an under-sized horizon is severe and the benefit of oversizing it is negligible, so the asymmetry favours erring long.</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cooldown next. Section V-G shows it is the dominant stability control; 60 s was adequate on every workload tested and longer values continued to help.</w:t>
      </w:r>
    </w:p>
    <w:p>
      <w:pPr>
        <w:pStyle w:val="ListParagraph"/>
        <w:numPr>
          <w:ilvl w:val="0"/>
          <w:numId w:val="2"/>
        </w:numPr>
        <w:spacing w:after="70" w:line="240"/>
        <w:jc w:val="both"/>
      </w:pPr>
      <w:r>
        <w:rPr>
          <w:rFonts w:ascii="Times New Roman" w:cs="Times New Roman" w:eastAsia="Times New Roman" w:hAnsi="Times New Roman"/>
          <w:sz w:val="19"/>
          <w:szCs w:val="19"/>
        </w:rPr>
        <w:t xml:space="preserve">Set the churn weight to approximately unity. Below that value stability degrades; above it nothing changes.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Leave the deadband at zero or one and the cost asymmetry at any moderate value. Neither was found to matter, and a deadband of two or more trades service level for stability that the cooldown already provides more cheaply.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procedure assumes a single replica pool with the plant characteristics described in Section IV-A and should be re-validated before transfer to a different deployment, particularly one in which several services share hosts.</w:t>
      </w:r>
    </w:p>
    <w:p>
      <w:pPr>
        <w:spacing w:after="100" w:before="200"/>
      </w:pPr>
      <w:r>
        <w:rPr>
          <w:rFonts w:ascii="Times New Roman" w:cs="Times New Roman" w:eastAsia="Times New Roman" w:hAnsi="Times New Roman"/>
          <w:b/>
          <w:bCs/>
          <w:i/>
          <w:iCs/>
          <w:sz w:val="19"/>
          <w:szCs w:val="19"/>
        </w:rPr>
        <w:t xml:space="preserve">O. Decision Trace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Aggregate metrics describe behaviour but not mechanism. Table XVII reproduces sixteen consecutive control ticks from a single run, taken from the rise of the first burst on the burst trace, with every intermediate quantity the controller computes. It is included because the differences the aggregate tables report are visible here as individual decisions, and because an auto-scaler that cannot be read tick by tick cannot be debugged.</w:t>
      </w:r>
    </w:p>
    <w:p>
      <w:pPr>
        <w:sectPr>
          <w:footerReference w:type="default" r:id="rId71"/>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660"/>
        <w:gridCol w:w="840"/>
        <w:gridCol w:w="900"/>
        <w:gridCol w:w="1080"/>
        <w:gridCol w:w="900"/>
        <w:gridCol w:w="720"/>
        <w:gridCol w:w="840"/>
        <w:gridCol w:w="780"/>
        <w:gridCol w:w="780"/>
        <w:gridCol w:w="660"/>
        <w:gridCol w:w="1140"/>
        <w:gridCol w:w="780"/>
      </w:tblGrid>
      <w:tr>
        <w:trPr>
          <w:cantSplit/>
          <w:tblHeader/>
        </w:trPr>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Tick</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λ</w:t>
            </w:r>
          </w:p>
          <w:p>
            <w:pPr>
              <w:keepNext/>
              <w:keepLines/>
              <w:spacing w:after="0" w:line="210"/>
              <w:jc w:val="center"/>
            </w:pPr>
            <w:r>
              <w:rPr>
                <w:rFonts w:ascii="Times New Roman" w:cs="Times New Roman" w:eastAsia="Times New Roman" w:hAnsi="Times New Roman"/>
                <w:b/>
                <w:bCs/>
                <w:sz w:val="11"/>
                <w:szCs w:val="11"/>
              </w:rPr>
              <w:t xml:space="preserve">(req/s)</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Observed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10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Forecast</w:t>
            </w:r>
          </w:p>
          <w:p>
            <w:pPr>
              <w:keepNext/>
              <w:keepLines/>
              <w:spacing w:after="0" w:line="210"/>
              <w:jc w:val="center"/>
            </w:pPr>
            <w:r>
              <w:rPr>
                <w:rFonts w:ascii="Times New Roman" w:cs="Times New Roman" w:eastAsia="Times New Roman" w:hAnsi="Times New Roman"/>
                <w:b/>
                <w:bCs/>
                <w:sz w:val="11"/>
                <w:szCs w:val="11"/>
              </w:rPr>
              <w:t xml:space="preserve">u at h=12</w:t>
            </w:r>
          </w:p>
        </w:tc>
        <w:tc>
          <w:tcPr>
            <w:tcW w:type="dxa" w:w="90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Demand</w:t>
            </w:r>
          </w:p>
          <w:p>
            <w:pPr>
              <w:keepNext/>
              <w:keepLines/>
              <w:spacing w:after="0" w:line="210"/>
              <w:jc w:val="center"/>
            </w:pPr>
            <w:r>
              <w:rPr>
                <w:rFonts w:ascii="Times New Roman" w:cs="Times New Roman" w:eastAsia="Times New Roman" w:hAnsi="Times New Roman"/>
                <w:b/>
                <w:bCs/>
                <w:sz w:val="11"/>
                <w:szCs w:val="11"/>
              </w:rPr>
              <w:t xml:space="preserve">Ñ(t+1)</w:t>
            </w:r>
          </w:p>
        </w:tc>
        <w:tc>
          <w:tcPr>
            <w:tcW w:type="dxa" w:w="72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MPC</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8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Rounded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After</w:t>
            </w:r>
          </w:p>
          <w:p>
            <w:pPr>
              <w:keepNext/>
              <w:keepLines/>
              <w:spacing w:after="0" w:line="210"/>
              <w:jc w:val="center"/>
            </w:pPr>
            <w:r>
              <w:rPr>
                <w:rFonts w:ascii="Times New Roman" w:cs="Times New Roman" w:eastAsia="Times New Roman" w:hAnsi="Times New Roman"/>
                <w:b/>
                <w:bCs/>
                <w:sz w:val="11"/>
                <w:szCs w:val="11"/>
              </w:rPr>
              <w:t xml:space="preserve">gates</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Applied</w:t>
            </w:r>
          </w:p>
          <w:p>
            <w:pPr>
              <w:keepNext/>
              <w:keepLines/>
              <w:spacing w:after="0" w:line="210"/>
              <w:jc w:val="center"/>
            </w:pPr>
            <w:r>
              <w:rPr>
                <w:rFonts w:ascii="Times New Roman" w:cs="Times New Roman" w:eastAsia="Times New Roman" w:hAnsi="Times New Roman"/>
                <w:b/>
                <w:bCs/>
                <w:sz w:val="11"/>
                <w:szCs w:val="11"/>
              </w:rPr>
              <w:t xml:space="preserve">u</w:t>
            </w:r>
          </w:p>
        </w:tc>
        <w:tc>
          <w:tcPr>
            <w:tcW w:type="dxa" w:w="66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N(t)</w:t>
            </w:r>
          </w:p>
        </w:tc>
        <w:tc>
          <w:tcPr>
            <w:tcW w:type="dxa" w:w="114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Required</w:t>
            </w:r>
          </w:p>
          <w:p>
            <w:pPr>
              <w:keepNext/>
              <w:keepLines/>
              <w:spacing w:after="0" w:line="210"/>
              <w:jc w:val="center"/>
            </w:pPr>
            <w:r>
              <w:rPr>
                <w:rFonts w:ascii="Times New Roman" w:cs="Times New Roman" w:eastAsia="Times New Roman" w:hAnsi="Times New Roman"/>
                <w:b/>
                <w:bCs/>
                <w:sz w:val="11"/>
                <w:szCs w:val="11"/>
              </w:rPr>
              <w:t xml:space="preserve">(ground truth)</w:t>
            </w:r>
          </w:p>
        </w:tc>
        <w:tc>
          <w:tcPr>
            <w:tcW w:type="dxa" w:w="78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1"/>
                <w:szCs w:val="11"/>
              </w:rPr>
              <w:t xml:space="preserve">Excess</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0.565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0.922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0.619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5</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109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0.690</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0.970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133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0.555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0.878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0.829</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112</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0.902</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113</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0.586</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114</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145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0.605</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115</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0.911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116</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0.638</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6</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+2</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117</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157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0.654</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0.991</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118</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165</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0.687</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0.948</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119</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184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0.659</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0.800</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120</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177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0.631</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0.907</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7</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r>
        <w:trPr>
          <w:cantSplit/>
        </w:trPr>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121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194</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0.693</w:t>
            </w:r>
          </w:p>
        </w:tc>
        <w:tc>
          <w:tcPr>
            <w:tcW w:type="dxa" w:w="10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0.843</w:t>
            </w:r>
          </w:p>
        </w:tc>
        <w:tc>
          <w:tcPr>
            <w:tcW w:type="dxa" w:w="90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72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c>
          <w:tcPr>
            <w:tcW w:type="dxa" w:w="8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0</w:t>
            </w:r>
          </w:p>
        </w:tc>
        <w:tc>
          <w:tcPr>
            <w:tcW w:type="dxa" w:w="66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9</w:t>
            </w:r>
          </w:p>
        </w:tc>
        <w:tc>
          <w:tcPr>
            <w:tcW w:type="dxa" w:w="114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8</w:t>
            </w:r>
          </w:p>
        </w:tc>
        <w:tc>
          <w:tcPr>
            <w:tcW w:type="dxa" w:w="780"/>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val="false"/>
                <w:bCs w:val="false"/>
                <w:sz w:val="11"/>
                <w:szCs w:val="11"/>
              </w:rPr>
              <w:t xml:space="preserve">+1</w:t>
            </w:r>
          </w:p>
        </w:tc>
      </w:tr>
    </w:tbl>
    <w:p>
      <w:pPr>
        <w:keepLines/>
        <w:spacing w:after="180" w:before="70"/>
        <w:jc w:val="center"/>
      </w:pPr>
      <w:r>
        <w:rPr>
          <w:rFonts w:ascii="Times New Roman" w:cs="Times New Roman" w:eastAsia="Times New Roman" w:hAnsi="Times New Roman"/>
          <w:sz w:val="16"/>
          <w:szCs w:val="16"/>
        </w:rPr>
        <w:t xml:space="preserve">Table XVII. Sixteen consecutive control ticks from the burst trace, seed 1001, oracle predictor. The ground-truth column is the replica count the instantaneous arrival rate required at the target utilisation; it is computed after the fact and is not available to the controller. The excess column is N(t) minus that requirement.</w:t>
      </w:r>
    </w:p>
    <w:p>
      <w:pPr>
        <w:sectPr>
          <w:footerReference w:type="default" r:id="rId72"/>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11 of the 16 ticks shown, which is consistent with the rates in Table V. The pattern of disagreement is informative: the rounded controller proposes a scale-down on most ticks where the exact controller proposes holding. Its relaxed solution sits slightly below the current count because the instantaneous demand is slightly below it, and rounding converts that fractional preference into a whole replica. The exact controller, evaluating the same horizon under the integrality constraint, finds that removing a replica costs more over the horizon than it saves on the current tick.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gate column shows the cooldown active on 5 ticks, each time converting a proposed scale-down to a hold. Ticks 113 through 117 are the clearest case: the optimiser proposes removing a replica on five consecutive ticks and the cooldown suppresses all five, because a scale-up occurred recently. The arrival rate then rises through tick 121, which retrospectively makes every one of those suppressed scale-downs the wrong action. This is the mechanism behind the sensitivity result of Section V-G, where the cooldown dominated stability, seen at the level of the individual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excess column averages 1.00 replicas over the window, which is the over-provisioning the aggregate tables report expressed per tick. It is positive on almost every tick rather than alternating in sign, which identifies it as a systematic bias of the controller rather than tracking noise. The asymmetric tracking weight of (8) and the cooldown both push in that direction, and Section V-G shows the cooldown is the larger contributor.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caveat applies to reading this table. The ground-truth column is derived from the instantaneous arrival rate, so it changes on nearly every tick, including by a single replica in response to noise. A controller that matched it exactly would be the oscillating controller the design is intended to avoid, and the excess column should be read as a measure of conservatism rather than of error. This is the same definitional caveat that applies to the decision classification of Section V-L.</w:t>
      </w:r>
    </w:p>
    <w:p>
      <w:pPr>
        <w:spacing w:after="100" w:before="200"/>
      </w:pPr>
      <w:r>
        <w:rPr>
          <w:rFonts w:ascii="Times New Roman" w:cs="Times New Roman" w:eastAsia="Times New Roman" w:hAnsi="Times New Roman"/>
          <w:b/>
          <w:bCs/>
          <w:i/>
          <w:iCs/>
          <w:sz w:val="19"/>
          <w:szCs w:val="19"/>
        </w:rPr>
        <w:t xml:space="preserve">P. Positioning Against Prior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XVIII places the present work against the reviewed systems on the three axes the experiments address. The comparison is of mechanism, not of reported numbers: none of the systems in the table was reimplemented, their published results were obtained on different plants and workloads, and no numerical claim is made against them.</w:t>
      </w:r>
    </w:p>
    <w:p>
      <w:pPr>
        <w:sectPr>
          <w:footerReference w:type="default" r:id="rId73"/>
          <w:type w:val="continuous"/>
          <w:pgSz w:w="12240" w:h="15840" w:orient="portrait"/>
          <w:pgMar w:top="1150" w:right="1080" w:bottom="1150" w:left="1080" w:header="708" w:footer="708" w:gutter="0"/>
          <w:pgNumType/>
          <w:cols w:space="400" w:num="2" w:equalWidth="true"/>
          <w:docGrid w:linePitch="360"/>
        </w:sectPr>
      </w:pPr>
    </w:p>
    <w:tbl>
      <w:tblPr>
        <w:tblW w:type="dxa" w:w="10080"/>
        <w:jc w:val="center"/>
        <w:tblBorders>
          <w:top w:val="single" w:color="444444" w:sz="6"/>
          <w:left w:val="none" w:color="FFFFFF" w:sz="0"/>
          <w:bottom w:val="single" w:color="444444" w:sz="6"/>
          <w:right w:val="none" w:color="FFFFFF" w:sz="0"/>
          <w:insideH w:val="single" w:color="AAAAAA" w:sz="2"/>
          <w:insideV w:val="none" w:color="FFFFFF" w:sz="0"/>
        </w:tblBorders>
      </w:tblPr>
      <w:tblGrid>
        <w:gridCol w:w="2156"/>
        <w:gridCol w:w="1464"/>
        <w:gridCol w:w="1809"/>
        <w:gridCol w:w="1550"/>
        <w:gridCol w:w="1292"/>
        <w:gridCol w:w="1809"/>
      </w:tblGrid>
      <w:tr>
        <w:trPr>
          <w:cantSplit/>
          <w:tblHeader/>
        </w:trPr>
        <w:tc>
          <w:tcPr>
            <w:tcW w:type="dxa" w:w="2156"/>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Property</w:t>
            </w:r>
          </w:p>
        </w:tc>
        <w:tc>
          <w:tcPr>
            <w:tcW w:type="dxa" w:w="1464"/>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Threshold [1]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Forecast-driven [2,3,8]</w:t>
            </w:r>
          </w:p>
        </w:tc>
        <w:tc>
          <w:tcPr>
            <w:tcW w:type="dxa" w:w="1550"/>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Optimisation [4,5,6]</w:t>
            </w:r>
          </w:p>
        </w:tc>
        <w:tc>
          <w:tcPr>
            <w:tcW w:type="dxa" w:w="1292"/>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Hybrid [7,11]</w:t>
            </w:r>
          </w:p>
        </w:tc>
        <w:tc>
          <w:tcPr>
            <w:tcW w:type="dxa" w:w="1809"/>
            <w:shd w:fill="E9ECEF" w:val="clear"/>
            <w:tcMar>
              <w:top w:type="dxa" w:w="40"/>
              <w:left w:type="dxa" w:w="60"/>
              <w:bottom w:type="dxa" w:w="40"/>
              <w:right w:type="dxa" w:w="60"/>
            </w:tcMar>
          </w:tcPr>
          <w:p>
            <w:pPr>
              <w:keepNext/>
              <w:keepLines/>
              <w:spacing w:after="0" w:line="210"/>
              <w:jc w:val="center"/>
            </w:pPr>
            <w:r>
              <w:rPr>
                <w:rFonts w:ascii="Times New Roman" w:cs="Times New Roman" w:eastAsia="Times New Roman" w:hAnsi="Times New Roman"/>
                <w:b/>
                <w:bCs/>
                <w:sz w:val="12"/>
                <w:szCs w:val="12"/>
              </w:rPr>
              <w:t xml:space="preserve">This work</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variable is integer</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rounded</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solved exactly</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Actuation delay modelled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partially</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as plant dead time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Horizon tied to delay</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n/a</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Eq. (6), measured</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Decision churn penalised</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via stabilisation window</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 in the objective</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Churn reported as a metric</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Hard pool and rate constraints</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Conservatism mechanism</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static threshold</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none</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chance constraint</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feedback term</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clipped-integral margin</w:t>
            </w:r>
          </w:p>
        </w:tc>
      </w:tr>
      <w:tr>
        <w:trPr>
          <w:cantSplit/>
        </w:trPr>
        <w:tc>
          <w:tcPr>
            <w:tcW w:type="dxa" w:w="2156"/>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Evaluated on real hardware</w:t>
            </w:r>
          </w:p>
        </w:tc>
        <w:tc>
          <w:tcPr>
            <w:tcW w:type="dxa" w:w="1464"/>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varies</w:t>
            </w:r>
          </w:p>
        </w:tc>
        <w:tc>
          <w:tcPr>
            <w:tcW w:type="dxa" w:w="1550"/>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292"/>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yes</w:t>
            </w:r>
          </w:p>
        </w:tc>
        <w:tc>
          <w:tcPr>
            <w:tcW w:type="dxa" w:w="1809"/>
            <w:tcMar>
              <w:top w:type="dxa" w:w="40"/>
              <w:left w:type="dxa" w:w="60"/>
              <w:bottom w:type="dxa" w:w="40"/>
              <w:right w:type="dxa" w:w="60"/>
            </w:tcMar>
          </w:tcPr>
          <w:p>
            <w:pPr>
              <w:keepNext/>
              <w:keepLines/>
              <w:spacing w:after="0" w:line="210"/>
              <w:jc w:val="left"/>
            </w:pPr>
            <w:r>
              <w:rPr>
                <w:rFonts w:ascii="Times New Roman" w:cs="Times New Roman" w:eastAsia="Times New Roman" w:hAnsi="Times New Roman"/>
                <w:b w:val="false"/>
                <w:bCs w:val="false"/>
                <w:sz w:val="12"/>
                <w:szCs w:val="12"/>
              </w:rPr>
              <w:t xml:space="preserve">no, simulated plant</w:t>
            </w:r>
          </w:p>
        </w:tc>
      </w:tr>
    </w:tbl>
    <w:p>
      <w:pPr>
        <w:keepLines/>
        <w:spacing w:after="180" w:before="70"/>
        <w:jc w:val="center"/>
      </w:pPr>
      <w:r>
        <w:rPr>
          <w:rFonts w:ascii="Times New Roman" w:cs="Times New Roman" w:eastAsia="Times New Roman" w:hAnsi="Times New Roman"/>
          <w:sz w:val="16"/>
          <w:szCs w:val="16"/>
        </w:rPr>
        <w:t xml:space="preserve">Table XVIII. Mechanism comparison. Entries describe design choices reported by the cited work, not relative performance. The final row records the principal weakness of the present evaluation.</w:t>
      </w:r>
    </w:p>
    <w:p>
      <w:pPr>
        <w:sectPr>
          <w:footerReference w:type="default" r:id="rId74"/>
          <w:type w:val="continuous"/>
          <w:pgSz w:w="12240" w:h="15840" w:orient="portrait"/>
          <w:pgMar w:top="1150" w:right="1080" w:bottom="1150" w:left="1080" w:header="708" w:footer="708" w:gutter="0"/>
          <w:pgNumType/>
          <w:cols w:num="1"/>
          <w:docGrid w:linePitch="360"/>
        </w:sectPr>
      </w:pP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columns separate this work from the rest — exact integrality, a horizon tied to measured delay, and churn treated as both a penalty and a reported metric — and those are precisely the three the experiments quantify. The last row runs the other way: every other system in the comparison was evaluated on real infrastructure, and this one was not.</w:t>
      </w:r>
    </w:p>
    <w:p>
      <w:pPr>
        <w:spacing w:after="140" w:before="280"/>
        <w:jc w:val="center"/>
      </w:pPr>
      <w:r>
        <w:rPr>
          <w:rFonts w:ascii="Times New Roman" w:cs="Times New Roman" w:eastAsia="Times New Roman" w:hAnsi="Times New Roman"/>
          <w:b/>
          <w:bCs/>
          <w:caps/>
          <w:sz w:val="20"/>
          <w:szCs w:val="20"/>
        </w:rPr>
        <w:t xml:space="preserve">VI. Discussion</w:t>
      </w:r>
    </w:p>
    <w:p>
      <w:pPr>
        <w:spacing w:after="100" w:before="200"/>
      </w:pPr>
      <w:r>
        <w:rPr>
          <w:rFonts w:ascii="Times New Roman" w:cs="Times New Roman" w:eastAsia="Times New Roman" w:hAnsi="Times New Roman"/>
          <w:b/>
          <w:bCs/>
          <w:i/>
          <w:iCs/>
          <w:sz w:val="19"/>
          <w:szCs w:val="19"/>
        </w:rPr>
        <w:t xml:space="preserve">A. What the Measurements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claims survive the full set of experiments, and it is worth separating them from the claims the design anticipated but the data did not sustain.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horizon condition is the strongest result and the one with the clearest practical reading. It holds at every cold-start setting tested, the transition lands where (6) predicts rather than at a fixed horizon, and the sign of the predictive controller’s advantage reverses across it. It also requires no tuning to exploit: the operator measures one latency and computes one inequality. Section V-J strengthens it by showing that once the horizon is adequate, the controller is nearly insensitive to the delay itself over a factor of twelve.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integrality result is narrower but holds under both forecaster brackets. Exact and rounded controllers differ on a large and growing fraction of decisions, the difference materialises as churn rather than as violations at moderate operating points, and it materialises as a service collapse at aggressive ones. The statistical picture in Table VIII is consistent with this: the churn difference is unambiguous (Cliff’s δ = -0.99, p &lt; 0.001) while the violation difference at the default operating point is not significant after correction (p = 0.122).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third claim is about stability mechanisms, and it inverts the design’s assumption. The cooldown, which was included as a conventional guard rail, turned out to dominate: removing it raises churn from 42.6 to 267.3 actions per run. The churn penalty in the objective matters too, and improves service level and cost simultaneously rather than trading between them, but it saturates quickly. The deadband and the cost asymmetry, which the design treated as primary controls, were close to inert.</w:t>
      </w:r>
    </w:p>
    <w:p>
      <w:pPr>
        <w:spacing w:after="100" w:before="200"/>
      </w:pPr>
      <w:r>
        <w:rPr>
          <w:rFonts w:ascii="Times New Roman" w:cs="Times New Roman" w:eastAsia="Times New Roman" w:hAnsi="Times New Roman"/>
          <w:b/>
          <w:bCs/>
          <w:i/>
          <w:iCs/>
          <w:sz w:val="19"/>
          <w:szCs w:val="19"/>
        </w:rPr>
        <w:t xml:space="preserve">B. What the Measurements Do Not Support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Four anticipated effects were absent, and reporting them is as informative as reporting the successes because each identifies either a redundant mechanism or an untested one.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explicit dead-time term in the plant model contributed nothing detectable when the horizon was already adequate. The optimiser compensates for delay implicitly through the horizon, and the delay term is a formal convenience rather than a separate source of benefit. The paper therefore attributes dead-time tolerance to the predictive formulation as a whole.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adaptive margin never moved. Under a perfect predictor the tracking error is negligible, and under a memoryless one it is large but zero-mean, so the clipped integral has nothing to integrate in either case. The mechanism is untested rather than unnecessary, and testing it requires a predictor whose error has sustained sign, which is exactly what a drifting learned model would produce and neither bracket does.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tested. The same caveat applies: symmetric multiplicative noise does not produce the sustained under-prediction the ceiling exists to catch. Section V-F shows noise actually improved service level by inflating capacity through the asymmetric cost, which is a property of the objective rather than evidence of robustness.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Finally, the proposed controller did not dominate. It carries more capacity than the rounded controller at matched settings (23.3 % against 3.5 %) and issues more scaling actions than the reactive baseline (41.5 against 16.9). An operator whose workload resembles the slow families in Table XIV, and who can tolerate the rounded controller’s violation rate, has no reason to prefer exact solution on these results.</w:t>
      </w:r>
    </w:p>
    <w:p>
      <w:pPr>
        <w:spacing w:after="100" w:before="200"/>
      </w:pPr>
      <w:r>
        <w:rPr>
          <w:rFonts w:ascii="Times New Roman" w:cs="Times New Roman" w:eastAsia="Times New Roman" w:hAnsi="Times New Roman"/>
          <w:b/>
          <w:bCs/>
          <w:i/>
          <w:iCs/>
          <w:sz w:val="19"/>
          <w:szCs w:val="19"/>
        </w:rPr>
        <w:t xml:space="preserve">C. When Each Mechanism Is Worth Its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Synthesising across the experiments gives a decision rule that is narrower than a general recommendation but better supported than one. Exact integer solution is worth adopting when the pool is small relative to demand swings, when the target utilisation is aggressive, or when the workload has fast transitions — the three conditions under which Table V, Table VI and Table XIV respectively show the largest separation. It is not worth adopting on slowly varying traffic at conservative targets, where the measurements show no advantage and a capacity penalty.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Predictive scaling in general is worth adopting when the actuation delay is long relative to the control interval, which Section V-J quantifies, and only when the horizon can be configured to cover it. Where the delay is short — at τc = 5 s the reactive baseline violates on 0.17 % of ticks against 0.05 % predictive — the additional machinery buys little.</w:t>
      </w:r>
    </w:p>
    <w:p>
      <w:pPr>
        <w:spacing w:after="140" w:before="280"/>
        <w:jc w:val="center"/>
      </w:pPr>
      <w:r>
        <w:rPr>
          <w:rFonts w:ascii="Times New Roman" w:cs="Times New Roman" w:eastAsia="Times New Roman" w:hAnsi="Times New Roman"/>
          <w:b/>
          <w:bCs/>
          <w:caps/>
          <w:sz w:val="20"/>
          <w:szCs w:val="20"/>
        </w:rPr>
        <w:t xml:space="preserve">VII. Limitations and Threats to Validity</w:t>
      </w:r>
    </w:p>
    <w:p>
      <w:pPr>
        <w:spacing w:after="100" w:before="200"/>
      </w:pPr>
      <w:r>
        <w:rPr>
          <w:rFonts w:ascii="Times New Roman" w:cs="Times New Roman" w:eastAsia="Times New Roman" w:hAnsi="Times New Roman"/>
          <w:b/>
          <w:bCs/>
          <w:i/>
          <w:iCs/>
          <w:sz w:val="19"/>
          <w:szCs w:val="19"/>
        </w:rPr>
        <w:t xml:space="preserve">A. Construct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Construct validity asks whether the quantities measured correspond to the properties claimed. Two constructs in this paper are imperfect and the imperfection bounds the claims that rest on them.</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service-level violation rate counts ticks whose modelled tail latency exceeds the objective. Real service-level objectives are evaluated over windows and against measured request latencies, not over control ticks against a queueing approximation. A controller that performs well on this construct would perform well on the real one only to the extent the approximation holds, which Section IV-C argues it does in the moderate-utilisation regime and does not near saturation, where the measure is censored.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ground-truth replica requirement, used by both the decision classification of Section V-L and the excess column of Table XVII, is computed from the instantaneous arrival rate. It therefore treats noise as demand and changes on nearly every tick. It is an adequate construct for measuring systematic bias, which is how this paper uses it, and an inadequate one for ranking controllers by decision quality, which is why the classification results are reported but not used to support any claim.</w:t>
      </w:r>
    </w:p>
    <w:p>
      <w:pPr>
        <w:spacing w:after="100" w:before="200"/>
      </w:pPr>
      <w:r>
        <w:rPr>
          <w:rFonts w:ascii="Times New Roman" w:cs="Times New Roman" w:eastAsia="Times New Roman" w:hAnsi="Times New Roman"/>
          <w:b/>
          <w:bCs/>
          <w:i/>
          <w:iCs/>
          <w:sz w:val="19"/>
          <w:szCs w:val="19"/>
        </w:rPr>
        <w:t xml:space="preserve">B. Internal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Internal validity asks whether the measured differences are caused by the manipulated variable. The experimental design supports this reasonably well. Every method sees the identical trace for a given family and seed, so comparisons are paired and the Wilcoxon test is appropriate. Each ablation and sweep changes exactly one component or parameter with the others held fixed. The plant is shared across methods within a run, so differences cannot arise from plant variation.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threat remains. The methods operate at different default utilisations, so the aggregate comparison of Table VII compares points rather than frontiers. This is the reason the operating-point sweep of Section V-C exists, and conclusions about service level are drawn from that sweep rather than from the aggregate table.</w:t>
      </w:r>
    </w:p>
    <w:p>
      <w:pPr>
        <w:spacing w:after="100" w:before="200"/>
      </w:pPr>
      <w:r>
        <w:rPr>
          <w:rFonts w:ascii="Times New Roman" w:cs="Times New Roman" w:eastAsia="Times New Roman" w:hAnsi="Times New Roman"/>
          <w:b/>
          <w:bCs/>
          <w:i/>
          <w:iCs/>
          <w:sz w:val="19"/>
          <w:szCs w:val="19"/>
        </w:rPr>
        <w:t xml:space="preserve">C. External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External validity asks how far the results transfer, and it is where this evaluation is weakest. The plant is simulated, the workloads are synthetic, the learned forecaster was never run, and a single replica pool was controlled. Each is enumerated in the following subsection with the specific claim it bounds.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One form of transfer is better supported than the others. The horizon condition of (6) is a statement about the relationship between two latencies, and the experiment confirms the transition occurs where that relationship predicts rather than at a fixed horizon. A result that tracks a parameter in this way is more likely to transfer than one that holds only at the values tested, because the mechanism rather than the magnitude is what has been identified. The integrality result is in the opposite position: the magnitude of the rounding gap depends on pool size, demand volatility and the operating point, and Table V shows it varying by more than a factor of three across pool sizes alone.</w:t>
      </w:r>
    </w:p>
    <w:p>
      <w:pPr>
        <w:spacing w:after="100" w:before="200"/>
      </w:pPr>
      <w:r>
        <w:rPr>
          <w:rFonts w:ascii="Times New Roman" w:cs="Times New Roman" w:eastAsia="Times New Roman" w:hAnsi="Times New Roman"/>
          <w:b/>
          <w:bCs/>
          <w:i/>
          <w:iCs/>
          <w:sz w:val="19"/>
          <w:szCs w:val="19"/>
        </w:rPr>
        <w:t xml:space="preserve">D. Enumerated Limitations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evaluation has substantial limitations. They are listed here rather than distributed through the text because several of them bound the claims directly.</w:t>
      </w:r>
    </w:p>
    <w:p>
      <w:pPr>
        <w:spacing w:after="110" w:before="0" w:line="240"/>
        <w:jc w:val="both"/>
      </w:pPr>
      <w:r>
        <w:rPr>
          <w:rFonts w:ascii="Times New Roman" w:cs="Times New Roman" w:eastAsia="Times New Roman" w:hAnsi="Times New Roman"/>
          <w:b/>
          <w:bCs/>
          <w:i w:val="false"/>
          <w:iCs w:val="false"/>
          <w:sz w:val="19"/>
          <w:szCs w:val="19"/>
        </w:rPr>
        <w:t xml:space="preserve">Simulated plant only. </w:t>
      </w:r>
      <w:r>
        <w:rPr>
          <w:rFonts w:ascii="Times New Roman" w:cs="Times New Roman" w:eastAsia="Times New Roman" w:hAnsi="Times New Roman"/>
          <w:b w:val="false"/>
          <w:bCs w:val="false"/>
          <w:i w:val="false"/>
          <w:iCs w:val="false"/>
          <w:sz w:val="19"/>
          <w:szCs w:val="19"/>
        </w:rPr>
        <w:t xml:space="preserve">No result in this paper was obtained on real containers. The plant is the analytical queueing simulator described in Section IV-A, and the cold-start interval is a parameter of that simulator rather than a measurement. Image pull variance, scheduler interference, connection draining and load-balancer registration delay are all absent. The horizon–dead-time law of Section V-A is a property of the model as much as of the controller, and confirming it on a real Docker deployment is the single most important piece of outstanding work.</w:t>
      </w:r>
    </w:p>
    <w:p>
      <w:pPr>
        <w:spacing w:after="110" w:before="0" w:line="240"/>
        <w:jc w:val="both"/>
      </w:pPr>
      <w:r>
        <w:rPr>
          <w:rFonts w:ascii="Times New Roman" w:cs="Times New Roman" w:eastAsia="Times New Roman" w:hAnsi="Times New Roman"/>
          <w:b/>
          <w:bCs/>
          <w:i w:val="false"/>
          <w:iCs w:val="false"/>
          <w:sz w:val="19"/>
          <w:szCs w:val="19"/>
        </w:rPr>
        <w:t xml:space="preserve">Synthetic workloads. </w:t>
      </w:r>
      <w:r>
        <w:rPr>
          <w:rFonts w:ascii="Times New Roman" w:cs="Times New Roman" w:eastAsia="Times New Roman" w:hAnsi="Times New Roman"/>
          <w:b w:val="false"/>
          <w:bCs w:val="false"/>
          <w:i w:val="false"/>
          <w:iCs w:val="false"/>
          <w:sz w:val="19"/>
          <w:szCs w:val="19"/>
        </w:rPr>
        <w:t xml:space="preserve">The five trace families are generated, not recorded. Public traces could not be retrieved because the environment has no network access. Real traffic has heavier tails and non-stationarity that these traces do not reproduce.</w:t>
      </w:r>
    </w:p>
    <w:p>
      <w:pPr>
        <w:spacing w:after="110" w:before="0" w:line="240"/>
        <w:jc w:val="both"/>
      </w:pPr>
      <w:r>
        <w:rPr>
          <w:rFonts w:ascii="Times New Roman" w:cs="Times New Roman" w:eastAsia="Times New Roman" w:hAnsi="Times New Roman"/>
          <w:b/>
          <w:bCs/>
          <w:i w:val="false"/>
          <w:iCs w:val="false"/>
          <w:sz w:val="19"/>
          <w:szCs w:val="19"/>
        </w:rPr>
        <w:t xml:space="preserve">The learned forecaster was not executed. </w:t>
      </w:r>
      <w:r>
        <w:rPr>
          <w:rFonts w:ascii="Times New Roman" w:cs="Times New Roman" w:eastAsia="Times New Roman" w:hAnsi="Times New Roman"/>
          <w:b w:val="false"/>
          <w:bCs w:val="false"/>
          <w:i w:val="false"/>
          <w:iCs w:val="false"/>
          <w:sz w:val="19"/>
          <w:szCs w:val="19"/>
        </w:rPr>
        <w:t xml:space="preserve">PyTorch is unavailable in the environment and could not be installed, so the temporal convolutional forecaster, and the recurrent and attention-based baselines that would be compared against it, were not run. The bracketing protocol of Section IV-C bounds the effect of this substitution but does not eliminate it: no claim about forecasting accuracy is made anywhere in this paper, and the comparison against statistical and deep forecasting baselines remains outstanding. For the same reason the ARIMA baseline, which requires statsmodels, was not run.</w:t>
      </w:r>
    </w:p>
    <w:p>
      <w:pPr>
        <w:spacing w:after="110" w:before="0" w:line="240"/>
        <w:jc w:val="both"/>
      </w:pPr>
      <w:r>
        <w:rPr>
          <w:rFonts w:ascii="Times New Roman" w:cs="Times New Roman" w:eastAsia="Times New Roman" w:hAnsi="Times New Roman"/>
          <w:b/>
          <w:bCs/>
          <w:i w:val="false"/>
          <w:iCs w:val="false"/>
          <w:sz w:val="19"/>
          <w:szCs w:val="19"/>
        </w:rPr>
        <w:t xml:space="preserve">Two mechanisms are unexercised. </w:t>
      </w:r>
      <w:r>
        <w:rPr>
          <w:rFonts w:ascii="Times New Roman" w:cs="Times New Roman" w:eastAsia="Times New Roman" w:hAnsi="Times New Roman"/>
          <w:b w:val="false"/>
          <w:bCs w:val="false"/>
          <w:i w:val="false"/>
          <w:iCs w:val="false"/>
          <w:sz w:val="19"/>
          <w:szCs w:val="19"/>
        </w:rPr>
        <w:t xml:space="preserve">The adaptive margin never moved from its initial value and the safety ceiling never activated. Both are implemented and both are inert under the conditions tested. They should be regarded as untested rather than validated.</w:t>
      </w:r>
    </w:p>
    <w:p>
      <w:pPr>
        <w:spacing w:after="110" w:before="0" w:line="240"/>
        <w:jc w:val="both"/>
      </w:pPr>
      <w:r>
        <w:rPr>
          <w:rFonts w:ascii="Times New Roman" w:cs="Times New Roman" w:eastAsia="Times New Roman" w:hAnsi="Times New Roman"/>
          <w:b/>
          <w:bCs/>
          <w:i w:val="false"/>
          <w:iCs w:val="false"/>
          <w:sz w:val="19"/>
          <w:szCs w:val="19"/>
        </w:rPr>
        <w:t xml:space="preserve">Censored latency. </w:t>
      </w:r>
      <w:r>
        <w:rPr>
          <w:rFonts w:ascii="Times New Roman" w:cs="Times New Roman" w:eastAsia="Times New Roman" w:hAnsi="Times New Roman"/>
          <w:b w:val="false"/>
          <w:bCs w:val="false"/>
          <w:i w:val="false"/>
          <w:iCs w:val="false"/>
          <w:sz w:val="19"/>
          <w:szCs w:val="19"/>
        </w:rPr>
        <w:t xml:space="preserve">The heavy-traffic approximation diverges when offered load exceeds pool capacity. Such ticks are censored at a finite ceiling, which compresses the upper tail of the latency distribution and makes the reported mean latency a lower bound in saturated conditions.</w:t>
      </w:r>
    </w:p>
    <w:p>
      <w:pPr>
        <w:spacing w:after="110" w:before="0" w:line="240"/>
        <w:jc w:val="both"/>
      </w:pPr>
      <w:r>
        <w:rPr>
          <w:rFonts w:ascii="Times New Roman" w:cs="Times New Roman" w:eastAsia="Times New Roman" w:hAnsi="Times New Roman"/>
          <w:b/>
          <w:bCs/>
          <w:i w:val="false"/>
          <w:iCs w:val="false"/>
          <w:sz w:val="19"/>
          <w:szCs w:val="19"/>
        </w:rPr>
        <w:t xml:space="preserve">Single service. </w:t>
      </w:r>
      <w:r>
        <w:rPr>
          <w:rFonts w:ascii="Times New Roman" w:cs="Times New Roman" w:eastAsia="Times New Roman" w:hAnsi="Times New Roman"/>
          <w:b w:val="false"/>
          <w:bCs w:val="false"/>
          <w:i w:val="false"/>
          <w:iCs w:val="false"/>
          <w:sz w:val="19"/>
          <w:szCs w:val="19"/>
        </w:rPr>
        <w:t xml:space="preserve">Only one replica pool is controlled. Real deployments comprise interdependent services sharing hosts, and the coupling between their scaling decisions is not modelled.</w:t>
      </w:r>
    </w:p>
    <w:p>
      <w:pPr>
        <w:spacing w:after="110" w:before="0" w:line="240"/>
        <w:jc w:val="both"/>
      </w:pPr>
      <w:r>
        <w:rPr>
          <w:rFonts w:ascii="Times New Roman" w:cs="Times New Roman" w:eastAsia="Times New Roman" w:hAnsi="Times New Roman"/>
          <w:b/>
          <w:bCs/>
          <w:i w:val="false"/>
          <w:iCs w:val="false"/>
          <w:sz w:val="19"/>
          <w:szCs w:val="19"/>
        </w:rPr>
        <w:t xml:space="preserve">Baseline fidelity. </w:t>
      </w:r>
      <w:r>
        <w:rPr>
          <w:rFonts w:ascii="Times New Roman" w:cs="Times New Roman" w:eastAsia="Times New Roman" w:hAnsi="Times New Roman"/>
          <w:b w:val="false"/>
          <w:bCs w:val="false"/>
          <w:i w:val="false"/>
          <w:iCs w:val="false"/>
          <w:sz w:val="19"/>
          <w:szCs w:val="19"/>
        </w:rPr>
        <w:t xml:space="preserve">The relaxed-and-rounded controller reproduces the integrality choice made by published optimisation-based auto-scalers on an otherwise identical objective; it is not a reimplementation of any specific published system, and it omits the chance constraints that some of them use. It should be read as an ablation of the integrality constraint rather than as a competing system.</w:t>
      </w:r>
    </w:p>
    <w:p>
      <w:pPr>
        <w:spacing w:after="140" w:before="280"/>
        <w:jc w:val="center"/>
      </w:pPr>
      <w:r>
        <w:rPr>
          <w:rFonts w:ascii="Times New Roman" w:cs="Times New Roman" w:eastAsia="Times New Roman" w:hAnsi="Times New Roman"/>
          <w:b/>
          <w:bCs/>
          <w:caps/>
          <w:sz w:val="20"/>
          <w:szCs w:val="20"/>
        </w:rPr>
        <w:t xml:space="preserve">VIII. Conclusion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Three properties of predictive container auto-scaling were measured on a simulated pool, with the predictor held at two extremes so that the control law was the only variable. They differ in how firmly they are established, and the distinction is worth keeping.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 horizon must cover the actuation dead time. Across the 5 cold-start settings sampling both sides of the boundary, the violation rate fell from 2.92 % to 0.27 % as the horizon crossed HΔt = τc, and below that boundary the predictive controller performed worse than a reactive baseline by up to 3.69 percentage points. Horizon selection is therefore not a tuning preference but a feasibility condition, and it can be checked before deployment from a single measurement of cold-start latency. This is the firmest of the three results: the transition appeared at every cold-start setting tested and landed where the inequality predicts rather than at a fixed horizon.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integer problem does not have to be approximated. Dead time confines the tracking-relevant decisions to the first H − τ + 1 steps of the horizon and leaves the rest separable, which reduced the search to 4 nested integer choices at the configuration used here. The solver built on that reduction reproduced the brute-force optimum in all 400 states small enough to enumerate exhaustively, which is a verification rather than a proof but a stronger warrant than the argument it replaces. Completing the horizon greedily instead, a device sometimes called exact on the grounds that only the first action is applied, returned an optimal first action in only 354 of those 400 states, and at the paper configuration differed from the optimum on 10.83 % of the plant states drawn, always in the direction of higher cost.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Relaxing the integrality of the scaling decision changes behaviour measurably. The relaxed controller disagreed with the exact one on 19.4 to 71.4 % of control ticks, issued up to 3.4 times as many scaling actions, and degraded from 0.45 % to 17.92 % violations as the utilisation target was raised, against 0.00 % to 3.58 % for the exact controller. Exact solution cost at most 43.18 ms per tick, 0.86 % of the control interval, so relaxation buys compute that is not scarce at these problem sizes. That is a claim about this configuration rather than a general one: the exact solve is cheap here because the dead time is long relative to the horizon, and a pool with near-instant start-up and a long horizon would not enjoy the same reduction.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results also qualify the approach. At the default operating point the exact controller did not significantly reduce violations relative to either the rounded or the reactive baseline, and it carried more capacity than the rounded controller to achieve the service level it did. Its measured advantages are in actuation stability and in graceful degradation at aggressive operating points. Two of its components, the adaptive margin and the safety ceiling, were inert throughout.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immediate priorities for further work follow from Section VII: reproducing the horizon–dead-time transition on a real Docker deployment with a measured cold-start interval, repeating the comparison with a trained forecaster in place of the brackets, and designing a corruption model with sustained bias that would actually exercise the margin adaptation and the safety ceiling.</w:t>
      </w:r>
    </w:p>
    <w:p>
      <w:pPr>
        <w:spacing w:after="140" w:before="280"/>
        <w:jc w:val="center"/>
      </w:pPr>
      <w:r>
        <w:rPr>
          <w:rFonts w:ascii="Times New Roman" w:cs="Times New Roman" w:eastAsia="Times New Roman" w:hAnsi="Times New Roman"/>
          <w:b/>
          <w:bCs/>
          <w:caps/>
          <w:sz w:val="20"/>
          <w:szCs w:val="20"/>
        </w:rPr>
        <w:t xml:space="preserve">References</w:t>
      </w:r>
    </w:p>
    <w:p>
      <w:pPr>
        <w:spacing w:after="60" w:line="210"/>
        <w:ind w:left="360" w:hanging="360"/>
        <w:jc w:val="both"/>
      </w:pPr>
      <w:r>
        <w:rPr>
          <w:rFonts w:ascii="Times New Roman" w:cs="Times New Roman" w:eastAsia="Times New Roman" w:hAnsi="Times New Roman"/>
          <w:sz w:val="17"/>
          <w:szCs w:val="17"/>
        </w:rPr>
        <w:t xml:space="preserve">[1] T. Van Do et al., "Properties of horizontal pod autoscaling algorithms and application for scaling cloud-native network functions," preprint, 2025.</w:t>
      </w:r>
    </w:p>
    <w:p>
      <w:pPr>
        <w:spacing w:after="60" w:line="210"/>
        <w:ind w:left="360" w:hanging="360"/>
        <w:jc w:val="both"/>
      </w:pPr>
      <w:r>
        <w:rPr>
          <w:rFonts w:ascii="Times New Roman" w:cs="Times New Roman" w:eastAsia="Times New Roman" w:hAnsi="Times New Roman"/>
          <w:sz w:val="17"/>
          <w:szCs w:val="17"/>
        </w:rPr>
        <w:t xml:space="preserve">[2] B. Jeong and Y.-S. Jeong, "ARAScaler: Adaptive resource autoscaling scheme using ETimeMixer for efficient cloud-native computing," IEEE Trans. Services Computing, vol. 18, no. 1, pp. 72–84, 2025, doi: 10.1109/TSC.2024.3522815.</w:t>
      </w:r>
    </w:p>
    <w:p>
      <w:pPr>
        <w:spacing w:after="60" w:line="210"/>
        <w:ind w:left="360" w:hanging="360"/>
        <w:jc w:val="both"/>
      </w:pPr>
      <w:r>
        <w:rPr>
          <w:rFonts w:ascii="Times New Roman" w:cs="Times New Roman" w:eastAsia="Times New Roman" w:hAnsi="Times New Roman"/>
          <w:sz w:val="17"/>
          <w:szCs w:val="17"/>
        </w:rPr>
        <w:t xml:space="preserve">[3] J. W. Fog, J. J. T. Møller, T. M. Jensen, D. Taibi, and M. Albano, "Comparing neural and statistical time-series models for proactive auto-scaling in Kubernetes," in Proc. IEEE Int. Conf. Service-Oriented System Engineering (SOSE), 2025, pp. 151–161, doi: 10.1109/SOSE67019.2025.00022.</w:t>
      </w:r>
    </w:p>
    <w:p>
      <w:pPr>
        <w:spacing w:after="60" w:line="210"/>
        <w:ind w:left="360" w:hanging="360"/>
        <w:jc w:val="both"/>
      </w:pPr>
      <w:r>
        <w:rPr>
          <w:rFonts w:ascii="Times New Roman" w:cs="Times New Roman" w:eastAsia="Times New Roman" w:hAnsi="Times New Roman"/>
          <w:sz w:val="17"/>
          <w:szCs w:val="17"/>
        </w:rPr>
        <w:t xml:space="preserve">[4] E. Incerto, M. Tribastone, and C. Trubiani, "Combined vertical and horizontal autoscaling through model predictive control," in Euro-Par 2018: Parallel Processing, Lecture Notes in Computer Science, vol. 11014, Springer, 2018, pp. 147–159, doi: 10.1007/978-3-319-96983-1_11.</w:t>
      </w:r>
    </w:p>
    <w:p>
      <w:pPr>
        <w:spacing w:after="60" w:line="210"/>
        <w:ind w:left="360" w:hanging="360"/>
        <w:jc w:val="both"/>
      </w:pPr>
      <w:r>
        <w:rPr>
          <w:rFonts w:ascii="Times New Roman" w:cs="Times New Roman" w:eastAsia="Times New Roman" w:hAnsi="Times New Roman"/>
          <w:sz w:val="17"/>
          <w:szCs w:val="17"/>
        </w:rPr>
        <w:t xml:space="preserve">[5] G. Quattrocchi, E. Incerto, R. Pinciroli, C. Trubiani, and L. Baresi, "Autoscaling solutions for cloud applications under dynamic workloads," IEEE Trans. Services Computing, vol. 17, no. 3, pp. 804–820, 2024, doi: 10.1109/TSC.2024.3354062.</w:t>
      </w:r>
    </w:p>
    <w:p>
      <w:pPr>
        <w:spacing w:after="60" w:line="210"/>
        <w:ind w:left="360" w:hanging="360"/>
        <w:jc w:val="both"/>
      </w:pPr>
      <w:r>
        <w:rPr>
          <w:rFonts w:ascii="Times New Roman" w:cs="Times New Roman" w:eastAsia="Times New Roman" w:hAnsi="Times New Roman"/>
          <w:sz w:val="17"/>
          <w:szCs w:val="17"/>
        </w:rPr>
        <w:t xml:space="preserve">[6] D. Zou, W. Lu, Z. Zhu, X. Lu, J. Zhou, X. Wang, K. Liu, K. Wang, R. Sun, and H. Wang, "OptScaler: A collaborative framework for robust autoscaling in the cloud," Proc. VLDB Endowment, vol. 17, no. 12, pp. 4090–4103, 2024, doi: 10.14778/3685800.3685829.</w:t>
      </w:r>
    </w:p>
    <w:p>
      <w:pPr>
        <w:spacing w:after="60" w:line="210"/>
        <w:ind w:left="360" w:hanging="360"/>
        <w:jc w:val="both"/>
      </w:pPr>
      <w:r>
        <w:rPr>
          <w:rFonts w:ascii="Times New Roman" w:cs="Times New Roman" w:eastAsia="Times New Roman" w:hAnsi="Times New Roman"/>
          <w:sz w:val="17"/>
          <w:szCs w:val="17"/>
        </w:rPr>
        <w:t xml:space="preserve">[7] Z. Cai et al., "Deep learning and feedback control based container auto-scaling for cloud native microservices," IEEE Trans. Services Computing, 2025.</w:t>
      </w:r>
    </w:p>
    <w:p>
      <w:pPr>
        <w:spacing w:after="60" w:line="210"/>
        <w:ind w:left="360" w:hanging="360"/>
        <w:jc w:val="both"/>
      </w:pPr>
      <w:r>
        <w:rPr>
          <w:rFonts w:ascii="Times New Roman" w:cs="Times New Roman" w:eastAsia="Times New Roman" w:hAnsi="Times New Roman"/>
          <w:sz w:val="17"/>
          <w:szCs w:val="17"/>
        </w:rPr>
        <w:t xml:space="preserve">[8] F. Meng et al., "CATScaler: A convolution-augmented transformer scaling framework for cloud-native applications," IEEE Trans. Services Computing, 2025.</w:t>
      </w:r>
    </w:p>
    <w:p>
      <w:pPr>
        <w:spacing w:after="60" w:line="210"/>
        <w:ind w:left="360" w:hanging="360"/>
        <w:jc w:val="both"/>
      </w:pPr>
      <w:r>
        <w:rPr>
          <w:rFonts w:ascii="Times New Roman" w:cs="Times New Roman" w:eastAsia="Times New Roman" w:hAnsi="Times New Roman"/>
          <w:sz w:val="17"/>
          <w:szCs w:val="17"/>
        </w:rPr>
        <w:t xml:space="preserve">[9] Z. Fang, H. Ma, G. Chen, and R. Buyya, "HGraphScale: Hierarchical graph learning for autoscaling microservice applications in container-based cloud computing," IEEE Trans. Services Computing, 2025.</w:t>
      </w:r>
    </w:p>
    <w:p>
      <w:pPr>
        <w:spacing w:after="60" w:line="210"/>
        <w:ind w:left="360" w:hanging="360"/>
        <w:jc w:val="both"/>
      </w:pPr>
      <w:r>
        <w:rPr>
          <w:rFonts w:ascii="Times New Roman" w:cs="Times New Roman" w:eastAsia="Times New Roman" w:hAnsi="Times New Roman"/>
          <w:sz w:val="17"/>
          <w:szCs w:val="17"/>
        </w:rPr>
        <w:t xml:space="preserve">[10] B. Kumar, A. Verma, and R. Buyya, "Predictive autoscaling in cloud-native and federated cloud-edge computing environments: A taxonomy and future directions," arXiv:2606.07046, 2026.</w:t>
      </w:r>
    </w:p>
    <w:sectPr>
      <w:footerReference w:type="default" r:id="rId75"/>
      <w:type w:val="continuous"/>
      <w:pgSz w:w="12240" w:h="15840" w:orient="portrait"/>
      <w:pgMar w:top="1150" w:right="1080" w:bottom="115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footer" Target="footer28.xml"/><Relationship Id="rId35" Type="http://schemas.openxmlformats.org/officeDocument/2006/relationships/footer" Target="footer29.xml"/><Relationship Id="rId36" Type="http://schemas.openxmlformats.org/officeDocument/2006/relationships/footer" Target="footer30.xml"/><Relationship Id="rId37" Type="http://schemas.openxmlformats.org/officeDocument/2006/relationships/footer" Target="footer31.xml"/><Relationship Id="rId38" Type="http://schemas.openxmlformats.org/officeDocument/2006/relationships/footer" Target="footer32.xml"/><Relationship Id="rId39" Type="http://schemas.openxmlformats.org/officeDocument/2006/relationships/footer" Target="footer33.xml"/><Relationship Id="rId40" Type="http://schemas.openxmlformats.org/officeDocument/2006/relationships/footer" Target="footer34.xml"/><Relationship Id="rId41" Type="http://schemas.openxmlformats.org/officeDocument/2006/relationships/footer" Target="footer35.xml"/><Relationship Id="rId42" Type="http://schemas.openxmlformats.org/officeDocument/2006/relationships/footer" Target="footer36.xml"/><Relationship Id="rId43" Type="http://schemas.openxmlformats.org/officeDocument/2006/relationships/footer" Target="footer37.xml"/><Relationship Id="rId44" Type="http://schemas.openxmlformats.org/officeDocument/2006/relationships/footer" Target="footer38.xml"/><Relationship Id="rId45" Type="http://schemas.openxmlformats.org/officeDocument/2006/relationships/footer" Target="footer39.xml"/><Relationship Id="rId46" Type="http://schemas.openxmlformats.org/officeDocument/2006/relationships/footer" Target="footer40.xml"/><Relationship Id="rId47" Type="http://schemas.openxmlformats.org/officeDocument/2006/relationships/footer" Target="footer41.xml"/><Relationship Id="rId48" Type="http://schemas.openxmlformats.org/officeDocument/2006/relationships/footer" Target="footer42.xml"/><Relationship Id="rId49" Type="http://schemas.openxmlformats.org/officeDocument/2006/relationships/footer" Target="footer43.xml"/><Relationship Id="rId50" Type="http://schemas.openxmlformats.org/officeDocument/2006/relationships/footer" Target="footer44.xml"/><Relationship Id="rId51" Type="http://schemas.openxmlformats.org/officeDocument/2006/relationships/footer" Target="footer45.xml"/><Relationship Id="rId52" Type="http://schemas.openxmlformats.org/officeDocument/2006/relationships/footer" Target="footer46.xml"/><Relationship Id="rId53" Type="http://schemas.openxmlformats.org/officeDocument/2006/relationships/footer" Target="footer47.xml"/><Relationship Id="rId54" Type="http://schemas.openxmlformats.org/officeDocument/2006/relationships/footer" Target="footer48.xml"/><Relationship Id="rId55" Type="http://schemas.openxmlformats.org/officeDocument/2006/relationships/footer" Target="footer49.xml"/><Relationship Id="rId56" Type="http://schemas.openxmlformats.org/officeDocument/2006/relationships/footer" Target="footer50.xml"/><Relationship Id="rId57" Type="http://schemas.openxmlformats.org/officeDocument/2006/relationships/footer" Target="footer51.xml"/><Relationship Id="rId58" Type="http://schemas.openxmlformats.org/officeDocument/2006/relationships/footer" Target="footer52.xml"/><Relationship Id="rId59" Type="http://schemas.openxmlformats.org/officeDocument/2006/relationships/footer" Target="footer53.xml"/><Relationship Id="rId60" Type="http://schemas.openxmlformats.org/officeDocument/2006/relationships/footer" Target="footer54.xml"/><Relationship Id="rId61" Type="http://schemas.openxmlformats.org/officeDocument/2006/relationships/footer" Target="footer55.xml"/><Relationship Id="rId62" Type="http://schemas.openxmlformats.org/officeDocument/2006/relationships/footer" Target="footer56.xml"/><Relationship Id="rId63" Type="http://schemas.openxmlformats.org/officeDocument/2006/relationships/footer" Target="footer57.xml"/><Relationship Id="rId64" Type="http://schemas.openxmlformats.org/officeDocument/2006/relationships/footer" Target="footer58.xml"/><Relationship Id="rId65" Type="http://schemas.openxmlformats.org/officeDocument/2006/relationships/footer" Target="footer59.xml"/><Relationship Id="rId66" Type="http://schemas.openxmlformats.org/officeDocument/2006/relationships/footer" Target="footer60.xml"/><Relationship Id="rId67" Type="http://schemas.openxmlformats.org/officeDocument/2006/relationships/footer" Target="footer61.xml"/><Relationship Id="rId68" Type="http://schemas.openxmlformats.org/officeDocument/2006/relationships/footer" Target="footer62.xml"/><Relationship Id="rId69" Type="http://schemas.openxmlformats.org/officeDocument/2006/relationships/footer" Target="footer63.xml"/><Relationship Id="rId70" Type="http://schemas.openxmlformats.org/officeDocument/2006/relationships/footer" Target="footer64.xml"/><Relationship Id="rId71" Type="http://schemas.openxmlformats.org/officeDocument/2006/relationships/footer" Target="footer65.xml"/><Relationship Id="rId72" Type="http://schemas.openxmlformats.org/officeDocument/2006/relationships/footer" Target="footer66.xml"/><Relationship Id="rId73" Type="http://schemas.openxmlformats.org/officeDocument/2006/relationships/footer" Target="footer67.xml"/><Relationship Id="rId74" Type="http://schemas.openxmlformats.org/officeDocument/2006/relationships/footer" Target="footer68.xml"/><Relationship Id="rId75" Type="http://schemas.openxmlformats.org/officeDocument/2006/relationships/footer" Target="footer69.xml"/><Relationship Id="rId76" Type="http://schemas.openxmlformats.org/officeDocument/2006/relationships/image" Target="media/7ee2675ccafd4f183c8ab1777fdac074564b3fb8.png"/><Relationship Id="rId77" Type="http://schemas.openxmlformats.org/officeDocument/2006/relationships/image" Target="media/c05fd63d23f6689066bb8d932d2da4d841442a7b.png"/><Relationship Id="rId78" Type="http://schemas.openxmlformats.org/officeDocument/2006/relationships/image" Target="media/1670dc7e60ec2197d48d4cf319942fa6edf4fb62.png"/><Relationship Id="rId79" Type="http://schemas.openxmlformats.org/officeDocument/2006/relationships/image" Target="media/a8b8a1ccb2f1cb0d996a10117c713509283c7a0b.png"/><Relationship Id="rId80" Type="http://schemas.openxmlformats.org/officeDocument/2006/relationships/image" Target="media/c78e0072e315da88d37b8c29f99ae4c754203461.png"/><Relationship Id="rId81" Type="http://schemas.openxmlformats.org/officeDocument/2006/relationships/image" Target="media/63a12aaf95e87ea72c11fc71a29b3a0e56f97e1f.png"/><Relationship Id="rId82" Type="http://schemas.openxmlformats.org/officeDocument/2006/relationships/image" Target="media/7adefe009c6e37cbb7c3338a79609dfa37f536c3.png"/><Relationship Id="rId83" Type="http://schemas.openxmlformats.org/officeDocument/2006/relationships/image" Target="media/f003a35d9d87f8cdf37a866aaa34a6be85fdc165.png"/><Relationship Id="rId84" Type="http://schemas.openxmlformats.org/officeDocument/2006/relationships/image" Target="media/e91fff84fa8bf75833a27cdb19100e2f97b30ea6.png"/><Relationship Id="rId85" Type="http://schemas.openxmlformats.org/officeDocument/2006/relationships/image" Target="media/8fc2bfeecb715e61986ccebf6e87782b076391fc.png"/><Relationship Id="rId86" Type="http://schemas.openxmlformats.org/officeDocument/2006/relationships/image" Target="media/20f16e1e9e0008e590e130b9823a47ef2e926dc5.png"/><Relationship Id="rId87" Type="http://schemas.openxmlformats.org/officeDocument/2006/relationships/image" Target="media/8dc8834d5485635d81277f92cab415b23ee10f07.png"/><Relationship Id="rId88" Type="http://schemas.openxmlformats.org/officeDocument/2006/relationships/image" Target="media/439cdcaae826a20f3b4721ecc0f8c3130e44736c.png"/><Relationship Id="rId89" Type="http://schemas.openxmlformats.org/officeDocument/2006/relationships/image" Target="media/bf2abc73ba5cf078f0f024ff2a7f50039c43a61e.png"/><Relationship Id="rId90" Type="http://schemas.openxmlformats.org/officeDocument/2006/relationships/image" Target="media/d08a1c7872325beda3afba0b1501850767df1c59.png"/><Relationship Id="rId91" Type="http://schemas.openxmlformats.org/officeDocument/2006/relationships/image" Target="media/6faea89080ad4f037e37611ed290508f18b799f4.png"/><Relationship Id="rId92" Type="http://schemas.openxmlformats.org/officeDocument/2006/relationships/image" Target="media/f1e2e6090ec6d3cc2b4736fca2921c6d40c56120.png"/><Relationship Id="rId93" Type="http://schemas.openxmlformats.org/officeDocument/2006/relationships/image" Target="media/5c7e39b177727e7a671068c55897475b0b74602f.png"/><Relationship Id="rId94" Type="http://schemas.openxmlformats.org/officeDocument/2006/relationships/image" Target="media/4f2768bbacfe227c7f99e88683fb0feebf1f8b45.png"/><Relationship Id="rId95" Type="http://schemas.openxmlformats.org/officeDocument/2006/relationships/image" Target="media/9b14f4b808f97cde9c4f3cd1e76b2c99b9a03d63.png"/><Relationship Id="rId96" Type="http://schemas.openxmlformats.org/officeDocument/2006/relationships/image" Target="media/6f9b67802ae0f7a0d45f44848cba9a4199731f3e.png"/><Relationship Id="rId97" Type="http://schemas.openxmlformats.org/officeDocument/2006/relationships/image" Target="media/9ba0b2cdb2386230f0de8f726a40346d77517f99.png"/><Relationship Id="rId98" Type="http://schemas.openxmlformats.org/officeDocument/2006/relationships/image" Target="media/1f4b979723e4b86539733d1ea6c862b10370aeec.png"/><Relationship Id="rId99" Type="http://schemas.openxmlformats.org/officeDocument/2006/relationships/image" Target="media/577b860926f61699eff4b007231eb061f16bb379.png"/><Relationship Id="rId100" Type="http://schemas.openxmlformats.org/officeDocument/2006/relationships/image" Target="media/ad910aedf3c0e983189dcee1b77989a98ae1b4cf.png"/><Relationship Id="rId101" Type="http://schemas.openxmlformats.org/officeDocument/2006/relationships/image" Target="media/c0dad983ef13f68a29233cd3dca70ab2e015b3d1.png"/><Relationship Id="rId102" Type="http://schemas.openxmlformats.org/officeDocument/2006/relationships/image" Target="media/be18ca58ad59d2b41251bcf770212feccd257ab4.png"/><Relationship Id="rId103" Type="http://schemas.openxmlformats.org/officeDocument/2006/relationships/image" Target="media/692edbcddbb8b9d17f4213a2fc1634301796ee41.png"/><Relationship Id="rId1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2026-10-30T17:35:08.487Z</dcterms:created>
  <dcterms:modified xsi:type="dcterms:W3CDTF">2026-10-30T17:35:08.488Z</dcterms:modified>
</cp:coreProperties>
</file>

<file path=docProps/custom.xml><?xml version="1.0" encoding="utf-8"?>
<Properties xmlns="http://schemas.openxmlformats.org/officeDocument/2006/custom-properties" xmlns:vt="http://schemas.openxmlformats.org/officeDocument/2006/docPropsVTypes"/>
</file>