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Low-Light Image Enhancement Scheme Toward 2026: Research Plan</w:t>
      </w:r>
    </w:p>
    <w:p>
      <w:pPr>
        <w:pStyle w:val="Heading1"/>
      </w:pPr>
      <w:r>
        <w:t xml:space="preserve">1. Project Title</w:t>
      </w:r>
    </w:p>
    <w:p>
      <w:pPr>
        <w:spacing w:after="240"/>
        <w:jc w:val="both"/>
      </w:pPr>
      <w:r>
        <w:t xml:space="preserve">Robust Unsupervised Low-Light Image Enhancement Based on Contrastive Learning and Explainable Semantic Guidance</w:t>
      </w:r>
    </w:p>
    <w:p>
      <w:pPr>
        <w:pStyle w:val="Heading1"/>
      </w:pPr>
      <w:r>
        <w:t xml:space="preserve">2. Model Name</w:t>
      </w:r>
    </w:p>
    <w:p>
      <w:pPr>
        <w:spacing w:after="240"/>
        <w:jc w:val="both"/>
      </w:pPr>
      <w:r>
        <w:t xml:space="preserve">SemRoCL (Semantic-guided Robust Contrastive Learning Framework)</w:t>
      </w:r>
    </w:p>
    <w:p>
      <w:pPr>
        <w:pStyle w:val="Heading1"/>
      </w:pPr>
      <w:r>
        <w:t xml:space="preserve">3. Dataset Structure</w:t>
      </w:r>
    </w:p>
    <w:p>
      <w:pPr>
        <w:spacing w:after="120"/>
        <w:jc w:val="both"/>
      </w:pPr>
      <w:r>
        <w:t xml:space="preserve">The dataset folder organization is structured as follows:</w:t>
      </w:r>
    </w:p>
    <w:p>
      <w:pPr>
        <w:pStyle w:val="Code"/>
      </w:pPr>
      <w:r>
        <w:t xml:space="preserve">data/</w:t>
      </w:r>
    </w:p>
    <w:p>
      <w:pPr>
        <w:pStyle w:val="Code"/>
      </w:pPr>
      <w:r>
        <w:t xml:space="preserve">├── LIME/</w:t>
      </w:r>
    </w:p>
    <w:p>
      <w:pPr>
        <w:pStyle w:val="Code"/>
      </w:pPr>
      <w:r>
        <w:t xml:space="preserve">├── LOL-v1/</w:t>
      </w:r>
    </w:p>
    <w:p>
      <w:pPr>
        <w:pStyle w:val="Code"/>
      </w:pPr>
      <w:r>
        <w:t xml:space="preserve">│   ├── __MACOSX/</w:t>
      </w:r>
    </w:p>
    <w:p>
      <w:pPr>
        <w:pStyle w:val="Code"/>
      </w:pPr>
      <w:r>
        <w:t xml:space="preserve">│   ├── eval15/</w:t>
      </w:r>
    </w:p>
    <w:p>
      <w:pPr>
        <w:pStyle w:val="Code"/>
      </w:pPr>
      <w:r>
        <w:t xml:space="preserve">│   │   ├── high/</w:t>
      </w:r>
    </w:p>
    <w:p>
      <w:pPr>
        <w:pStyle w:val="Code"/>
      </w:pPr>
      <w:r>
        <w:t xml:space="preserve">│   │   └── low/</w:t>
      </w:r>
    </w:p>
    <w:p>
      <w:pPr>
        <w:pStyle w:val="Code"/>
      </w:pPr>
      <w:r>
        <w:t xml:space="preserve">│   └── our485/</w:t>
      </w:r>
    </w:p>
    <w:p>
      <w:pPr>
        <w:pStyle w:val="Code"/>
      </w:pPr>
      <w:r>
        <w:t xml:space="preserve">│       ├── high/</w:t>
      </w:r>
    </w:p>
    <w:p>
      <w:pPr>
        <w:pStyle w:val="Code"/>
      </w:pPr>
      <w:r>
        <w:t xml:space="preserve">│       └── low/</w:t>
      </w:r>
    </w:p>
    <w:p>
      <w:pPr>
        <w:pStyle w:val="Code"/>
      </w:pPr>
      <w:r>
        <w:t xml:space="preserve">├── LOL-v2/</w:t>
      </w:r>
    </w:p>
    <w:p>
      <w:pPr>
        <w:pStyle w:val="Code"/>
      </w:pPr>
      <w:r>
        <w:t xml:space="preserve">│   ├── Real_captured/</w:t>
      </w:r>
    </w:p>
    <w:p>
      <w:pPr>
        <w:pStyle w:val="Code"/>
      </w:pPr>
      <w:r>
        <w:t xml:space="preserve">│   │   ├── Test/</w:t>
      </w:r>
    </w:p>
    <w:p>
      <w:pPr>
        <w:pStyle w:val="Code"/>
      </w:pPr>
      <w:r>
        <w:t xml:space="preserve">│   │   └── Train/</w:t>
      </w:r>
    </w:p>
    <w:p>
      <w:pPr>
        <w:pStyle w:val="Code"/>
      </w:pPr>
      <w:r>
        <w:t xml:space="preserve">│   └── Synthetic/</w:t>
      </w:r>
    </w:p>
    <w:p>
      <w:pPr>
        <w:pStyle w:val="Code"/>
      </w:pPr>
      <w:r>
        <w:t xml:space="preserve">│       ├── Test/</w:t>
      </w:r>
    </w:p>
    <w:p>
      <w:pPr>
        <w:pStyle w:val="Code"/>
      </w:pPr>
      <w:r>
        <w:t xml:space="preserve">│       └── Train/</w:t>
      </w:r>
    </w:p>
    <w:p>
      <w:pPr>
        <w:spacing w:before="240" w:after="120"/>
        <w:jc w:val="both"/>
      </w:pPr>
      <w:r>
        <w:t xml:space="preserve">The datasets serve the following purposes:</w:t>
      </w:r>
    </w:p>
    <w:p>
      <w:pPr>
        <w:pStyle w:val="ListParagraph"/>
        <w:numPr>
          <w:ilvl w:val="0"/>
          <w:numId w:val="2"/>
        </w:numPr>
        <w:jc w:val="both"/>
      </w:pPr>
      <w:r>
        <w:t xml:space="preserve">LOL-v1 and LOL-v2 are paired datasets containing both low-light and high-light images, which are used for supervised evaluation and validation of the enhancement results.</w:t>
      </w:r>
    </w:p>
    <w:p>
      <w:pPr>
        <w:pStyle w:val="ListParagraph"/>
        <w:numPr>
          <w:ilvl w:val="0"/>
          <w:numId w:val="2"/>
        </w:numPr>
        <w:jc w:val="both"/>
      </w:pPr>
      <w:r>
        <w:t xml:space="preserve">LIME is used for real-world low-light test cases to evaluate the model's generalization capability in diverse practical scenarios.</w:t>
      </w:r>
    </w:p>
    <w:p>
      <w:pPr>
        <w:pStyle w:val="ListParagraph"/>
        <w:numPr>
          <w:ilvl w:val="0"/>
          <w:numId w:val="2"/>
        </w:numPr>
        <w:jc w:val="both"/>
      </w:pPr>
      <w:r>
        <w:t xml:space="preserve">These datasets serve as both reference benchmarks and evaluation standards for the SemRoCL framework, ensuring comprehensive performance assessment.</w:t>
      </w:r>
    </w:p>
    <w:p>
      <w:pPr>
        <w:pStyle w:val="ListParagraph"/>
        <w:numPr>
          <w:ilvl w:val="0"/>
          <w:numId w:val="2"/>
        </w:numPr>
        <w:spacing w:after="240"/>
        <w:jc w:val="both"/>
      </w:pPr>
      <w:r>
        <w:t xml:space="preserve">In the training process, only </w:t>
      </w:r>
      <w:r>
        <w:rPr>
          <w:b/>
          <w:bCs/>
        </w:rPr>
        <w:t xml:space="preserve">low-light images</w:t>
      </w:r>
      <w:r>
        <w:t xml:space="preserve"> from these datasets will be utilized during the unsupervised contrastive pretraining phase, maintaining the framework's fully unsupervised learning paradigm.</w:t>
      </w:r>
    </w:p>
    <w:p>
      <w:pPr>
        <w:pStyle w:val="Heading1"/>
      </w:pPr>
      <w:r>
        <w:t xml:space="preserve">4. Background and Core Objectives</w:t>
      </w:r>
    </w:p>
    <w:p>
      <w:pPr>
        <w:spacing w:after="120"/>
        <w:jc w:val="both"/>
      </w:pPr>
      <w:r>
        <w:rPr>
          <w:b/>
          <w:bCs/>
        </w:rPr>
        <w:t xml:space="preserve">Motivation: </w:t>
      </w:r>
      <w:r>
        <w:t xml:space="preserve">Low-light image enhancement plays a critical role in modern computer vision applications, particularly in autonomous driving, surveillance systems, and mobile photography. Poor lighting conditions significantly degrade image quality, leading to reduced visibility, loss of detail, and compromised performance in downstream tasks such as object detection, semantic segmentation, and scene understanding.</w:t>
      </w:r>
    </w:p>
    <w:p>
      <w:pPr>
        <w:spacing w:after="120"/>
        <w:jc w:val="both"/>
      </w:pPr>
      <w:r>
        <w:rPr>
          <w:b/>
          <w:bCs/>
        </w:rPr>
        <w:t xml:space="preserve">Current Challenges: </w:t>
      </w:r>
      <w:r>
        <w:t xml:space="preserve">Existing low-light enhancement methods face several critical limitations:</w:t>
      </w:r>
    </w:p>
    <w:p>
      <w:pPr>
        <w:pStyle w:val="ListParagraph"/>
        <w:numPr>
          <w:ilvl w:val="0"/>
          <w:numId w:val="2"/>
        </w:numPr>
        <w:jc w:val="both"/>
      </w:pPr>
      <w:r>
        <w:rPr>
          <w:b/>
          <w:bCs/>
        </w:rPr>
        <w:t xml:space="preserve">Dependency on paired data: </w:t>
      </w:r>
      <w:r>
        <w:t xml:space="preserve">Most supervised approaches require expensive paired low-light and normal-light training data, which is difficult to collect at scale.</w:t>
      </w:r>
    </w:p>
    <w:p>
      <w:pPr>
        <w:pStyle w:val="ListParagraph"/>
        <w:numPr>
          <w:ilvl w:val="0"/>
          <w:numId w:val="2"/>
        </w:numPr>
        <w:jc w:val="both"/>
      </w:pPr>
      <w:r>
        <w:rPr>
          <w:b/>
          <w:bCs/>
        </w:rPr>
        <w:t xml:space="preserve">Weak generalization: </w:t>
      </w:r>
      <w:r>
        <w:t xml:space="preserve">Models trained on specific datasets often fail to generalize to diverse real-world scenarios with varying illumination conditions and noise levels.</w:t>
      </w:r>
    </w:p>
    <w:p>
      <w:pPr>
        <w:pStyle w:val="ListParagraph"/>
        <w:numPr>
          <w:ilvl w:val="0"/>
          <w:numId w:val="2"/>
        </w:numPr>
        <w:jc w:val="both"/>
      </w:pPr>
      <w:r>
        <w:rPr>
          <w:b/>
          <w:bCs/>
        </w:rPr>
        <w:t xml:space="preserve">Poor interpretability: </w:t>
      </w:r>
      <w:r>
        <w:t xml:space="preserve">Many deep learning-based methods operate as black boxes, lacking explainability regarding which semantic regions are prioritized during enhancement.</w:t>
      </w:r>
    </w:p>
    <w:p>
      <w:pPr>
        <w:pStyle w:val="ListParagraph"/>
        <w:numPr>
          <w:ilvl w:val="0"/>
          <w:numId w:val="2"/>
        </w:numPr>
        <w:spacing w:after="120"/>
        <w:jc w:val="both"/>
      </w:pPr>
      <w:r>
        <w:rPr>
          <w:b/>
          <w:bCs/>
        </w:rPr>
        <w:t xml:space="preserve">High computational cost: </w:t>
      </w:r>
      <w:r>
        <w:t xml:space="preserve">Complex architectures hinder deployment on resource-constrained edge devices such as mobile phones and embedded systems.</w:t>
      </w:r>
    </w:p>
    <w:p>
      <w:pPr>
        <w:spacing w:after="240"/>
        <w:jc w:val="both"/>
      </w:pPr>
      <w:r>
        <w:rPr>
          <w:b/>
          <w:bCs/>
        </w:rPr>
        <w:t xml:space="preserve">Research Goal: </w:t>
      </w:r>
      <w:r>
        <w:t xml:space="preserve">This project aims to build a fully unsupervised, noise-robust, interpretable, and lightweight low-light image enhancement framework deployable by 2026. The SemRoCL framework will eliminate the dependency on paired training data while providing semantic guidance for targeted enhancement and maintaining real-time inference capability on edge devices.</w:t>
      </w:r>
    </w:p>
    <w:p>
      <w:pPr>
        <w:pStyle w:val="Heading1"/>
      </w:pPr>
      <w:r>
        <w:t xml:space="preserve">5. Core Methodology (Optimized)</w:t>
      </w:r>
    </w:p>
    <w:p>
      <w:pPr>
        <w:spacing w:after="120"/>
        <w:jc w:val="both"/>
      </w:pPr>
      <w:r>
        <w:rPr>
          <w:b/>
          <w:bCs/>
        </w:rPr>
        <w:t xml:space="preserve">Guiding Principle: </w:t>
      </w:r>
      <w:r>
        <w:t xml:space="preserve">"Unsupervised feature learning as the base, lightweight robust semantics as the guide, and multi-objective frequency-domain optimization as the constraint."</w:t>
      </w:r>
    </w:p>
    <w:p>
      <w:pPr>
        <w:spacing w:after="120"/>
        <w:jc w:val="both"/>
      </w:pPr>
      <w:r>
        <w:rPr>
          <w:b/>
          <w:bCs/>
        </w:rPr>
        <w:t xml:space="preserve">Conceptual Architecture: </w:t>
      </w:r>
      <w:r>
        <w:t xml:space="preserve">The SemRoCL framework consists of a two-stage pipeline with multi-objective optimization:</w:t>
      </w:r>
    </w:p>
    <w:p>
      <w:pPr>
        <w:pStyle w:val="Code"/>
        <w:spacing w:after="60"/>
      </w:pPr>
      <w:r>
        <w:t xml:space="preserve">[Low-Light Input]</w:t>
      </w:r>
    </w:p>
    <w:p>
      <w:pPr>
        <w:pStyle w:val="Code"/>
        <w:spacing w:after="60"/>
      </w:pPr>
      <w:r>
        <w:t xml:space="preserve">    ↓</w:t>
      </w:r>
    </w:p>
    <w:p>
      <w:pPr>
        <w:pStyle w:val="Code"/>
        <w:spacing w:after="60"/>
      </w:pPr>
      <w:r>
        <w:t xml:space="preserve">[Stage 1: Robust Feature Pretraining]</w:t>
      </w:r>
    </w:p>
    <w:p>
      <w:pPr>
        <w:pStyle w:val="Code"/>
        <w:spacing w:after="60"/>
      </w:pPr>
      <w:r>
        <w:t xml:space="preserve">(MoCo v3 + Illumination/Noise Augmentation)</w:t>
      </w:r>
    </w:p>
    <w:p>
      <w:pPr>
        <w:pStyle w:val="Code"/>
        <w:spacing w:after="60"/>
      </w:pPr>
      <w:r>
        <w:t xml:space="preserve">    ↓</w:t>
      </w:r>
    </w:p>
    <w:p>
      <w:pPr>
        <w:pStyle w:val="Code"/>
        <w:spacing w:after="60"/>
      </w:pPr>
      <w:r>
        <w:t xml:space="preserve">[Frozen Universal Encoder]</w:t>
      </w:r>
    </w:p>
    <w:p>
      <w:pPr>
        <w:pStyle w:val="Code"/>
        <w:spacing w:after="60"/>
      </w:pPr>
      <w:r>
        <w:t xml:space="preserve">    ↓</w:t>
      </w:r>
    </w:p>
    <w:p>
      <w:pPr>
        <w:pStyle w:val="Code"/>
        <w:spacing w:after="60"/>
      </w:pPr>
      <w:r>
        <w:t xml:space="preserve">[Stage 2: Lightweight Semantic-Guided Enhancement]</w:t>
      </w:r>
    </w:p>
    <w:p>
      <w:pPr>
        <w:pStyle w:val="Code"/>
        <w:spacing w:after="60"/>
      </w:pPr>
      <w:r>
        <w:t xml:space="preserve">(SegFormer-B0 + Uncertainty Estimation)</w:t>
      </w:r>
    </w:p>
    <w:p>
      <w:pPr>
        <w:pStyle w:val="Code"/>
        <w:spacing w:after="60"/>
      </w:pPr>
      <w:r>
        <w:t xml:space="preserve">    ↓</w:t>
      </w:r>
    </w:p>
    <w:p>
      <w:pPr>
        <w:pStyle w:val="Code"/>
        <w:spacing w:after="60"/>
      </w:pPr>
      <w:r>
        <w:t xml:space="preserve">[Pixel-level Curve Estimation Enhancer]</w:t>
      </w:r>
    </w:p>
    <w:p>
      <w:pPr>
        <w:pStyle w:val="Code"/>
        <w:spacing w:after="60"/>
      </w:pPr>
      <w:r>
        <w:t xml:space="preserve">    ↓</w:t>
      </w:r>
    </w:p>
    <w:p>
      <w:pPr>
        <w:pStyle w:val="Code"/>
        <w:spacing w:after="240"/>
      </w:pPr>
      <w:r>
        <w:t xml:space="preserve">[Enhanced Output + Multi-objective Loss]</w:t>
      </w:r>
    </w:p>
    <w:p>
      <w:pPr>
        <w:pStyle w:val="Code"/>
        <w:spacing w:after="240"/>
      </w:pPr>
      <w:r>
        <w:t xml:space="preserve">(L_color, L_semantic, L_frequency, L_adv, L_task)</w:t>
      </w:r>
    </w:p>
    <w:p>
      <w:pPr>
        <w:pStyle w:val="Heading1"/>
      </w:pPr>
      <w:r>
        <w:t xml:space="preserve">6. Experimental Design and Technical Route</w:t>
      </w:r>
    </w:p>
    <w:p>
      <w:pPr>
        <w:spacing w:after="180"/>
        <w:jc w:val="both"/>
      </w:pPr>
      <w:r>
        <w:t xml:space="preserve">The research plan is divided into three phases spanning a total of 18 months:</w:t>
      </w:r>
    </w:p>
    <w:p>
      <w:pPr>
        <w:pStyle w:val="Heading2"/>
      </w:pPr>
      <w:r>
        <w:t xml:space="preserve">Phase 1 (Months 1–6): Framework Construction and Validation</w:t>
      </w:r>
    </w:p>
    <w:p>
      <w:pPr>
        <w:pStyle w:val="ListParagraph"/>
        <w:numPr>
          <w:ilvl w:val="0"/>
          <w:numId w:val="3"/>
        </w:numPr>
        <w:jc w:val="both"/>
      </w:pPr>
      <w:r>
        <w:rPr>
          <w:b/>
          <w:bCs/>
        </w:rPr>
        <w:t xml:space="preserve">Data Preparation: </w:t>
      </w:r>
      <w:r>
        <w:t xml:space="preserve">Collect and organize datasets including LOL-v1, LOL-v2, LIME, Dark Zurich, and ACDC. Implement data augmentation pipelines with illumination and noise perturbations for domain adaptation.</w:t>
      </w:r>
    </w:p>
    <w:p>
      <w:pPr>
        <w:pStyle w:val="ListParagraph"/>
        <w:numPr>
          <w:ilvl w:val="0"/>
          <w:numId w:val="3"/>
        </w:numPr>
        <w:jc w:val="both"/>
      </w:pPr>
      <w:r>
        <w:rPr>
          <w:b/>
          <w:bCs/>
        </w:rPr>
        <w:t xml:space="preserve">Pretraining Strategy: </w:t>
      </w:r>
      <w:r>
        <w:t xml:space="preserve">Train MoCo v3 encoder using unsupervised contrastive learning with strong illumination and noise augmentations. The encoder learns robust feature representations from low-light images without requiring paired ground truth.</w:t>
      </w:r>
    </w:p>
    <w:p>
      <w:pPr>
        <w:pStyle w:val="ListParagraph"/>
        <w:numPr>
          <w:ilvl w:val="0"/>
          <w:numId w:val="3"/>
        </w:numPr>
        <w:jc w:val="both"/>
      </w:pPr>
      <w:r>
        <w:rPr>
          <w:b/>
          <w:bCs/>
        </w:rPr>
        <w:t xml:space="preserve">Semantic Guidance Integration: </w:t>
      </w:r>
      <w:r>
        <w:t xml:space="preserve">Fine-tune SegFormer-B0 for semantic segmentation under low-light conditions. Integrate uncertainty estimation using Intersection over Union (UIoU) to identify reliable semantic regions.</w:t>
      </w:r>
    </w:p>
    <w:p>
      <w:pPr>
        <w:pStyle w:val="ListParagraph"/>
        <w:numPr>
          <w:ilvl w:val="0"/>
          <w:numId w:val="3"/>
        </w:numPr>
        <w:spacing w:after="240"/>
        <w:jc w:val="both"/>
      </w:pPr>
      <w:r>
        <w:rPr>
          <w:b/>
          <w:bCs/>
        </w:rPr>
        <w:t xml:space="preserve">Loss Composition: </w:t>
      </w:r>
      <w:r>
        <w:t xml:space="preserve">Design and implement the multi-objective loss function combining color consistency (L_color), semantic guidance (L_semantic), adversarial loss (L_adv), frequency-domain constraints (L_frequency), and task-specific loss (L_task).</w:t>
      </w:r>
    </w:p>
    <w:p>
      <w:pPr>
        <w:pStyle w:val="Heading2"/>
      </w:pPr>
      <w:r>
        <w:t xml:space="preserve">Phase 2 (Months 7–12): Robustness Reinforcement and Lightweight Deployment</w:t>
      </w:r>
    </w:p>
    <w:p>
      <w:pPr>
        <w:pStyle w:val="ListParagraph"/>
        <w:numPr>
          <w:ilvl w:val="0"/>
          <w:numId w:val="4"/>
        </w:numPr>
        <w:jc w:val="both"/>
      </w:pPr>
      <w:r>
        <w:rPr>
          <w:b/>
          <w:bCs/>
        </w:rPr>
        <w:t xml:space="preserve">Extreme Scene Optimization: </w:t>
      </w:r>
      <w:r>
        <w:t xml:space="preserve">Train and validate the model on datasets with extreme illumination variations and high noise levels, including UHD-LL and ExDark, to enhance robustness under challenging conditions.</w:t>
      </w:r>
    </w:p>
    <w:p>
      <w:pPr>
        <w:pStyle w:val="ListParagraph"/>
        <w:numPr>
          <w:ilvl w:val="0"/>
          <w:numId w:val="4"/>
        </w:numPr>
        <w:jc w:val="both"/>
      </w:pPr>
      <w:r>
        <w:rPr>
          <w:b/>
          <w:bCs/>
        </w:rPr>
        <w:t xml:space="preserve">Knowledge Distillation: </w:t>
      </w:r>
      <w:r>
        <w:t xml:space="preserve">Apply knowledge distillation techniques to train a lightweight student model that maintains performance while reducing computational complexity.</w:t>
      </w:r>
    </w:p>
    <w:p>
      <w:pPr>
        <w:pStyle w:val="ListParagraph"/>
        <w:numPr>
          <w:ilvl w:val="0"/>
          <w:numId w:val="4"/>
        </w:numPr>
        <w:jc w:val="both"/>
      </w:pPr>
      <w:r>
        <w:rPr>
          <w:b/>
          <w:bCs/>
        </w:rPr>
        <w:t xml:space="preserve">Lightweight Architecture: </w:t>
      </w:r>
      <w:r>
        <w:t xml:space="preserve">Replace the semantic segmentation backbone with MobileViT-UNet, a mobile-optimized architecture that balances accuracy with computational efficiency.</w:t>
      </w:r>
    </w:p>
    <w:p>
      <w:pPr>
        <w:pStyle w:val="ListParagraph"/>
        <w:numPr>
          <w:ilvl w:val="0"/>
          <w:numId w:val="4"/>
        </w:numPr>
        <w:spacing w:after="240"/>
        <w:jc w:val="both"/>
      </w:pPr>
      <w:r>
        <w:rPr>
          <w:b/>
          <w:bCs/>
        </w:rPr>
        <w:t xml:space="preserve">Inference Optimization: </w:t>
      </w:r>
      <w:r>
        <w:t xml:space="preserve">Optimize the model for deployment using TensorRT and ONNX Runtime. Profile inference latency and memory footprint on target edge devices (mobile GPUs, embedded systems).</w:t>
      </w:r>
    </w:p>
    <w:p>
      <w:pPr>
        <w:pStyle w:val="Heading2"/>
      </w:pPr>
      <w:r>
        <w:t xml:space="preserve">Phase 3 (Months 13–18): Frontier Expansion and Application Validation</w:t>
      </w:r>
    </w:p>
    <w:p>
      <w:pPr>
        <w:pStyle w:val="ListParagraph"/>
        <w:numPr>
          <w:ilvl w:val="0"/>
          <w:numId w:val="5"/>
        </w:numPr>
        <w:jc w:val="both"/>
      </w:pPr>
      <w:r>
        <w:rPr>
          <w:b/>
          <w:bCs/>
        </w:rPr>
        <w:t xml:space="preserve">Multimodal Fusion: </w:t>
      </w:r>
      <w:r>
        <w:t xml:space="preserve">Extend the framework to support multimodal enhancement by fusing RGB and infrared (IR) imagery. Investigate cross-modal attention mechanisms for complementary information integration.</w:t>
      </w:r>
    </w:p>
    <w:p>
      <w:pPr>
        <w:pStyle w:val="ListParagraph"/>
        <w:numPr>
          <w:ilvl w:val="0"/>
          <w:numId w:val="5"/>
        </w:numPr>
        <w:jc w:val="both"/>
      </w:pPr>
      <w:r>
        <w:rPr>
          <w:b/>
          <w:bCs/>
        </w:rPr>
        <w:t xml:space="preserve">Explainable Visualization: </w:t>
      </w:r>
      <w:r>
        <w:t xml:space="preserve">Implement visualization tools including semantic heatmaps and attention maps to provide interpretable insights into which regions the model prioritizes during enhancement.</w:t>
      </w:r>
    </w:p>
    <w:p>
      <w:pPr>
        <w:pStyle w:val="ListParagraph"/>
        <w:numPr>
          <w:ilvl w:val="0"/>
          <w:numId w:val="5"/>
        </w:numPr>
        <w:spacing w:after="240"/>
        <w:jc w:val="both"/>
      </w:pPr>
      <w:r>
        <w:rPr>
          <w:b/>
          <w:bCs/>
        </w:rPr>
        <w:t xml:space="preserve">System-Level Evaluation: </w:t>
      </w:r>
      <w:r>
        <w:t xml:space="preserve">Conduct comprehensive evaluation using both low-level metrics (PSNR, SSIM, LPIPS, NIQE) and high-level task-specific metrics (mAP for object detection, mIoU for semantic segmentation). Additionally, perform Mean Opinion Score (MOS) studies with human evaluators.</w:t>
      </w:r>
    </w:p>
    <w:p>
      <w:pPr>
        <w:pStyle w:val="Heading1"/>
      </w:pPr>
      <w:r>
        <w:t xml:space="preserve">7. Risk Assessment and Mitigation</w:t>
      </w:r>
    </w:p>
    <w:p>
      <w:pPr>
        <w:spacing w:after="180"/>
        <w:jc w:val="both"/>
      </w:pPr>
      <w:r>
        <w:t xml:space="preserve">The following table summarizes major risks, their potential impacts, and corresponding mitigation strategies: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800"/>
        <w:gridCol w:w="2800"/>
        <w:gridCol w:w="3760"/>
      </w:tblGrid>
      <w:tr>
        <w:trPr>
          <w:tblHeader/>
        </w:trPr>
        <w:tc>
          <w:tcPr>
            <w:tcW w:type="dxa" w:w="2800"/>
            <w:tcBorders>
              <w:top w:val="single" w:color="000000" w:sz="6"/>
              <w:left w:val="single" w:color="000000" w:sz="6"/>
              <w:bottom w:val="single" w:color="000000" w:sz="6"/>
              <w:right w:val="single" w:color="000000" w:sz="6"/>
            </w:tcBorders>
            <w:shd w:fill="D5E8F0" w:val="clear"/>
          </w:tcPr>
          <w:p>
            <w:pPr>
              <w:jc w:val="center"/>
            </w:pPr>
            <w:r>
              <w:rPr>
                <w:b/>
                <w:bCs/>
                <w:sz w:val="22"/>
                <w:szCs w:val="22"/>
              </w:rPr>
              <w:t xml:space="preserve">Major Risk</w:t>
            </w:r>
          </w:p>
        </w:tc>
        <w:tc>
          <w:tcPr>
            <w:tcW w:type="dxa" w:w="2800"/>
            <w:tcBorders>
              <w:top w:val="single" w:color="000000" w:sz="6"/>
              <w:left w:val="single" w:color="000000" w:sz="6"/>
              <w:bottom w:val="single" w:color="000000" w:sz="6"/>
              <w:right w:val="single" w:color="000000" w:sz="6"/>
            </w:tcBorders>
            <w:shd w:fill="D5E8F0" w:val="clear"/>
          </w:tcPr>
          <w:p>
            <w:pPr>
              <w:jc w:val="center"/>
            </w:pPr>
            <w:r>
              <w:rPr>
                <w:b/>
                <w:bCs/>
                <w:sz w:val="22"/>
                <w:szCs w:val="22"/>
              </w:rPr>
              <w:t xml:space="preserve">Impact</w:t>
            </w:r>
          </w:p>
        </w:tc>
        <w:tc>
          <w:tcPr>
            <w:tcW w:type="dxa" w:w="3760"/>
            <w:tcBorders>
              <w:top w:val="single" w:color="000000" w:sz="6"/>
              <w:left w:val="single" w:color="000000" w:sz="6"/>
              <w:bottom w:val="single" w:color="000000" w:sz="6"/>
              <w:right w:val="single" w:color="000000" w:sz="6"/>
            </w:tcBorders>
            <w:shd w:fill="D5E8F0" w:val="clear"/>
          </w:tcPr>
          <w:p>
            <w:pPr>
              <w:jc w:val="center"/>
            </w:pPr>
            <w:r>
              <w:rPr>
                <w:b/>
                <w:bCs/>
                <w:sz w:val="22"/>
                <w:szCs w:val="22"/>
              </w:rPr>
              <w:t xml:space="preserve">Mitigation Strategy</w:t>
            </w:r>
          </w:p>
        </w:tc>
      </w:tr>
      <w:tr>
        <w:tc>
          <w:tcPr>
            <w:tcW w:type="dxa" w:w="2800"/>
            <w:tcBorders>
              <w:top w:val="single" w:color="000000" w:sz="6"/>
              <w:left w:val="single" w:color="000000" w:sz="6"/>
              <w:bottom w:val="single" w:color="000000" w:sz="6"/>
              <w:right w:val="single" w:color="000000" w:sz="6"/>
            </w:tcBorders>
          </w:tcPr>
          <w:p>
            <w:pPr>
              <w:jc w:val="both"/>
            </w:pPr>
            <w:r>
              <w:t xml:space="preserve">Semantic Domain Shift</w:t>
            </w:r>
          </w:p>
        </w:tc>
        <w:tc>
          <w:tcPr>
            <w:tcW w:type="dxa" w:w="2800"/>
            <w:tcBorders>
              <w:top w:val="single" w:color="000000" w:sz="6"/>
              <w:left w:val="single" w:color="000000" w:sz="6"/>
              <w:bottom w:val="single" w:color="000000" w:sz="6"/>
              <w:right w:val="single" w:color="000000" w:sz="6"/>
            </w:tcBorders>
          </w:tcPr>
          <w:p>
            <w:pPr>
              <w:jc w:val="both"/>
            </w:pPr>
            <w:r>
              <w:t xml:space="preserve">Unreliable segmentation under night scenes</w:t>
            </w:r>
          </w:p>
        </w:tc>
        <w:tc>
          <w:tcPr>
            <w:tcW w:type="dxa" w:w="3760"/>
            <w:tcBorders>
              <w:top w:val="single" w:color="000000" w:sz="6"/>
              <w:left w:val="single" w:color="000000" w:sz="6"/>
              <w:bottom w:val="single" w:color="000000" w:sz="6"/>
              <w:right w:val="single" w:color="000000" w:sz="6"/>
            </w:tcBorders>
          </w:tcPr>
          <w:p>
            <w:pPr>
              <w:jc w:val="both"/>
            </w:pPr>
            <w:r>
              <w:t xml:space="preserve">Domain adaptation with Dark Zurich/ACDC; apply UIoU uncertainty masking</w:t>
            </w:r>
          </w:p>
        </w:tc>
      </w:tr>
      <w:tr>
        <w:tc>
          <w:tcPr>
            <w:tcW w:type="dxa" w:w="2800"/>
            <w:tcBorders>
              <w:top w:val="single" w:color="000000" w:sz="6"/>
              <w:left w:val="single" w:color="000000" w:sz="6"/>
              <w:bottom w:val="single" w:color="000000" w:sz="6"/>
              <w:right w:val="single" w:color="000000" w:sz="6"/>
            </w:tcBorders>
          </w:tcPr>
          <w:p>
            <w:pPr>
              <w:jc w:val="both"/>
            </w:pPr>
            <w:r>
              <w:t xml:space="preserve">High Computational Cost</w:t>
            </w:r>
          </w:p>
        </w:tc>
        <w:tc>
          <w:tcPr>
            <w:tcW w:type="dxa" w:w="2800"/>
            <w:tcBorders>
              <w:top w:val="single" w:color="000000" w:sz="6"/>
              <w:left w:val="single" w:color="000000" w:sz="6"/>
              <w:bottom w:val="single" w:color="000000" w:sz="6"/>
              <w:right w:val="single" w:color="000000" w:sz="6"/>
            </w:tcBorders>
          </w:tcPr>
          <w:p>
            <w:pPr>
              <w:jc w:val="both"/>
            </w:pPr>
            <w:r>
              <w:t xml:space="preserve">Difficult edge deployment</w:t>
            </w:r>
          </w:p>
        </w:tc>
        <w:tc>
          <w:tcPr>
            <w:tcW w:type="dxa" w:w="3760"/>
            <w:tcBorders>
              <w:top w:val="single" w:color="000000" w:sz="6"/>
              <w:left w:val="single" w:color="000000" w:sz="6"/>
              <w:bottom w:val="single" w:color="000000" w:sz="6"/>
              <w:right w:val="single" w:color="000000" w:sz="6"/>
            </w:tcBorders>
          </w:tcPr>
          <w:p>
            <w:pPr>
              <w:jc w:val="both"/>
            </w:pPr>
            <w:r>
              <w:t xml:space="preserve">Freeze backbone; use lightweight modules; knowledge distillation</w:t>
            </w:r>
          </w:p>
        </w:tc>
      </w:tr>
      <w:tr>
        <w:tc>
          <w:tcPr>
            <w:tcW w:type="dxa" w:w="2800"/>
            <w:tcBorders>
              <w:top w:val="single" w:color="000000" w:sz="6"/>
              <w:left w:val="single" w:color="000000" w:sz="6"/>
              <w:bottom w:val="single" w:color="000000" w:sz="6"/>
              <w:right w:val="single" w:color="000000" w:sz="6"/>
            </w:tcBorders>
          </w:tcPr>
          <w:p>
            <w:pPr>
              <w:jc w:val="both"/>
            </w:pPr>
            <w:r>
              <w:t xml:space="preserve">Unstable in Extreme Scenes</w:t>
            </w:r>
          </w:p>
        </w:tc>
        <w:tc>
          <w:tcPr>
            <w:tcW w:type="dxa" w:w="2800"/>
            <w:tcBorders>
              <w:top w:val="single" w:color="000000" w:sz="6"/>
              <w:left w:val="single" w:color="000000" w:sz="6"/>
              <w:bottom w:val="single" w:color="000000" w:sz="6"/>
              <w:right w:val="single" w:color="000000" w:sz="6"/>
            </w:tcBorders>
          </w:tcPr>
          <w:p>
            <w:pPr>
              <w:jc w:val="both"/>
            </w:pPr>
            <w:r>
              <w:t xml:space="preserve">Noise/color cast artifacts</w:t>
            </w:r>
          </w:p>
        </w:tc>
        <w:tc>
          <w:tcPr>
            <w:tcW w:type="dxa" w:w="3760"/>
            <w:tcBorders>
              <w:top w:val="single" w:color="000000" w:sz="6"/>
              <w:left w:val="single" w:color="000000" w:sz="6"/>
              <w:bottom w:val="single" w:color="000000" w:sz="6"/>
              <w:right w:val="single" w:color="000000" w:sz="6"/>
            </w:tcBorders>
          </w:tcPr>
          <w:p>
            <w:pPr>
              <w:jc w:val="both"/>
            </w:pPr>
            <w:r>
              <w:t xml:space="preserve">Frequency-domain loss + UHD-LL data regularization</w:t>
            </w:r>
          </w:p>
        </w:tc>
      </w:tr>
      <w:tr>
        <w:tc>
          <w:tcPr>
            <w:tcW w:type="dxa" w:w="2800"/>
            <w:tcBorders>
              <w:top w:val="single" w:color="000000" w:sz="6"/>
              <w:left w:val="single" w:color="000000" w:sz="6"/>
              <w:bottom w:val="single" w:color="000000" w:sz="6"/>
              <w:right w:val="single" w:color="000000" w:sz="6"/>
            </w:tcBorders>
          </w:tcPr>
          <w:p>
            <w:pPr>
              <w:jc w:val="both"/>
            </w:pPr>
            <w:r>
              <w:t xml:space="preserve">Failure in Reference-free Scenarios</w:t>
            </w:r>
          </w:p>
        </w:tc>
        <w:tc>
          <w:tcPr>
            <w:tcW w:type="dxa" w:w="2800"/>
            <w:tcBorders>
              <w:top w:val="single" w:color="000000" w:sz="6"/>
              <w:left w:val="single" w:color="000000" w:sz="6"/>
              <w:bottom w:val="single" w:color="000000" w:sz="6"/>
              <w:right w:val="single" w:color="000000" w:sz="6"/>
            </w:tcBorders>
          </w:tcPr>
          <w:p>
            <w:pPr>
              <w:jc w:val="both"/>
            </w:pPr>
            <w:r>
              <w:t xml:space="preserve">Drop in no-reference cases</w:t>
            </w:r>
          </w:p>
        </w:tc>
        <w:tc>
          <w:tcPr>
            <w:tcW w:type="dxa" w:w="3760"/>
            <w:tcBorders>
              <w:top w:val="single" w:color="000000" w:sz="6"/>
              <w:left w:val="single" w:color="000000" w:sz="6"/>
              <w:bottom w:val="single" w:color="000000" w:sz="6"/>
              <w:right w:val="single" w:color="000000" w:sz="6"/>
            </w:tcBorders>
          </w:tcPr>
          <w:p>
            <w:pPr>
              <w:jc w:val="both"/>
            </w:pPr>
            <w:r>
              <w:t xml:space="preserve">Self-supervised illumination reconstruction (VAE priors)</w:t>
            </w:r>
          </w:p>
        </w:tc>
      </w:tr>
    </w:tbl>
    <w:p>
      <w:pPr>
        <w:spacing w:before="240"/>
      </w:pPr>
      <w:r>
        <w:t xml:space="preserve"/>
      </w:r>
    </w:p>
    <w:p>
      <w:pPr>
        <w:pStyle w:val="Heading1"/>
      </w:pPr>
      <w:r>
        <w:t xml:space="preserve">8. Expected Outcomes and Deliverables</w:t>
      </w:r>
    </w:p>
    <w:p>
      <w:pPr>
        <w:spacing w:after="120"/>
        <w:jc w:val="both"/>
      </w:pPr>
      <w:r>
        <w:t xml:space="preserve">By the conclusion of this 18-month research plan, the following deliverables are expected:</w:t>
      </w:r>
    </w:p>
    <w:p>
      <w:pPr>
        <w:pStyle w:val="ListParagraph"/>
        <w:numPr>
          <w:ilvl w:val="0"/>
          <w:numId w:val="6"/>
        </w:numPr>
        <w:jc w:val="both"/>
      </w:pPr>
      <w:r>
        <w:rPr>
          <w:b/>
          <w:bCs/>
        </w:rPr>
        <w:t xml:space="preserve">Full SemRoCL Implementation: </w:t>
      </w:r>
      <w:r>
        <w:t xml:space="preserve">Complete source code with pretrained model weights, training scripts, and evaluation pipelines. The implementation will be well-documented and publicly released to facilitate reproducibility.</w:t>
      </w:r>
    </w:p>
    <w:p>
      <w:pPr>
        <w:pStyle w:val="ListParagraph"/>
        <w:numPr>
          <w:ilvl w:val="0"/>
          <w:numId w:val="6"/>
        </w:numPr>
        <w:jc w:val="both"/>
      </w:pPr>
      <w:r>
        <w:rPr>
          <w:b/>
          <w:bCs/>
        </w:rPr>
        <w:t xml:space="preserve">Academic Publication: </w:t>
      </w:r>
      <w:r>
        <w:t xml:space="preserve">A peer-reviewed research paper or comprehensive technical report detailing the methodology, experimental results, and contributions to the field of low-light image enhancement.</w:t>
      </w:r>
    </w:p>
    <w:p>
      <w:pPr>
        <w:pStyle w:val="ListParagraph"/>
        <w:numPr>
          <w:ilvl w:val="0"/>
          <w:numId w:val="6"/>
        </w:numPr>
        <w:jc w:val="both"/>
      </w:pPr>
      <w:r>
        <w:rPr>
          <w:b/>
          <w:bCs/>
        </w:rPr>
        <w:t xml:space="preserve">Visual Demo System: </w:t>
      </w:r>
      <w:r>
        <w:t xml:space="preserve">An interactive demonstration system supporting both image and video enhancement with real-time explainability features, including semantic heatmaps and attention visualizations.</w:t>
      </w:r>
    </w:p>
    <w:p>
      <w:pPr>
        <w:pStyle w:val="ListParagraph"/>
        <w:numPr>
          <w:ilvl w:val="0"/>
          <w:numId w:val="6"/>
        </w:numPr>
        <w:jc w:val="both"/>
      </w:pPr>
      <w:r>
        <w:rPr>
          <w:b/>
          <w:bCs/>
        </w:rPr>
        <w:t xml:space="preserve">Lightweight Model Series: </w:t>
      </w:r>
      <w:r>
        <w:t xml:space="preserve">A suite of optimized model variants tailored for different hardware platforms, including high-performance GPUs, mobile devices, and resource-constrained embedded systems.</w:t>
      </w:r>
    </w:p>
    <w:p>
      <w:pPr>
        <w:pStyle w:val="ListParagraph"/>
        <w:numPr>
          <w:ilvl w:val="0"/>
          <w:numId w:val="6"/>
        </w:numPr>
        <w:jc w:val="both"/>
      </w:pPr>
      <w:r>
        <w:rPr>
          <w:b/>
          <w:bCs/>
        </w:rPr>
        <w:t xml:space="preserve">Multimodal Enhancement Prototype: </w:t>
      </w:r>
      <w:r>
        <w:t xml:space="preserve">A prototype system demonstrating RGB and infrared image fusion for enhanced low-light performance in challenging scenarios such as complete darkness or adverse weather conditions.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360"/>
      <w:jc w:val="center"/>
    </w:pPr>
    <w:rPr>
      <w:rFonts w:ascii="Arial" w:cs="Arial" w:eastAsia="Arial" w:hAnsi="Arial"/>
      <w:b/>
      <w:bCs/>
      <w:color w:val="000000"/>
      <w:sz w:val="32"/>
      <w:szCs w:val="32"/>
    </w:rPr>
  </w:style>
  <w:style w:type="paragraph" w:styleId="Heading1">
    <w:name w:val="Heading 1"/>
    <w:basedOn w:val="Normal"/>
    <w:next w:val="Normal"/>
    <w:qFormat/>
    <w:pPr>
      <w:spacing w:before="360" w:after="240"/>
      <w:outlineLvl w:val="0"/>
    </w:pPr>
    <w:rPr>
      <w:rFonts w:ascii="Arial" w:cs="Arial" w:eastAsia="Arial" w:hAnsi="Arial"/>
      <w:b/>
      <w:bCs/>
      <w:color w:val="000000"/>
      <w:sz w:val="28"/>
      <w:szCs w:val="28"/>
    </w:rPr>
  </w:style>
  <w:style w:type="paragraph" w:styleId="Heading2">
    <w:name w:val="Heading 2"/>
    <w:basedOn w:val="Normal"/>
    <w:next w:val="Normal"/>
    <w:qFormat/>
    <w:pPr>
      <w:spacing w:before="280" w:after="180"/>
      <w:outlineLvl w:val="1"/>
    </w:pPr>
    <w:rPr>
      <w:rFonts w:ascii="Arial" w:cs="Arial" w:eastAsia="Arial" w:hAnsi="Arial"/>
      <w:b/>
      <w:bCs/>
      <w:color w:val="000000"/>
      <w:sz w:val="26"/>
      <w:szCs w:val="26"/>
    </w:rPr>
  </w:style>
  <w:style w:type="paragraph" w:styleId="Code">
    <w:name w:val="Code"/>
    <w:basedOn w:val="Normal"/>
    <w:pPr>
      <w:spacing w:before="120" w:after="120"/>
      <w:ind w:left="36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2025-10-23T08:15:47.656Z</dcterms:created>
  <dcterms:modified xsi:type="dcterms:W3CDTF">2025-10-23T08:15:47.657Z</dcterms:modified>
</cp:coreProperties>
</file>

<file path=docProps/custom.xml><?xml version="1.0" encoding="utf-8"?>
<Properties xmlns="http://schemas.openxmlformats.org/officeDocument/2006/custom-properties" xmlns:vt="http://schemas.openxmlformats.org/officeDocument/2006/docPropsVTypes"/>
</file>