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DC1D" w14:textId="105062A0" w:rsidR="00163FF5" w:rsidRPr="002324E7" w:rsidRDefault="004C557F" w:rsidP="002324E7">
      <w:pPr>
        <w:shd w:val="clear" w:color="auto" w:fill="FFFFFF" w:themeFill="background1"/>
        <w:jc w:val="center"/>
        <w:rPr>
          <w:rFonts w:ascii="黑体" w:eastAsia="黑体" w:hAnsi="黑体"/>
          <w:color w:val="00B0F0"/>
          <w:sz w:val="30"/>
          <w:szCs w:val="30"/>
        </w:rPr>
      </w:pPr>
      <w:r w:rsidRPr="002324E7">
        <w:rPr>
          <w:rFonts w:ascii="黑体" w:eastAsia="黑体" w:hAnsi="黑体" w:hint="eastAsia"/>
          <w:color w:val="00B0F0"/>
          <w:sz w:val="30"/>
          <w:szCs w:val="30"/>
          <w:shd w:val="clear" w:color="auto" w:fill="00B050"/>
        </w:rPr>
        <w:t>中报显示多数</w:t>
      </w:r>
      <w:r w:rsidR="002324E7" w:rsidRPr="002324E7">
        <w:rPr>
          <w:rFonts w:ascii="黑体" w:eastAsia="黑体" w:hAnsi="黑体" w:hint="eastAsia"/>
          <w:color w:val="00B0F0"/>
          <w:sz w:val="30"/>
          <w:szCs w:val="30"/>
          <w:shd w:val="clear" w:color="auto" w:fill="00B050"/>
        </w:rPr>
        <w:t>基金</w:t>
      </w:r>
      <w:r w:rsidRPr="002324E7">
        <w:rPr>
          <w:rFonts w:ascii="黑体" w:eastAsia="黑体" w:hAnsi="黑体" w:hint="eastAsia"/>
          <w:color w:val="00B0F0"/>
          <w:sz w:val="30"/>
          <w:szCs w:val="30"/>
          <w:shd w:val="clear" w:color="auto" w:fill="00B050"/>
        </w:rPr>
        <w:t>上半年亏损</w:t>
      </w:r>
    </w:p>
    <w:p w14:paraId="1598BD4A" w14:textId="7D3F5790" w:rsidR="002324E7" w:rsidRPr="002324E7" w:rsidRDefault="002324E7" w:rsidP="002324E7">
      <w:pPr>
        <w:keepNext/>
        <w:framePr w:dropCap="drop" w:lines="2" w:hSpace="57" w:wrap="around" w:vAnchor="text" w:hAnchor="text"/>
        <w:spacing w:beforeLines="50" w:before="120" w:line="599" w:lineRule="exact"/>
        <w:ind w:leftChars="150" w:left="420"/>
        <w:textAlignment w:val="baseline"/>
        <w:rPr>
          <w:rFonts w:ascii="宋体" w:hAnsi="宋体"/>
          <w:position w:val="2"/>
          <w:sz w:val="52"/>
          <w:szCs w:val="21"/>
        </w:rPr>
      </w:pPr>
      <w:r w:rsidRPr="002324E7">
        <w:rPr>
          <w:rFonts w:ascii="宋体" w:hAnsi="宋体" w:hint="eastAsia"/>
          <w:position w:val="2"/>
          <w:sz w:val="52"/>
          <w:szCs w:val="21"/>
        </w:rPr>
        <w:t>截</w:t>
      </w:r>
    </w:p>
    <w:p w14:paraId="26422BCA" w14:textId="320B7975" w:rsidR="00163FF5" w:rsidRPr="00111D5D" w:rsidRDefault="004C557F" w:rsidP="002324E7">
      <w:pPr>
        <w:spacing w:beforeLines="50" w:before="120" w:line="264" w:lineRule="auto"/>
        <w:ind w:leftChars="150" w:left="420" w:rightChars="150" w:right="420"/>
        <w:rPr>
          <w:rFonts w:ascii="宋体" w:hAnsi="宋体"/>
          <w:sz w:val="21"/>
          <w:szCs w:val="21"/>
        </w:rPr>
      </w:pPr>
      <w:r w:rsidRPr="00111D5D">
        <w:rPr>
          <w:rFonts w:ascii="宋体" w:hAnsi="宋体" w:hint="eastAsia"/>
          <w:sz w:val="21"/>
          <w:szCs w:val="21"/>
        </w:rPr>
        <w:t>至昨晚10点，深沪两市共有31只封闭式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通过网上公布了它们的半年报。其中深市16只，沪市15只。它们的主要财务指标显示，上半年它们绝大多数都是亏损的。</w:t>
      </w:r>
    </w:p>
    <w:p w14:paraId="5396A366" w14:textId="72D03EF7" w:rsidR="00163FF5" w:rsidRPr="00111D5D" w:rsidRDefault="004C557F" w:rsidP="002324E7">
      <w:pPr>
        <w:spacing w:beforeLines="50" w:before="120" w:line="264" w:lineRule="auto"/>
        <w:ind w:leftChars="150" w:left="420" w:rightChars="150" w:right="420"/>
        <w:rPr>
          <w:rFonts w:ascii="宋体" w:hAnsi="宋体"/>
          <w:sz w:val="21"/>
          <w:szCs w:val="21"/>
        </w:rPr>
      </w:pPr>
      <w:r w:rsidRPr="00111D5D">
        <w:rPr>
          <w:rFonts w:ascii="宋体" w:hAnsi="宋体" w:hint="eastAsia"/>
          <w:sz w:val="21"/>
          <w:szCs w:val="21"/>
        </w:rPr>
        <w:t>在单位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本期净收益这一指标中，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开元、普惠、景宏、裕隆、天元、裕华、景博、普丰、隆元、裕泽、景福、科翔、普华、普润、兴和、汉鼎、景业、兴安、科汇、汉盛、汉兴、科讯、汉博、金元、裕阳、兴华、景阳等27只都是负值，只有科瑞、兴科、兴业、裕元等4只是正值。</w:t>
      </w:r>
    </w:p>
    <w:p w14:paraId="550750AD" w14:textId="3244A3FB" w:rsidR="00163FF5" w:rsidRPr="00111D5D" w:rsidRDefault="004C557F" w:rsidP="002324E7">
      <w:pPr>
        <w:spacing w:beforeLines="50" w:before="120" w:line="264" w:lineRule="auto"/>
        <w:ind w:leftChars="150" w:left="420" w:rightChars="150" w:right="420"/>
        <w:rPr>
          <w:rFonts w:ascii="宋体" w:hAnsi="宋体"/>
          <w:sz w:val="21"/>
          <w:szCs w:val="21"/>
        </w:rPr>
      </w:pPr>
      <w:r w:rsidRPr="00111D5D">
        <w:rPr>
          <w:rFonts w:ascii="宋体" w:hAnsi="宋体" w:hint="eastAsia"/>
          <w:sz w:val="21"/>
          <w:szCs w:val="21"/>
        </w:rPr>
        <w:t>另外，还有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普惠、景宏、裕隆、天元、裕华、景博、普丰、裕泽、景福、隆元、科翔、普华、兴和、汉鼎、兴安、科汇、汉盛、汉兴、科讯、汉博、金元、裕阳、兴华、景阳、景业、裕元、普润等27只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资产净值收益率为负值。</w:t>
      </w:r>
    </w:p>
    <w:p w14:paraId="14AEE7C6" w14:textId="32E9BDE6" w:rsidR="00163FF5" w:rsidRPr="00D95307" w:rsidRDefault="004C557F" w:rsidP="002324E7">
      <w:pPr>
        <w:spacing w:beforeLines="50" w:before="120" w:line="264" w:lineRule="auto"/>
        <w:ind w:leftChars="150" w:left="420" w:rightChars="150" w:right="420"/>
      </w:pPr>
      <w:r w:rsidRPr="00111D5D">
        <w:rPr>
          <w:rFonts w:ascii="宋体" w:hAnsi="宋体" w:hint="eastAsia"/>
          <w:sz w:val="21"/>
          <w:szCs w:val="21"/>
        </w:rPr>
        <w:t>在31只封闭式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中，有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景</w:t>
      </w:r>
      <w:bookmarkStart w:id="0" w:name="_GoBack"/>
      <w:bookmarkEnd w:id="0"/>
      <w:r w:rsidRPr="00111D5D">
        <w:rPr>
          <w:rFonts w:ascii="宋体" w:hAnsi="宋体" w:hint="eastAsia"/>
          <w:sz w:val="21"/>
          <w:szCs w:val="21"/>
        </w:rPr>
        <w:t>宏、裕泽、隆元、普华、兴安、汉盛、金元、汉兴、景业、普润、汉鼎、兴业、汉博等13只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的单位</w:t>
      </w:r>
      <w:r w:rsidR="002324E7">
        <w:rPr>
          <w:rFonts w:ascii="宋体" w:hAnsi="宋体" w:hint="eastAsia"/>
          <w:sz w:val="21"/>
          <w:szCs w:val="21"/>
        </w:rPr>
        <w:t>基金</w:t>
      </w:r>
      <w:r w:rsidRPr="00111D5D">
        <w:rPr>
          <w:rFonts w:ascii="宋体" w:hAnsi="宋体" w:hint="eastAsia"/>
          <w:sz w:val="21"/>
          <w:szCs w:val="21"/>
        </w:rPr>
        <w:t>资产净值跌到了面值以下。</w:t>
      </w:r>
    </w:p>
    <w:p w14:paraId="14FE5220" w14:textId="0CBD1940" w:rsidR="00D94C9D" w:rsidRDefault="002324E7" w:rsidP="00D94C9D">
      <w:pPr>
        <w:jc w:val="center"/>
        <w:rPr>
          <w:rFonts w:ascii="黑体" w:eastAsia="黑体" w:hAnsi="宋体"/>
          <w:b/>
          <w:color w:val="800000"/>
        </w:rPr>
      </w:pPr>
      <w:r>
        <w:rPr>
          <w:rFonts w:ascii="黑体" w:eastAsia="黑体" w:hAnsi="宋体" w:hint="eastAsia"/>
          <w:b/>
          <w:color w:val="800000"/>
        </w:rPr>
        <w:t>基金</w:t>
      </w:r>
      <w:r w:rsidR="00D94C9D">
        <w:rPr>
          <w:rFonts w:ascii="黑体" w:eastAsia="黑体" w:hAnsi="宋体" w:hint="eastAsia"/>
          <w:b/>
          <w:color w:val="800000"/>
        </w:rPr>
        <w:t>净值排行榜 (截止时间：2002-8-30)</w:t>
      </w:r>
    </w:p>
    <w:tbl>
      <w:tblPr>
        <w:tblStyle w:val="a6"/>
        <w:tblW w:w="0" w:type="auto"/>
        <w:jc w:val="center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2324E7" w:rsidRPr="002324E7" w14:paraId="5CE27299" w14:textId="77777777" w:rsidTr="0015434F">
        <w:trPr>
          <w:jc w:val="center"/>
        </w:trPr>
        <w:tc>
          <w:tcPr>
            <w:tcW w:w="1247" w:type="dxa"/>
            <w:tcBorders>
              <w:top w:val="single" w:sz="24" w:space="0" w:color="FF0000"/>
              <w:bottom w:val="single" w:sz="24" w:space="0" w:color="FF0000"/>
            </w:tcBorders>
          </w:tcPr>
          <w:p w14:paraId="48DDA4BE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基金代码</w:t>
            </w:r>
          </w:p>
        </w:tc>
        <w:tc>
          <w:tcPr>
            <w:tcW w:w="1247" w:type="dxa"/>
            <w:tcBorders>
              <w:top w:val="single" w:sz="24" w:space="0" w:color="FF0000"/>
              <w:bottom w:val="single" w:sz="24" w:space="0" w:color="FF0000"/>
            </w:tcBorders>
          </w:tcPr>
          <w:p w14:paraId="7A05DB2C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基金名称</w:t>
            </w:r>
          </w:p>
        </w:tc>
        <w:tc>
          <w:tcPr>
            <w:tcW w:w="1247" w:type="dxa"/>
            <w:tcBorders>
              <w:top w:val="single" w:sz="24" w:space="0" w:color="FF0000"/>
              <w:bottom w:val="single" w:sz="24" w:space="0" w:color="FF0000"/>
            </w:tcBorders>
          </w:tcPr>
          <w:p w14:paraId="4DB61222" w14:textId="77777777" w:rsidR="002324E7" w:rsidRPr="002324E7" w:rsidRDefault="002324E7" w:rsidP="00576AE5">
            <w:pPr>
              <w:rPr>
                <w:rFonts w:ascii="宋体" w:hAnsi="宋体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调后净值</w:t>
            </w:r>
          </w:p>
        </w:tc>
      </w:tr>
      <w:tr w:rsidR="002324E7" w:rsidRPr="00111D5D" w14:paraId="7B6A9A6A" w14:textId="77777777" w:rsidTr="0015434F">
        <w:trPr>
          <w:jc w:val="center"/>
        </w:trPr>
        <w:tc>
          <w:tcPr>
            <w:tcW w:w="1247" w:type="dxa"/>
            <w:tcBorders>
              <w:top w:val="single" w:sz="24" w:space="0" w:color="FF0000"/>
              <w:bottom w:val="single" w:sz="8" w:space="0" w:color="FF0000"/>
            </w:tcBorders>
          </w:tcPr>
          <w:p w14:paraId="76534606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184688</w:t>
            </w:r>
          </w:p>
        </w:tc>
        <w:tc>
          <w:tcPr>
            <w:tcW w:w="1247" w:type="dxa"/>
            <w:tcBorders>
              <w:top w:val="single" w:sz="24" w:space="0" w:color="FF0000"/>
              <w:bottom w:val="single" w:sz="8" w:space="0" w:color="FF0000"/>
            </w:tcBorders>
          </w:tcPr>
          <w:p w14:paraId="73B24A57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基金开元</w:t>
            </w:r>
          </w:p>
        </w:tc>
        <w:tc>
          <w:tcPr>
            <w:tcW w:w="1247" w:type="dxa"/>
            <w:tcBorders>
              <w:top w:val="single" w:sz="24" w:space="0" w:color="FF0000"/>
              <w:bottom w:val="single" w:sz="8" w:space="0" w:color="FF0000"/>
            </w:tcBorders>
          </w:tcPr>
          <w:p w14:paraId="19DAD6AE" w14:textId="77777777" w:rsidR="002324E7" w:rsidRPr="00111D5D" w:rsidRDefault="002324E7" w:rsidP="00576AE5">
            <w:pPr>
              <w:rPr>
                <w:rFonts w:ascii="宋体" w:hAnsi="宋体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1.0456</w:t>
            </w:r>
          </w:p>
        </w:tc>
      </w:tr>
      <w:tr w:rsidR="002324E7" w:rsidRPr="002324E7" w14:paraId="2DE16B65" w14:textId="77777777" w:rsidTr="0015434F">
        <w:trPr>
          <w:jc w:val="center"/>
        </w:trPr>
        <w:tc>
          <w:tcPr>
            <w:tcW w:w="1247" w:type="dxa"/>
            <w:tcBorders>
              <w:top w:val="single" w:sz="8" w:space="0" w:color="FF0000"/>
              <w:bottom w:val="single" w:sz="24" w:space="0" w:color="FF0000"/>
            </w:tcBorders>
          </w:tcPr>
          <w:p w14:paraId="43B2C01B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500008</w:t>
            </w:r>
          </w:p>
        </w:tc>
        <w:tc>
          <w:tcPr>
            <w:tcW w:w="1247" w:type="dxa"/>
            <w:tcBorders>
              <w:top w:val="single" w:sz="8" w:space="0" w:color="FF0000"/>
              <w:bottom w:val="single" w:sz="24" w:space="0" w:color="FF0000"/>
            </w:tcBorders>
          </w:tcPr>
          <w:p w14:paraId="3B809F5B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基金兴华</w:t>
            </w:r>
          </w:p>
        </w:tc>
        <w:tc>
          <w:tcPr>
            <w:tcW w:w="1247" w:type="dxa"/>
            <w:tcBorders>
              <w:top w:val="single" w:sz="8" w:space="0" w:color="FF0000"/>
              <w:bottom w:val="single" w:sz="24" w:space="0" w:color="FF0000"/>
            </w:tcBorders>
          </w:tcPr>
          <w:p w14:paraId="506E2DD7" w14:textId="77777777" w:rsidR="002324E7" w:rsidRPr="002324E7" w:rsidRDefault="002324E7" w:rsidP="00576AE5">
            <w:pPr>
              <w:rPr>
                <w:rFonts w:ascii="宋体" w:hAnsi="宋体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1.0613</w:t>
            </w:r>
          </w:p>
        </w:tc>
      </w:tr>
      <w:tr w:rsidR="002324E7" w:rsidRPr="002324E7" w14:paraId="7669087B" w14:textId="77777777" w:rsidTr="0015434F">
        <w:trPr>
          <w:jc w:val="center"/>
        </w:trPr>
        <w:tc>
          <w:tcPr>
            <w:tcW w:w="1247" w:type="dxa"/>
            <w:tcBorders>
              <w:top w:val="single" w:sz="24" w:space="0" w:color="FF0000"/>
            </w:tcBorders>
          </w:tcPr>
          <w:p w14:paraId="3BE1D6CF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500009</w:t>
            </w:r>
          </w:p>
        </w:tc>
        <w:tc>
          <w:tcPr>
            <w:tcW w:w="1247" w:type="dxa"/>
            <w:tcBorders>
              <w:top w:val="single" w:sz="24" w:space="0" w:color="FF0000"/>
            </w:tcBorders>
          </w:tcPr>
          <w:p w14:paraId="61FAAA39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基金安顺</w:t>
            </w:r>
          </w:p>
        </w:tc>
        <w:tc>
          <w:tcPr>
            <w:tcW w:w="1247" w:type="dxa"/>
            <w:tcBorders>
              <w:top w:val="single" w:sz="24" w:space="0" w:color="FF0000"/>
            </w:tcBorders>
          </w:tcPr>
          <w:p w14:paraId="6861438B" w14:textId="77777777" w:rsidR="002324E7" w:rsidRPr="002324E7" w:rsidRDefault="002324E7" w:rsidP="00576AE5">
            <w:pPr>
              <w:rPr>
                <w:rFonts w:ascii="宋体" w:hAnsi="宋体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1.0715</w:t>
            </w:r>
          </w:p>
        </w:tc>
      </w:tr>
      <w:tr w:rsidR="002324E7" w:rsidRPr="002324E7" w14:paraId="095A9969" w14:textId="77777777" w:rsidTr="0015434F">
        <w:trPr>
          <w:jc w:val="center"/>
        </w:trPr>
        <w:tc>
          <w:tcPr>
            <w:tcW w:w="1247" w:type="dxa"/>
          </w:tcPr>
          <w:p w14:paraId="3677407C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500013</w:t>
            </w:r>
          </w:p>
        </w:tc>
        <w:tc>
          <w:tcPr>
            <w:tcW w:w="1247" w:type="dxa"/>
          </w:tcPr>
          <w:p w14:paraId="17F19ACF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基金安瑞</w:t>
            </w:r>
          </w:p>
        </w:tc>
        <w:tc>
          <w:tcPr>
            <w:tcW w:w="1247" w:type="dxa"/>
          </w:tcPr>
          <w:p w14:paraId="2ACCAECC" w14:textId="77777777" w:rsidR="002324E7" w:rsidRPr="002324E7" w:rsidRDefault="002324E7" w:rsidP="00576AE5">
            <w:pPr>
              <w:rPr>
                <w:rFonts w:ascii="宋体" w:hAnsi="宋体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1.0612</w:t>
            </w:r>
          </w:p>
        </w:tc>
      </w:tr>
      <w:tr w:rsidR="002324E7" w:rsidRPr="002324E7" w14:paraId="46BE42E4" w14:textId="77777777" w:rsidTr="0015434F">
        <w:trPr>
          <w:jc w:val="center"/>
        </w:trPr>
        <w:tc>
          <w:tcPr>
            <w:tcW w:w="1247" w:type="dxa"/>
          </w:tcPr>
          <w:p w14:paraId="73BC07B1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500018</w:t>
            </w:r>
          </w:p>
        </w:tc>
        <w:tc>
          <w:tcPr>
            <w:tcW w:w="1247" w:type="dxa"/>
          </w:tcPr>
          <w:p w14:paraId="0F7FF422" w14:textId="77777777" w:rsidR="002324E7" w:rsidRPr="002324E7" w:rsidRDefault="002324E7" w:rsidP="00576AE5">
            <w:pPr>
              <w:rPr>
                <w:rFonts w:ascii="宋体" w:hAnsi="宋体" w:hint="eastAsia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基金兴和</w:t>
            </w:r>
          </w:p>
        </w:tc>
        <w:tc>
          <w:tcPr>
            <w:tcW w:w="1247" w:type="dxa"/>
          </w:tcPr>
          <w:p w14:paraId="3AC5864E" w14:textId="77777777" w:rsidR="002324E7" w:rsidRPr="002324E7" w:rsidRDefault="002324E7" w:rsidP="00576AE5">
            <w:pPr>
              <w:rPr>
                <w:rFonts w:ascii="宋体" w:hAnsi="宋体"/>
                <w:sz w:val="21"/>
                <w:szCs w:val="21"/>
              </w:rPr>
            </w:pPr>
            <w:r w:rsidRPr="002324E7">
              <w:rPr>
                <w:rFonts w:ascii="宋体" w:hAnsi="宋体" w:hint="eastAsia"/>
                <w:sz w:val="21"/>
                <w:szCs w:val="21"/>
              </w:rPr>
              <w:t>1.0493</w:t>
            </w:r>
          </w:p>
        </w:tc>
      </w:tr>
    </w:tbl>
    <w:p w14:paraId="50C76625" w14:textId="1507E3D9" w:rsidR="004C557F" w:rsidRPr="00111D5D" w:rsidRDefault="004C557F" w:rsidP="002324E7">
      <w:pPr>
        <w:rPr>
          <w:rFonts w:ascii="宋体" w:hAnsi="宋体"/>
          <w:sz w:val="21"/>
          <w:szCs w:val="21"/>
        </w:rPr>
      </w:pPr>
    </w:p>
    <w:sectPr w:rsidR="004C557F" w:rsidRPr="00111D5D">
      <w:headerReference w:type="default" r:id="rId6"/>
      <w:pgSz w:w="10319" w:h="14572" w:code="13"/>
      <w:pgMar w:top="1440" w:right="1797" w:bottom="1440" w:left="1797" w:header="720" w:footer="720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2257C" w14:textId="77777777" w:rsidR="00242AB0" w:rsidRDefault="00242AB0">
      <w:r>
        <w:separator/>
      </w:r>
    </w:p>
  </w:endnote>
  <w:endnote w:type="continuationSeparator" w:id="0">
    <w:p w14:paraId="243DB808" w14:textId="77777777" w:rsidR="00242AB0" w:rsidRDefault="0024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28371" w14:textId="77777777" w:rsidR="00242AB0" w:rsidRDefault="00242AB0">
      <w:r>
        <w:separator/>
      </w:r>
    </w:p>
  </w:footnote>
  <w:footnote w:type="continuationSeparator" w:id="0">
    <w:p w14:paraId="08590E90" w14:textId="77777777" w:rsidR="00242AB0" w:rsidRDefault="0024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C4982" w14:textId="77777777" w:rsidR="00163FF5" w:rsidRDefault="00163FF5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5"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73"/>
    <w:rsid w:val="00075673"/>
    <w:rsid w:val="00111D5D"/>
    <w:rsid w:val="0015434F"/>
    <w:rsid w:val="00163FF5"/>
    <w:rsid w:val="002324E7"/>
    <w:rsid w:val="00242AB0"/>
    <w:rsid w:val="003B47E5"/>
    <w:rsid w:val="004C557F"/>
    <w:rsid w:val="00B41DAB"/>
    <w:rsid w:val="00B65367"/>
    <w:rsid w:val="00CE7FBF"/>
    <w:rsid w:val="00D94C9D"/>
    <w:rsid w:val="00D95307"/>
    <w:rsid w:val="00D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EE179"/>
  <w15:docId w15:val="{A91CF786-AE47-4CF0-A7EE-46906CBC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a5"/>
    <w:uiPriority w:val="99"/>
    <w:unhideWhenUsed/>
    <w:rsid w:val="00D9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D94C9D"/>
    <w:rPr>
      <w:kern w:val="2"/>
      <w:sz w:val="18"/>
      <w:szCs w:val="18"/>
    </w:rPr>
  </w:style>
  <w:style w:type="table" w:styleId="a6">
    <w:name w:val="Table Grid"/>
    <w:basedOn w:val="a1"/>
    <w:uiPriority w:val="59"/>
    <w:rsid w:val="00232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本专业培养目标是计算机专业的技术应用型人才，他们应该掌握计算机软件、硬件及系统的基本理论、基本方法和基本技能，能够从事计算机及相关领域应用技术工作、软、硬件维护、和一般应用系统的开发及设计，他们应该具有住处化时代的计算机人的素质，是全面发展的社会主义建</vt:lpstr>
    </vt:vector>
  </TitlesOfParts>
  <Company> 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专业培养目标是计算机专业的技术应用型人才，他们应该掌握计算机软件、硬件及系统的基本理论、基本方法和基本技能，能够从事计算机及相关领域应用技术工作、软、硬件维护、和一般应用系统的开发及设计，他们应该具有住处化时代的计算机人的素质，是全面发展的社会主义建</dc:title>
  <dc:subject/>
  <dc:creator>hbp</dc:creator>
  <cp:keywords/>
  <cp:lastModifiedBy>i</cp:lastModifiedBy>
  <cp:revision>7</cp:revision>
  <dcterms:created xsi:type="dcterms:W3CDTF">2013-03-18T13:55:00Z</dcterms:created>
  <dcterms:modified xsi:type="dcterms:W3CDTF">2022-11-28T07:00:00Z</dcterms:modified>
</cp:coreProperties>
</file>