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86723" w14:textId="7EDEF76A" w:rsidR="001D2E8E" w:rsidRPr="009C0ED6" w:rsidRDefault="00FF745D" w:rsidP="009C0ED6">
      <w:pPr>
        <w:jc w:val="center"/>
        <w:rPr>
          <w:rFonts w:ascii="黑体" w:eastAsia="黑体" w:hAnsi="黑体"/>
          <w:b/>
          <w:color w:val="FF0000"/>
          <w:sz w:val="32"/>
          <w:szCs w:val="32"/>
          <w:u w:val="wave"/>
        </w:rPr>
      </w:pPr>
      <w:r w:rsidRPr="009C0ED6">
        <w:rPr>
          <w:rFonts w:ascii="黑体" w:eastAsia="黑体" w:hAnsi="黑体" w:hint="eastAsia"/>
          <w:b/>
          <w:color w:val="FF0000"/>
          <w:sz w:val="32"/>
          <w:szCs w:val="32"/>
          <w:u w:val="wave"/>
        </w:rPr>
        <w:t>首届中国</w:t>
      </w:r>
      <w:r w:rsidR="00CA07E9" w:rsidRPr="009C0ED6">
        <w:rPr>
          <w:rFonts w:ascii="黑体" w:eastAsia="黑体" w:hAnsi="黑体" w:hint="eastAsia"/>
          <w:b/>
          <w:color w:val="FF0000"/>
          <w:sz w:val="32"/>
          <w:szCs w:val="32"/>
          <w:u w:val="wave"/>
        </w:rPr>
        <w:t>网络</w:t>
      </w:r>
      <w:r w:rsidRPr="009C0ED6">
        <w:rPr>
          <w:rFonts w:ascii="黑体" w:eastAsia="黑体" w:hAnsi="黑体" w:hint="eastAsia"/>
          <w:b/>
          <w:color w:val="FF0000"/>
          <w:sz w:val="32"/>
          <w:szCs w:val="32"/>
          <w:u w:val="wave"/>
        </w:rPr>
        <w:t>媒体论坛在青岛开幕</w:t>
      </w:r>
    </w:p>
    <w:p w14:paraId="63AF94A7" w14:textId="776FCE74" w:rsidR="004C71C8" w:rsidRPr="004C71C8" w:rsidRDefault="004C71C8" w:rsidP="004C71C8">
      <w:pPr>
        <w:keepNext/>
        <w:framePr w:dropCap="drop" w:lines="2" w:hSpace="113" w:wrap="around" w:vAnchor="text" w:hAnchor="text"/>
        <w:spacing w:line="623" w:lineRule="exact"/>
        <w:textAlignment w:val="baseline"/>
        <w:rPr>
          <w:rFonts w:ascii="宋体" w:hAnsi="宋体"/>
          <w:position w:val="-6"/>
          <w:sz w:val="75"/>
          <w:szCs w:val="24"/>
        </w:rPr>
      </w:pPr>
      <w:r w:rsidRPr="004C71C8">
        <w:rPr>
          <w:rFonts w:ascii="宋体" w:hAnsi="宋体" w:hint="eastAsia"/>
          <w:position w:val="-6"/>
          <w:sz w:val="75"/>
          <w:szCs w:val="24"/>
        </w:rPr>
        <w:t>6</w:t>
      </w:r>
    </w:p>
    <w:p w14:paraId="00D96849" w14:textId="39C937D6" w:rsidR="001D2E8E" w:rsidRPr="009145D4" w:rsidRDefault="00FF745D">
      <w:pPr>
        <w:rPr>
          <w:rFonts w:ascii="宋体" w:hAnsi="宋体"/>
          <w:sz w:val="24"/>
          <w:szCs w:val="24"/>
        </w:rPr>
      </w:pPr>
      <w:r w:rsidRPr="009145D4">
        <w:rPr>
          <w:rFonts w:ascii="宋体" w:hAnsi="宋体" w:hint="eastAsia"/>
          <w:sz w:val="24"/>
          <w:szCs w:val="24"/>
        </w:rPr>
        <w:t>月22日，首届中国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媒体论坛在青岛隆重开幕。来自全国近150家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媒体的代表聚会青岛，纵论中国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事业发展大计。本次论坛是中国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媒体首次举行的高层次、大规模的专业论坛，是近年来中国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媒体规模最大的一次的盛会。</w:t>
      </w:r>
    </w:p>
    <w:p w14:paraId="2F825F55" w14:textId="4CE46401" w:rsidR="001D2E8E" w:rsidRPr="009145D4" w:rsidRDefault="00FF745D" w:rsidP="004C71C8">
      <w:pPr>
        <w:spacing w:beforeLines="100" w:before="312"/>
        <w:ind w:leftChars="150" w:left="315" w:rightChars="150" w:right="315" w:firstLineChars="200" w:firstLine="480"/>
        <w:rPr>
          <w:rFonts w:ascii="宋体" w:hAnsi="宋体"/>
          <w:sz w:val="24"/>
          <w:szCs w:val="24"/>
        </w:rPr>
      </w:pPr>
      <w:r w:rsidRPr="009145D4">
        <w:rPr>
          <w:rFonts w:ascii="宋体" w:hAnsi="宋体" w:hint="eastAsia"/>
          <w:sz w:val="24"/>
          <w:szCs w:val="24"/>
        </w:rPr>
        <w:t>中国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媒体论坛，是在《2000全国新闻媒体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传播研讨会》上，由中华全国新闻工作者协会发出建议，全国数十家新闻媒体网站共同发起设立的，宗旨是推进中国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媒体的建设和发展。</w:t>
      </w:r>
    </w:p>
    <w:p w14:paraId="07BA15CE" w14:textId="77777777" w:rsidR="00EE132B" w:rsidRDefault="00EE132B" w:rsidP="004C71C8">
      <w:pPr>
        <w:spacing w:beforeLines="100" w:before="312"/>
        <w:ind w:leftChars="150" w:left="315" w:rightChars="150" w:right="315" w:firstLineChars="200" w:firstLine="480"/>
        <w:rPr>
          <w:rFonts w:ascii="宋体" w:hAnsi="宋体"/>
          <w:sz w:val="24"/>
          <w:szCs w:val="24"/>
        </w:rPr>
        <w:sectPr w:rsidR="00EE13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901D2B" w14:textId="45EF486B" w:rsidR="001D2E8E" w:rsidRPr="009145D4" w:rsidRDefault="00FF745D" w:rsidP="004C71C8">
      <w:pPr>
        <w:spacing w:beforeLines="100" w:before="312"/>
        <w:ind w:leftChars="150" w:left="315" w:rightChars="150" w:right="315" w:firstLineChars="200" w:firstLine="480"/>
        <w:rPr>
          <w:rFonts w:ascii="宋体" w:hAnsi="宋体"/>
          <w:sz w:val="24"/>
          <w:szCs w:val="24"/>
        </w:rPr>
      </w:pPr>
      <w:r w:rsidRPr="009145D4">
        <w:rPr>
          <w:rFonts w:ascii="宋体" w:hAnsi="宋体" w:hint="eastAsia"/>
          <w:sz w:val="24"/>
          <w:szCs w:val="24"/>
        </w:rPr>
        <w:lastRenderedPageBreak/>
        <w:t>论坛的主题是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与媒体，按照江泽民总书记关于加强互联网新闻宣传的重要指示，按照中宣部和国务院新闻办对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新闻宣传的要</w:t>
      </w:r>
      <w:r w:rsidRPr="009145D4">
        <w:rPr>
          <w:rFonts w:ascii="宋体" w:hAnsi="宋体" w:hint="eastAsia"/>
          <w:sz w:val="24"/>
          <w:szCs w:val="24"/>
        </w:rPr>
        <w:lastRenderedPageBreak/>
        <w:t>求，总结经验、沟通理论与实践等方面的心得，通过交流与合作，进一步提高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新闻宣传工作的水平，进一步加强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媒体的管理和自律。</w:t>
      </w:r>
    </w:p>
    <w:p w14:paraId="0D4E8B98" w14:textId="77777777" w:rsidR="00EE132B" w:rsidRDefault="00EE132B" w:rsidP="004C71C8">
      <w:pPr>
        <w:spacing w:beforeLines="100" w:before="312"/>
        <w:ind w:leftChars="150" w:left="315" w:rightChars="150" w:right="315" w:firstLineChars="200" w:firstLine="480"/>
        <w:rPr>
          <w:rFonts w:ascii="宋体" w:hAnsi="宋体"/>
          <w:sz w:val="24"/>
          <w:szCs w:val="24"/>
        </w:rPr>
        <w:sectPr w:rsidR="00EE132B" w:rsidSect="00EE132B">
          <w:type w:val="continuous"/>
          <w:pgSz w:w="11906" w:h="16838"/>
          <w:pgMar w:top="1440" w:right="1800" w:bottom="1440" w:left="1800" w:header="851" w:footer="992" w:gutter="0"/>
          <w:cols w:num="2" w:space="1166"/>
          <w:docGrid w:type="lines" w:linePitch="312"/>
        </w:sectPr>
      </w:pPr>
    </w:p>
    <w:p w14:paraId="2EBBBF12" w14:textId="08E326A7" w:rsidR="00FF745D" w:rsidRPr="009145D4" w:rsidRDefault="00FF745D" w:rsidP="004C71C8">
      <w:pPr>
        <w:spacing w:beforeLines="100" w:before="312"/>
        <w:ind w:leftChars="150" w:left="315" w:rightChars="150" w:right="315" w:firstLineChars="200" w:firstLine="480"/>
        <w:rPr>
          <w:rFonts w:ascii="宋体" w:hAnsi="宋体"/>
          <w:sz w:val="24"/>
          <w:szCs w:val="24"/>
        </w:rPr>
      </w:pPr>
      <w:r w:rsidRPr="009145D4">
        <w:rPr>
          <w:rFonts w:ascii="宋体" w:hAnsi="宋体" w:hint="eastAsia"/>
          <w:sz w:val="24"/>
          <w:szCs w:val="24"/>
        </w:rPr>
        <w:lastRenderedPageBreak/>
        <w:t>与会嘉宾将研讨中国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媒体在已有的初步框架的基础上如何进一步发展，如何为建设有中国特色的社会主义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新闻宣传体系打下一个坚实的基础。在本次论坛上，还将探讨</w:t>
      </w:r>
      <w:r w:rsidR="00CA07E9" w:rsidRPr="009145D4">
        <w:rPr>
          <w:rFonts w:ascii="宋体" w:hAnsi="宋体" w:hint="eastAsia"/>
          <w:sz w:val="24"/>
          <w:szCs w:val="24"/>
        </w:rPr>
        <w:t>网络</w:t>
      </w:r>
      <w:r w:rsidRPr="009145D4">
        <w:rPr>
          <w:rFonts w:ascii="宋体" w:hAnsi="宋体" w:hint="eastAsia"/>
          <w:sz w:val="24"/>
          <w:szCs w:val="24"/>
        </w:rPr>
        <w:t>好新闻的评选办法等。</w:t>
      </w:r>
    </w:p>
    <w:p w14:paraId="739DD96C" w14:textId="77777777" w:rsidR="00B327AF" w:rsidRDefault="00B327AF">
      <w:pPr>
        <w:rPr>
          <w:rFonts w:ascii="宋体"/>
        </w:rPr>
      </w:pPr>
    </w:p>
    <w:p w14:paraId="09AAF3CE" w14:textId="77777777" w:rsidR="00B327AF" w:rsidRDefault="00B327AF">
      <w:pPr>
        <w:rPr>
          <w:rFonts w:ascii="宋体"/>
        </w:rPr>
      </w:pPr>
    </w:p>
    <w:p w14:paraId="7E57EB24" w14:textId="2E501FC9" w:rsidR="00B327AF" w:rsidRPr="00156980" w:rsidRDefault="00156980" w:rsidP="00156980">
      <w:pPr>
        <w:jc w:val="center"/>
        <w:rPr>
          <w:rFonts w:ascii="楷体" w:eastAsia="楷体" w:hAnsi="楷体"/>
          <w:b/>
          <w:color w:val="FF0000"/>
          <w:sz w:val="36"/>
          <w:szCs w:val="36"/>
        </w:rPr>
      </w:pPr>
      <w:r w:rsidRPr="00156980">
        <w:rPr>
          <w:rFonts w:ascii="楷体" w:eastAsia="楷体" w:hAnsi="楷体" w:hint="eastAsia"/>
          <w:b/>
          <w:color w:val="FF0000"/>
          <w:sz w:val="36"/>
          <w:szCs w:val="36"/>
        </w:rPr>
        <w:t>利民连锁店集团销售统计表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1418"/>
        <w:gridCol w:w="1418"/>
        <w:gridCol w:w="1418"/>
        <w:gridCol w:w="1418"/>
      </w:tblGrid>
      <w:tr w:rsidR="00B327AF" w14:paraId="76D2E5D1" w14:textId="77777777" w:rsidTr="00B327AF">
        <w:trPr>
          <w:jc w:val="center"/>
        </w:trPr>
        <w:tc>
          <w:tcPr>
            <w:tcW w:w="17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E4C4F5" w14:textId="77777777" w:rsidR="00B327AF" w:rsidRDefault="00B327A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AEAB" w14:textId="77777777" w:rsidR="00B327AF" w:rsidRDefault="00B327A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一季度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8A6B" w14:textId="77777777" w:rsidR="00B327AF" w:rsidRDefault="00B327A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二季度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22D5" w14:textId="77777777" w:rsidR="00B327AF" w:rsidRDefault="00B327A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三季度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B917CD" w14:textId="77777777" w:rsidR="00B327AF" w:rsidRDefault="00B327A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四季度</w:t>
            </w:r>
          </w:p>
        </w:tc>
      </w:tr>
      <w:tr w:rsidR="00B327AF" w14:paraId="2AF3DFDA" w14:textId="77777777" w:rsidTr="00B327AF">
        <w:trPr>
          <w:jc w:val="center"/>
        </w:trPr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74AC" w14:textId="77777777" w:rsidR="00B327AF" w:rsidRDefault="00B327A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海淀区连锁店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93C5" w14:textId="77777777" w:rsidR="00B327AF" w:rsidRDefault="00B327AF">
            <w:pPr>
              <w:jc w:val="right"/>
            </w:pPr>
            <w:r>
              <w:t>1024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C9A2" w14:textId="77777777" w:rsidR="00B327AF" w:rsidRDefault="00B327AF">
            <w:pPr>
              <w:jc w:val="right"/>
            </w:pPr>
            <w:r>
              <w:t>2239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EFE5" w14:textId="77777777" w:rsidR="00B327AF" w:rsidRDefault="00B327AF">
            <w:pPr>
              <w:jc w:val="right"/>
            </w:pPr>
            <w:r>
              <w:t>2569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EEE5D5" w14:textId="77777777" w:rsidR="00B327AF" w:rsidRDefault="00B327AF">
            <w:pPr>
              <w:jc w:val="right"/>
            </w:pPr>
            <w:r>
              <w:t>3890</w:t>
            </w:r>
          </w:p>
        </w:tc>
      </w:tr>
      <w:tr w:rsidR="00B327AF" w14:paraId="5EBFADB5" w14:textId="77777777" w:rsidTr="00B327AF">
        <w:trPr>
          <w:jc w:val="center"/>
        </w:trPr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8A9E" w14:textId="77777777" w:rsidR="00B327AF" w:rsidRDefault="00B327A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西城区连锁店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BE7A" w14:textId="77777777" w:rsidR="00B327AF" w:rsidRDefault="00B327AF">
            <w:pPr>
              <w:jc w:val="right"/>
            </w:pPr>
            <w:r>
              <w:t>1589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4635" w14:textId="77777777" w:rsidR="00B327AF" w:rsidRDefault="00B327AF">
            <w:pPr>
              <w:jc w:val="right"/>
            </w:pPr>
            <w:r>
              <w:t>3089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2AB5" w14:textId="77777777" w:rsidR="00B327AF" w:rsidRDefault="00B327AF">
            <w:pPr>
              <w:jc w:val="right"/>
            </w:pPr>
            <w:r>
              <w:t>4120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FE3839" w14:textId="77777777" w:rsidR="00B327AF" w:rsidRDefault="00B327AF">
            <w:pPr>
              <w:jc w:val="right"/>
            </w:pPr>
            <w:r>
              <w:t>4500</w:t>
            </w:r>
          </w:p>
        </w:tc>
      </w:tr>
      <w:tr w:rsidR="00B327AF" w14:paraId="0BB9E39E" w14:textId="77777777" w:rsidTr="00B327AF">
        <w:trPr>
          <w:jc w:val="center"/>
        </w:trPr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F222" w14:textId="77777777" w:rsidR="00B327AF" w:rsidRDefault="00B327A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东城区连锁店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0C71" w14:textId="77777777" w:rsidR="00B327AF" w:rsidRDefault="00B327AF">
            <w:pPr>
              <w:jc w:val="right"/>
            </w:pPr>
            <w:r>
              <w:t>1120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4242" w14:textId="77777777" w:rsidR="00B327AF" w:rsidRDefault="00B327AF">
            <w:pPr>
              <w:jc w:val="right"/>
            </w:pPr>
            <w:r>
              <w:t>2498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DDCD" w14:textId="77777777" w:rsidR="00B327AF" w:rsidRDefault="00B327AF">
            <w:pPr>
              <w:jc w:val="right"/>
            </w:pPr>
            <w:r>
              <w:t>3001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AAFD09" w14:textId="77777777" w:rsidR="00B327AF" w:rsidRDefault="00B327AF">
            <w:pPr>
              <w:jc w:val="right"/>
            </w:pPr>
            <w:r>
              <w:t>3450</w:t>
            </w:r>
          </w:p>
        </w:tc>
      </w:tr>
      <w:tr w:rsidR="00B327AF" w14:paraId="7290E2B8" w14:textId="77777777" w:rsidTr="00657253">
        <w:trPr>
          <w:jc w:val="center"/>
        </w:trPr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D15A" w14:textId="77777777" w:rsidR="00B327AF" w:rsidRDefault="00B327A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崇文城区连锁店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694D" w14:textId="77777777" w:rsidR="00B327AF" w:rsidRDefault="00B327AF">
            <w:pPr>
              <w:jc w:val="right"/>
            </w:pPr>
            <w:r>
              <w:t>890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6F56" w14:textId="77777777" w:rsidR="00B327AF" w:rsidRDefault="00B327AF">
            <w:pPr>
              <w:jc w:val="right"/>
            </w:pPr>
            <w:r>
              <w:t>1109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1135" w14:textId="77777777" w:rsidR="00B327AF" w:rsidRDefault="00B327AF">
            <w:pPr>
              <w:jc w:val="right"/>
            </w:pPr>
            <w:r>
              <w:t>2056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69E55C" w14:textId="77777777" w:rsidR="00B327AF" w:rsidRDefault="00B327AF">
            <w:pPr>
              <w:jc w:val="right"/>
            </w:pPr>
            <w:r>
              <w:t>3002</w:t>
            </w:r>
          </w:p>
        </w:tc>
      </w:tr>
      <w:tr w:rsidR="00657253" w14:paraId="4E10A8A2" w14:textId="77777777" w:rsidTr="00B327AF">
        <w:trPr>
          <w:jc w:val="center"/>
        </w:trPr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5A1F404" w14:textId="32852EE0" w:rsidR="00657253" w:rsidRDefault="00B84D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小计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1B1737" w14:textId="681E83CC" w:rsidR="00657253" w:rsidRDefault="004B7546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4623</w: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568A0D" w14:textId="36A1888A" w:rsidR="00657253" w:rsidRDefault="00834C71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8935</w: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FACBDE" w14:textId="3633DD94" w:rsidR="00657253" w:rsidRDefault="00834C71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11746</w: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6BF7DD" w14:textId="664C265A" w:rsidR="00657253" w:rsidRDefault="00834C71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14842</w:t>
            </w:r>
            <w:r>
              <w:fldChar w:fldCharType="end"/>
            </w:r>
            <w:bookmarkStart w:id="0" w:name="_GoBack"/>
            <w:bookmarkEnd w:id="0"/>
          </w:p>
        </w:tc>
      </w:tr>
    </w:tbl>
    <w:p w14:paraId="3B56A70D" w14:textId="77777777" w:rsidR="00B327AF" w:rsidRPr="00B327AF" w:rsidRDefault="00B327AF">
      <w:pPr>
        <w:rPr>
          <w:rFonts w:ascii="宋体" w:eastAsia="仿宋_GB2312"/>
        </w:rPr>
      </w:pPr>
    </w:p>
    <w:sectPr w:rsidR="00B327AF" w:rsidRPr="00B327A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65F7B" w14:textId="77777777" w:rsidR="00F33EFD" w:rsidRDefault="00F33EFD" w:rsidP="000B3378">
      <w:r>
        <w:separator/>
      </w:r>
    </w:p>
  </w:endnote>
  <w:endnote w:type="continuationSeparator" w:id="0">
    <w:p w14:paraId="28EFB9FD" w14:textId="77777777" w:rsidR="00F33EFD" w:rsidRDefault="00F33EFD" w:rsidP="000B3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C0E14" w14:textId="77777777" w:rsidR="00F33EFD" w:rsidRDefault="00F33EFD" w:rsidP="000B3378">
      <w:r>
        <w:separator/>
      </w:r>
    </w:p>
  </w:footnote>
  <w:footnote w:type="continuationSeparator" w:id="0">
    <w:p w14:paraId="20A22EE0" w14:textId="77777777" w:rsidR="00F33EFD" w:rsidRDefault="00F33EFD" w:rsidP="000B3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5"/>
  <w:drawingGridHorizontalSpacing w:val="20"/>
  <w:drawingGridVerticalSpacing w:val="20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78"/>
    <w:rsid w:val="000B3378"/>
    <w:rsid w:val="00156980"/>
    <w:rsid w:val="001D2E8E"/>
    <w:rsid w:val="004B7546"/>
    <w:rsid w:val="004C71C8"/>
    <w:rsid w:val="00657253"/>
    <w:rsid w:val="00834C71"/>
    <w:rsid w:val="00844834"/>
    <w:rsid w:val="009145D4"/>
    <w:rsid w:val="009C0ED6"/>
    <w:rsid w:val="00B327AF"/>
    <w:rsid w:val="00B84D0A"/>
    <w:rsid w:val="00BD3091"/>
    <w:rsid w:val="00BD3CCB"/>
    <w:rsid w:val="00CA07E9"/>
    <w:rsid w:val="00D84058"/>
    <w:rsid w:val="00EB7039"/>
    <w:rsid w:val="00EE132B"/>
    <w:rsid w:val="00F33EFD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56E9B5"/>
  <w15:docId w15:val="{7DDED917-71C3-4040-AD33-E6C9D557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pPr>
      <w:spacing w:before="320" w:line="360" w:lineRule="exact"/>
      <w:ind w:left="1134" w:right="1134" w:firstLine="454"/>
    </w:pPr>
    <w:rPr>
      <w:rFonts w:eastAsia="仿宋_GB2312"/>
    </w:rPr>
  </w:style>
  <w:style w:type="paragraph" w:styleId="a4">
    <w:name w:val="header"/>
    <w:basedOn w:val="a"/>
    <w:link w:val="a5"/>
    <w:uiPriority w:val="99"/>
    <w:unhideWhenUsed/>
    <w:rsid w:val="000B3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337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3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337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宽带发展面临路径选择</vt:lpstr>
    </vt:vector>
  </TitlesOfParts>
  <Company>neea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宽带发展面临路径选择</dc:title>
  <dc:subject/>
  <dc:creator>caiwy</dc:creator>
  <cp:keywords/>
  <cp:lastModifiedBy>i</cp:lastModifiedBy>
  <cp:revision>15</cp:revision>
  <dcterms:created xsi:type="dcterms:W3CDTF">2013-03-18T13:28:00Z</dcterms:created>
  <dcterms:modified xsi:type="dcterms:W3CDTF">2022-11-30T07:47:00Z</dcterms:modified>
</cp:coreProperties>
</file>