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NeuroGaze VR NASA TLX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t>Welcome! This is the NASA TLX Survey for the Study on Assessing EEG and Eye Tracking Interfaces Against Conventional VR Selection Methods. Click the arrow to begin.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t>Participant Number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t>Technique being Evaluated</w:t>
      </w:r>
    </w:p>
  </w:body>
  <w:body>
    <w:p>
      <w:pPr>
        <w:keepNext/>
        <w:pStyle w:val="ListParagraph"/>
        <w:numPr>
          <w:ilvl w:val="0"/>
          <w:numId w:val="4"/>
        </w:numPr>
      </w:pPr>
      <w:r>
        <w:t>NeuroGaze: EEG + Eye Tracking </w:t>
      </w:r>
    </w:p>
  </w:body>
  <w:body>
    <w:p>
      <w:pPr>
        <w:keepNext/>
        <w:pStyle w:val="ListParagraph"/>
        <w:numPr>
          <w:ilvl w:val="0"/>
          <w:numId w:val="4"/>
        </w:numPr>
      </w:pPr>
      <w:r>
        <w:t>Eye Tracking + Hand Tracking </w:t>
      </w:r>
    </w:p>
  </w:body>
  <w:body>
    <w:p>
      <w:pPr>
        <w:keepNext/>
        <w:pStyle w:val="ListParagraph"/>
        <w:numPr>
          <w:ilvl w:val="0"/>
          <w:numId w:val="4"/>
        </w:numPr>
      </w:pPr>
      <w:r>
        <w:t>VR Controllers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t>Please answer each prompt based on your experience: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t>1 (Very Low)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2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3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4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5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6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t>7 (Very High)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mentally demanding was the task?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physically demanding was the task?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hurried or rushed was the pace of the task?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successful were you in accomplishing what you were asked to do?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hard did you have to work to accomplish your level of performance?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t>How insecure, discouraged, irritated, stressed, and annoyed were you?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NeuroGaze VR NASA TLX</dc:title>
  <dc:subject/>
  <dc:creator>Qualtrics</dc:creator>
  <cp:keywords/>
  <dc:description/>
  <cp:lastModifiedBy>Qualtrics</cp:lastModifiedBy>
  <cp:revision>1</cp:revision>
  <dcterms:created xsi:type="dcterms:W3CDTF">2024-02-29T12:25:09Z</dcterms:created>
  <dcterms:modified xsi:type="dcterms:W3CDTF">2024-02-29T12:25:09Z</dcterms:modified>
</cp:coreProperties>
</file>