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EC0B4" w14:textId="77777777" w:rsidR="0010392F" w:rsidRPr="0019733F" w:rsidRDefault="0010392F" w:rsidP="0010392F">
      <w:pPr>
        <w:spacing w:before="50"/>
        <w:jc w:val="both"/>
        <w:rPr>
          <w:rFonts w:ascii="Times New Roman" w:hAnsi="Times New Roman" w:cs="Times New Roman"/>
          <w:b/>
          <w:bCs/>
          <w:sz w:val="24"/>
          <w:szCs w:val="28"/>
        </w:rPr>
      </w:pPr>
      <w:r w:rsidRPr="0019733F">
        <w:rPr>
          <w:rFonts w:ascii="Times New Roman" w:hAnsi="Times New Roman" w:cs="Times New Roman"/>
          <w:b/>
          <w:bCs/>
          <w:sz w:val="24"/>
          <w:szCs w:val="28"/>
        </w:rPr>
        <w:t>Agentic Workflows for Medical LLMs: A Repeated-Measures Benchmark Reveals Reduced Reliability and Increased Iatrogenic Risk</w:t>
      </w:r>
    </w:p>
    <w:p w14:paraId="2E97DF63" w14:textId="0501A99B" w:rsidR="00470AD0" w:rsidRPr="00D130F7" w:rsidRDefault="00914D71" w:rsidP="00470AD0">
      <w:pPr>
        <w:spacing w:before="50"/>
        <w:rPr>
          <w:rFonts w:ascii="Times New Roman" w:hAnsi="Times New Roman" w:cs="Times New Roman"/>
          <w:szCs w:val="21"/>
          <w:vertAlign w:val="superscript"/>
        </w:rPr>
      </w:pPr>
      <w:r>
        <w:rPr>
          <w:rFonts w:ascii="Times New Roman" w:hAnsi="Times New Roman" w:cs="Times New Roman"/>
          <w:szCs w:val="21"/>
        </w:rPr>
        <w:t>W</w:t>
      </w:r>
      <w:r>
        <w:rPr>
          <w:rFonts w:ascii="Times New Roman" w:hAnsi="Times New Roman" w:cs="Times New Roman" w:hint="eastAsia"/>
          <w:szCs w:val="21"/>
        </w:rPr>
        <w:t>anzhe</w:t>
      </w:r>
      <w:r>
        <w:rPr>
          <w:rFonts w:ascii="Times New Roman" w:hAnsi="Times New Roman" w:cs="Times New Roman"/>
          <w:szCs w:val="21"/>
        </w:rPr>
        <w:t xml:space="preserve"> L</w:t>
      </w:r>
      <w:r>
        <w:rPr>
          <w:rFonts w:ascii="Times New Roman" w:hAnsi="Times New Roman" w:cs="Times New Roman" w:hint="eastAsia"/>
          <w:szCs w:val="21"/>
        </w:rPr>
        <w:t>iao</w:t>
      </w:r>
      <w:r w:rsidR="00470AD0">
        <w:rPr>
          <w:rFonts w:ascii="Times New Roman" w:hAnsi="Times New Roman" w:cs="Times New Roman"/>
          <w:szCs w:val="21"/>
          <w:vertAlign w:val="superscript"/>
        </w:rPr>
        <w:t>1</w:t>
      </w:r>
      <w:r w:rsidR="00470AD0">
        <w:rPr>
          <w:rFonts w:ascii="等线" w:eastAsia="等线" w:hAnsi="等线" w:cs="Times New Roman" w:hint="eastAsia"/>
          <w:szCs w:val="21"/>
          <w:vertAlign w:val="superscript"/>
        </w:rPr>
        <w:t>†</w:t>
      </w:r>
      <w:r w:rsidR="00470AD0">
        <w:rPr>
          <w:rFonts w:ascii="Times New Roman" w:hAnsi="Times New Roman" w:cs="Times New Roman" w:hint="eastAsia"/>
          <w:szCs w:val="21"/>
        </w:rPr>
        <w:t xml:space="preserve">, </w:t>
      </w:r>
      <w:r w:rsidR="0010392F">
        <w:rPr>
          <w:rFonts w:ascii="Times New Roman" w:hAnsi="Times New Roman" w:cs="Times New Roman" w:hint="eastAsia"/>
          <w:szCs w:val="21"/>
        </w:rPr>
        <w:t>Haopeng</w:t>
      </w:r>
      <w:r w:rsidR="006F4679">
        <w:rPr>
          <w:rFonts w:ascii="Times New Roman" w:hAnsi="Times New Roman" w:cs="Times New Roman" w:hint="eastAsia"/>
          <w:szCs w:val="21"/>
        </w:rPr>
        <w:t xml:space="preserve"> </w:t>
      </w:r>
      <w:r w:rsidR="0010392F">
        <w:rPr>
          <w:rFonts w:ascii="Times New Roman" w:hAnsi="Times New Roman" w:cs="Times New Roman" w:hint="eastAsia"/>
          <w:szCs w:val="21"/>
        </w:rPr>
        <w:t>Hong</w:t>
      </w:r>
      <w:r w:rsidR="0019733F">
        <w:rPr>
          <w:rFonts w:ascii="Times New Roman" w:hAnsi="Times New Roman" w:cs="Times New Roman" w:hint="eastAsia"/>
          <w:szCs w:val="21"/>
          <w:vertAlign w:val="superscript"/>
        </w:rPr>
        <w:t>1</w:t>
      </w:r>
      <w:r w:rsidR="00470AD0">
        <w:rPr>
          <w:rFonts w:ascii="等线" w:eastAsia="等线" w:hAnsi="等线" w:cs="Times New Roman" w:hint="eastAsia"/>
          <w:szCs w:val="21"/>
          <w:vertAlign w:val="superscript"/>
        </w:rPr>
        <w:t>†</w:t>
      </w:r>
      <w:r w:rsidR="00470AD0">
        <w:rPr>
          <w:rFonts w:ascii="Times New Roman" w:hAnsi="Times New Roman" w:cs="Times New Roman" w:hint="eastAsia"/>
          <w:szCs w:val="21"/>
        </w:rPr>
        <w:t xml:space="preserve">, </w:t>
      </w:r>
      <w:r w:rsidR="008A6C5F">
        <w:rPr>
          <w:rFonts w:ascii="Times New Roman" w:hAnsi="Times New Roman" w:cs="Times New Roman" w:hint="eastAsia"/>
          <w:szCs w:val="21"/>
        </w:rPr>
        <w:t>Shuai Zuo</w:t>
      </w:r>
      <w:r w:rsidR="008A6C5F">
        <w:rPr>
          <w:rFonts w:ascii="Times New Roman" w:hAnsi="Times New Roman" w:cs="Times New Roman"/>
          <w:szCs w:val="21"/>
          <w:vertAlign w:val="superscript"/>
        </w:rPr>
        <w:t>1</w:t>
      </w:r>
      <w:r w:rsidR="008A6C5F">
        <w:rPr>
          <w:rFonts w:ascii="Times New Roman" w:hAnsi="Times New Roman" w:cs="Times New Roman" w:hint="eastAsia"/>
          <w:szCs w:val="21"/>
        </w:rPr>
        <w:t xml:space="preserve">, </w:t>
      </w:r>
      <w:proofErr w:type="spellStart"/>
      <w:r w:rsidR="008A6C5F">
        <w:rPr>
          <w:rFonts w:ascii="Times New Roman" w:hAnsi="Times New Roman" w:cs="Times New Roman" w:hint="eastAsia"/>
          <w:szCs w:val="21"/>
        </w:rPr>
        <w:t>Yongzhuo</w:t>
      </w:r>
      <w:proofErr w:type="spellEnd"/>
      <w:r w:rsidR="008A6C5F">
        <w:rPr>
          <w:rFonts w:ascii="Times New Roman" w:hAnsi="Times New Roman" w:cs="Times New Roman" w:hint="eastAsia"/>
          <w:szCs w:val="21"/>
        </w:rPr>
        <w:t xml:space="preserve"> Liu</w:t>
      </w:r>
      <w:r w:rsidR="008A6C5F">
        <w:rPr>
          <w:rFonts w:ascii="Times New Roman" w:hAnsi="Times New Roman" w:cs="Times New Roman"/>
          <w:szCs w:val="21"/>
          <w:vertAlign w:val="superscript"/>
        </w:rPr>
        <w:t>1</w:t>
      </w:r>
      <w:r w:rsidR="008A6C5F">
        <w:rPr>
          <w:rFonts w:ascii="Times New Roman" w:hAnsi="Times New Roman" w:cs="Times New Roman" w:hint="eastAsia"/>
          <w:szCs w:val="21"/>
        </w:rPr>
        <w:t xml:space="preserve">, </w:t>
      </w:r>
      <w:proofErr w:type="spellStart"/>
      <w:r w:rsidR="008A6C5F">
        <w:rPr>
          <w:rFonts w:ascii="Times New Roman" w:hAnsi="Times New Roman" w:cs="Times New Roman" w:hint="eastAsia"/>
          <w:szCs w:val="21"/>
        </w:rPr>
        <w:t>Jiaxu</w:t>
      </w:r>
      <w:proofErr w:type="spellEnd"/>
      <w:r w:rsidR="008A6C5F">
        <w:rPr>
          <w:rFonts w:ascii="Times New Roman" w:hAnsi="Times New Roman" w:cs="Times New Roman" w:hint="eastAsia"/>
          <w:szCs w:val="21"/>
        </w:rPr>
        <w:t xml:space="preserve"> Zhao</w:t>
      </w:r>
      <w:r w:rsidR="008A6C5F">
        <w:rPr>
          <w:rFonts w:ascii="Times New Roman" w:hAnsi="Times New Roman" w:cs="Times New Roman"/>
          <w:szCs w:val="21"/>
          <w:vertAlign w:val="superscript"/>
        </w:rPr>
        <w:t>1</w:t>
      </w:r>
      <w:r w:rsidR="008A6C5F">
        <w:rPr>
          <w:rFonts w:ascii="Times New Roman" w:hAnsi="Times New Roman" w:cs="Times New Roman" w:hint="eastAsia"/>
          <w:szCs w:val="21"/>
        </w:rPr>
        <w:t xml:space="preserve">, </w:t>
      </w:r>
      <w:proofErr w:type="spellStart"/>
      <w:r w:rsidR="006F4679">
        <w:rPr>
          <w:rFonts w:ascii="Times New Roman" w:hAnsi="Times New Roman" w:cs="Times New Roman" w:hint="eastAsia"/>
          <w:szCs w:val="21"/>
        </w:rPr>
        <w:t>Shanwen</w:t>
      </w:r>
      <w:proofErr w:type="spellEnd"/>
      <w:r w:rsidR="00470AD0" w:rsidRPr="00843B98">
        <w:rPr>
          <w:rFonts w:ascii="Times New Roman" w:hAnsi="Times New Roman" w:cs="Times New Roman"/>
          <w:szCs w:val="21"/>
        </w:rPr>
        <w:t xml:space="preserve"> </w:t>
      </w:r>
      <w:r w:rsidR="006F4679">
        <w:rPr>
          <w:rFonts w:ascii="Times New Roman" w:hAnsi="Times New Roman" w:cs="Times New Roman" w:hint="eastAsia"/>
          <w:szCs w:val="21"/>
        </w:rPr>
        <w:t>Chen</w:t>
      </w:r>
      <w:r w:rsidR="00BE5782">
        <w:rPr>
          <w:rFonts w:ascii="Times New Roman" w:hAnsi="Times New Roman" w:cs="Times New Roman"/>
          <w:szCs w:val="21"/>
          <w:vertAlign w:val="superscript"/>
        </w:rPr>
        <w:t>1</w:t>
      </w:r>
      <w:r w:rsidR="0010392F">
        <w:rPr>
          <w:rFonts w:ascii="Times New Roman" w:hAnsi="Times New Roman" w:cs="Times New Roman" w:hint="eastAsia"/>
          <w:szCs w:val="21"/>
        </w:rPr>
        <w:t>,</w:t>
      </w:r>
      <w:r w:rsidR="0019733F">
        <w:rPr>
          <w:rFonts w:ascii="Times New Roman" w:hAnsi="Times New Roman" w:cs="Times New Roman" w:hint="eastAsia"/>
          <w:szCs w:val="21"/>
        </w:rPr>
        <w:t xml:space="preserve"> </w:t>
      </w:r>
      <w:proofErr w:type="spellStart"/>
      <w:r w:rsidR="009D7258">
        <w:rPr>
          <w:rFonts w:ascii="Times New Roman" w:hAnsi="Times New Roman" w:cs="Times New Roman" w:hint="eastAsia"/>
          <w:szCs w:val="21"/>
        </w:rPr>
        <w:t>Pengyuan</w:t>
      </w:r>
      <w:proofErr w:type="spellEnd"/>
      <w:r w:rsidR="00E119AE">
        <w:rPr>
          <w:rFonts w:ascii="Times New Roman" w:hAnsi="Times New Roman" w:cs="Times New Roman" w:hint="eastAsia"/>
          <w:szCs w:val="21"/>
        </w:rPr>
        <w:t xml:space="preserve"> Wang</w:t>
      </w:r>
      <w:r w:rsidR="006F4679">
        <w:rPr>
          <w:rFonts w:ascii="Times New Roman" w:hAnsi="Times New Roman" w:cs="Times New Roman" w:hint="eastAsia"/>
          <w:szCs w:val="21"/>
          <w:vertAlign w:val="superscript"/>
        </w:rPr>
        <w:t>1</w:t>
      </w:r>
      <w:r w:rsidR="00470AD0">
        <w:rPr>
          <w:rFonts w:ascii="Times New Roman" w:hAnsi="Times New Roman" w:cs="Times New Roman"/>
          <w:szCs w:val="21"/>
          <w:vertAlign w:val="superscript"/>
        </w:rPr>
        <w:t>*</w:t>
      </w:r>
    </w:p>
    <w:p w14:paraId="53652268" w14:textId="00BFE7F0" w:rsidR="0010392F" w:rsidRPr="0019733F" w:rsidRDefault="00470AD0" w:rsidP="00470AD0">
      <w:pPr>
        <w:rPr>
          <w:rFonts w:ascii="Times New Roman" w:hAnsi="Times New Roman" w:cs="Times New Roman"/>
        </w:rPr>
      </w:pPr>
      <w:r>
        <w:rPr>
          <w:rFonts w:ascii="Times New Roman" w:eastAsia="Arial" w:hAnsi="Times New Roman" w:cs="Times New Roman"/>
          <w:szCs w:val="21"/>
          <w:vertAlign w:val="superscript"/>
        </w:rPr>
        <w:t>1</w:t>
      </w:r>
      <w:r>
        <w:rPr>
          <w:rFonts w:ascii="Times New Roman" w:hAnsi="Times New Roman" w:cs="Times New Roman" w:hint="eastAsia"/>
          <w:szCs w:val="21"/>
          <w:vertAlign w:val="superscript"/>
        </w:rPr>
        <w:t xml:space="preserve"> </w:t>
      </w:r>
      <w:r w:rsidR="00914D71" w:rsidRPr="00914D71">
        <w:rPr>
          <w:rFonts w:ascii="Times New Roman" w:hAnsi="Times New Roman" w:cs="Times New Roman"/>
        </w:rPr>
        <w:t>Department of Gastrointestinal Surgery, Peking University First Hospital, Beijing, China</w:t>
      </w:r>
    </w:p>
    <w:p w14:paraId="41580E0A" w14:textId="050996B1" w:rsidR="00470AD0" w:rsidRDefault="00470AD0" w:rsidP="00470AD0">
      <w:pPr>
        <w:spacing w:before="50"/>
        <w:rPr>
          <w:rFonts w:ascii="Times New Roman" w:hAnsi="Times New Roman" w:cs="Times New Roman"/>
          <w:szCs w:val="21"/>
        </w:rPr>
      </w:pPr>
      <w:r>
        <w:rPr>
          <w:rFonts w:ascii="等线" w:eastAsia="等线" w:hAnsi="等线" w:cs="Times New Roman" w:hint="eastAsia"/>
          <w:b/>
          <w:bCs/>
          <w:szCs w:val="21"/>
        </w:rPr>
        <w:t>†:</w:t>
      </w:r>
      <w:r>
        <w:rPr>
          <w:rFonts w:ascii="等线" w:eastAsia="等线" w:hAnsi="等线" w:cs="Times New Roman"/>
          <w:szCs w:val="21"/>
        </w:rPr>
        <w:t xml:space="preserve"> </w:t>
      </w:r>
      <w:r w:rsidR="006F4679">
        <w:rPr>
          <w:rFonts w:ascii="Times New Roman" w:hAnsi="Times New Roman" w:cs="Times New Roman"/>
          <w:szCs w:val="21"/>
        </w:rPr>
        <w:t>W.Z.L.</w:t>
      </w:r>
      <w:r w:rsidR="006F4679">
        <w:rPr>
          <w:rFonts w:ascii="Times New Roman" w:hAnsi="Times New Roman" w:cs="Times New Roman" w:hint="eastAsia"/>
          <w:szCs w:val="21"/>
        </w:rPr>
        <w:t xml:space="preserve"> and </w:t>
      </w:r>
      <w:r w:rsidR="0010392F">
        <w:rPr>
          <w:rFonts w:ascii="Times New Roman" w:hAnsi="Times New Roman" w:cs="Times New Roman" w:hint="eastAsia"/>
          <w:szCs w:val="21"/>
        </w:rPr>
        <w:t>H</w:t>
      </w:r>
      <w:r w:rsidR="006F4679">
        <w:rPr>
          <w:rFonts w:ascii="Times New Roman" w:hAnsi="Times New Roman" w:cs="Times New Roman"/>
          <w:szCs w:val="21"/>
        </w:rPr>
        <w:t>.</w:t>
      </w:r>
      <w:r w:rsidR="0010392F">
        <w:rPr>
          <w:rFonts w:ascii="Times New Roman" w:hAnsi="Times New Roman" w:cs="Times New Roman" w:hint="eastAsia"/>
          <w:szCs w:val="21"/>
        </w:rPr>
        <w:t>P</w:t>
      </w:r>
      <w:r w:rsidR="006F4679">
        <w:rPr>
          <w:rFonts w:ascii="Times New Roman" w:hAnsi="Times New Roman" w:cs="Times New Roman"/>
          <w:szCs w:val="21"/>
        </w:rPr>
        <w:t>.</w:t>
      </w:r>
      <w:r w:rsidR="0010392F">
        <w:rPr>
          <w:rFonts w:ascii="Times New Roman" w:hAnsi="Times New Roman" w:cs="Times New Roman" w:hint="eastAsia"/>
          <w:szCs w:val="21"/>
        </w:rPr>
        <w:t>H</w:t>
      </w:r>
      <w:r w:rsidR="006F4679">
        <w:rPr>
          <w:rFonts w:ascii="Times New Roman" w:hAnsi="Times New Roman" w:cs="Times New Roman"/>
          <w:szCs w:val="21"/>
        </w:rPr>
        <w:t>.</w:t>
      </w:r>
      <w:r w:rsidR="006F4679">
        <w:rPr>
          <w:rFonts w:ascii="Times New Roman" w:hAnsi="Times New Roman" w:cs="Times New Roman" w:hint="eastAsia"/>
          <w:szCs w:val="21"/>
        </w:rPr>
        <w:t xml:space="preserve"> </w:t>
      </w:r>
      <w:r>
        <w:rPr>
          <w:rFonts w:ascii="Times New Roman" w:hAnsi="Times New Roman" w:cs="Times New Roman"/>
          <w:szCs w:val="21"/>
        </w:rPr>
        <w:t>contributed equally as co-first authors of this manuscript.</w:t>
      </w:r>
    </w:p>
    <w:p w14:paraId="6A1F765D" w14:textId="5B7C2700" w:rsidR="00470AD0" w:rsidRDefault="00470AD0" w:rsidP="00470AD0">
      <w:pPr>
        <w:spacing w:before="50"/>
        <w:rPr>
          <w:rFonts w:ascii="Times New Roman" w:hAnsi="Times New Roman" w:cs="Times New Roman"/>
          <w:szCs w:val="21"/>
        </w:rPr>
      </w:pPr>
      <w:r>
        <w:rPr>
          <w:rFonts w:ascii="Times New Roman" w:hAnsi="Times New Roman" w:cs="Times New Roman"/>
          <w:b/>
          <w:bCs/>
          <w:szCs w:val="21"/>
        </w:rPr>
        <w:t xml:space="preserve">*: </w:t>
      </w:r>
      <w:r>
        <w:rPr>
          <w:rFonts w:ascii="Times New Roman" w:hAnsi="Times New Roman" w:cs="Times New Roman"/>
          <w:b/>
          <w:szCs w:val="21"/>
        </w:rPr>
        <w:t>Correspondence:</w:t>
      </w:r>
      <w:r>
        <w:rPr>
          <w:rFonts w:ascii="Times New Roman" w:hAnsi="Times New Roman" w:cs="Times New Roman" w:hint="eastAsia"/>
          <w:szCs w:val="21"/>
        </w:rPr>
        <w:t xml:space="preserve"> </w:t>
      </w:r>
      <w:proofErr w:type="spellStart"/>
      <w:r w:rsidR="006F4679">
        <w:rPr>
          <w:rFonts w:ascii="Times New Roman" w:hAnsi="Times New Roman" w:cs="Times New Roman" w:hint="eastAsia"/>
          <w:szCs w:val="21"/>
        </w:rPr>
        <w:t>Pengyuan</w:t>
      </w:r>
      <w:proofErr w:type="spellEnd"/>
      <w:r w:rsidR="006F4679">
        <w:rPr>
          <w:rFonts w:ascii="Times New Roman" w:hAnsi="Times New Roman" w:cs="Times New Roman" w:hint="eastAsia"/>
          <w:szCs w:val="21"/>
        </w:rPr>
        <w:t xml:space="preserve"> Wang</w:t>
      </w:r>
      <w:r>
        <w:rPr>
          <w:rFonts w:ascii="Times New Roman" w:hAnsi="Times New Roman" w:cs="Times New Roman" w:hint="eastAsia"/>
          <w:szCs w:val="21"/>
        </w:rPr>
        <w:t xml:space="preserve">, </w:t>
      </w:r>
      <w:r w:rsidR="006F4679" w:rsidRPr="00914D71">
        <w:rPr>
          <w:rFonts w:ascii="Times New Roman" w:hAnsi="Times New Roman" w:cs="Times New Roman"/>
        </w:rPr>
        <w:t xml:space="preserve">Department of Gastrointestinal Surgery, Peking University First Hospital, Beijing, </w:t>
      </w:r>
      <w:proofErr w:type="gramStart"/>
      <w:r w:rsidR="006F4679" w:rsidRPr="00914D71">
        <w:rPr>
          <w:rFonts w:ascii="Times New Roman" w:hAnsi="Times New Roman" w:cs="Times New Roman"/>
        </w:rPr>
        <w:t>China</w:t>
      </w:r>
      <w:r>
        <w:rPr>
          <w:rFonts w:ascii="Times New Roman" w:hAnsi="Times New Roman" w:cs="Times New Roman" w:hint="eastAsia"/>
          <w:szCs w:val="21"/>
        </w:rPr>
        <w:t>;</w:t>
      </w:r>
      <w:proofErr w:type="gramEnd"/>
    </w:p>
    <w:p w14:paraId="6B34F758" w14:textId="77049DE6" w:rsidR="000F1789" w:rsidRPr="0019733F" w:rsidRDefault="00470AD0" w:rsidP="0019733F">
      <w:pPr>
        <w:spacing w:before="50"/>
        <w:rPr>
          <w:rFonts w:ascii="Times New Roman" w:hAnsi="Times New Roman" w:cs="Times New Roman"/>
          <w:color w:val="000000" w:themeColor="text1"/>
          <w:szCs w:val="21"/>
        </w:rPr>
      </w:pPr>
      <w:r>
        <w:rPr>
          <w:rFonts w:ascii="Times New Roman" w:hAnsi="Times New Roman" w:cs="Times New Roman"/>
          <w:szCs w:val="21"/>
        </w:rPr>
        <w:t xml:space="preserve">Email: </w:t>
      </w:r>
      <w:proofErr w:type="spellStart"/>
      <w:r w:rsidR="00BE5782">
        <w:rPr>
          <w:rFonts w:ascii="Times New Roman" w:hAnsi="Times New Roman" w:cs="Times New Roman" w:hint="eastAsia"/>
          <w:szCs w:val="21"/>
        </w:rPr>
        <w:t>Pengyuan</w:t>
      </w:r>
      <w:proofErr w:type="spellEnd"/>
      <w:r w:rsidR="00BE5782">
        <w:rPr>
          <w:rFonts w:ascii="Times New Roman" w:hAnsi="Times New Roman" w:cs="Times New Roman" w:hint="eastAsia"/>
          <w:szCs w:val="21"/>
        </w:rPr>
        <w:t xml:space="preserve"> Wang</w:t>
      </w:r>
      <w:r w:rsidR="0085686F">
        <w:rPr>
          <w:rFonts w:ascii="Times New Roman" w:hAnsi="Times New Roman" w:cs="Times New Roman" w:hint="eastAsia"/>
          <w:szCs w:val="21"/>
        </w:rPr>
        <w:t xml:space="preserve"> (</w:t>
      </w:r>
      <w:r w:rsidR="0085686F" w:rsidRPr="0085686F">
        <w:rPr>
          <w:rFonts w:ascii="Times New Roman" w:hAnsi="Times New Roman" w:cs="Times New Roman"/>
          <w:szCs w:val="21"/>
        </w:rPr>
        <w:t>pengyuan_wang@bjmu.edu.cn</w:t>
      </w:r>
      <w:r w:rsidR="0085686F">
        <w:rPr>
          <w:rFonts w:ascii="Times New Roman" w:hAnsi="Times New Roman" w:cs="Times New Roman" w:hint="eastAsia"/>
          <w:szCs w:val="21"/>
        </w:rPr>
        <w:t>)</w:t>
      </w:r>
    </w:p>
    <w:p w14:paraId="0DB1B6AC" w14:textId="087957BC" w:rsidR="003C3315" w:rsidRDefault="003C3315" w:rsidP="003C3315">
      <w:pPr>
        <w:jc w:val="both"/>
        <w:rPr>
          <w:rFonts w:ascii="Times New Roman" w:hAnsi="Times New Roman" w:cs="Times New Roman"/>
        </w:rPr>
      </w:pPr>
      <w:r>
        <w:rPr>
          <w:rFonts w:ascii="Times New Roman" w:hAnsi="Times New Roman" w:cs="Times New Roman" w:hint="eastAsia"/>
          <w:b/>
          <w:bCs/>
          <w:sz w:val="28"/>
          <w:szCs w:val="32"/>
        </w:rPr>
        <w:t>Abstract</w:t>
      </w:r>
      <w:r>
        <w:rPr>
          <w:rFonts w:ascii="Times New Roman" w:hAnsi="Times New Roman" w:cs="Times New Roman"/>
          <w:b/>
          <w:bCs/>
          <w:sz w:val="28"/>
          <w:szCs w:val="32"/>
        </w:rPr>
        <w:br/>
      </w:r>
      <w:r w:rsidRPr="003C3315">
        <w:rPr>
          <w:rFonts w:ascii="Times New Roman" w:hAnsi="Times New Roman" w:cs="Times New Roman"/>
          <w:b/>
          <w:bCs/>
        </w:rPr>
        <w:t>Background:</w:t>
      </w:r>
      <w:r w:rsidRPr="003C3315">
        <w:rPr>
          <w:rFonts w:ascii="Times New Roman" w:hAnsi="Times New Roman" w:cs="Times New Roman"/>
        </w:rPr>
        <w:t xml:space="preserve"> Large language models (LLMs) now achieve high scores on medical examinations, but most benchmarks report single-pass accuracy and under-specify trial-to-trial variability and induced-error risks. As agentic workflows (e.g., planning and self-critique) become common, it is crucial to test whether they improve reliability or amplify instability.</w:t>
      </w:r>
      <w:r w:rsidRPr="003C3315">
        <w:rPr>
          <w:rFonts w:ascii="Times New Roman" w:hAnsi="Times New Roman" w:cs="Times New Roman"/>
        </w:rPr>
        <w:br/>
      </w:r>
      <w:r w:rsidRPr="003C3315">
        <w:rPr>
          <w:rFonts w:ascii="Times New Roman" w:hAnsi="Times New Roman" w:cs="Times New Roman"/>
          <w:b/>
          <w:bCs/>
        </w:rPr>
        <w:t>Methods:</w:t>
      </w:r>
      <w:r w:rsidRPr="003C3315">
        <w:rPr>
          <w:rFonts w:ascii="Times New Roman" w:hAnsi="Times New Roman" w:cs="Times New Roman"/>
        </w:rPr>
        <w:t xml:space="preserve"> We conducted a repeated-measures benchmark of 11 LLMs on 165 questions from the 2025 Chinese national postgraduate entrance examination in Clinical Medicine Comprehensive Ability (CMCA; administered December 21, 2025). Each model was evaluated under two protocols: Baseline (direct prompting) and an Agentic Planner–Reasoner–Critic workflow, with five independent repeats per item per protocol (11×165×2×5=18,</w:t>
      </w:r>
      <w:r>
        <w:rPr>
          <w:rFonts w:ascii="Times New Roman" w:hAnsi="Times New Roman" w:cs="Times New Roman" w:hint="eastAsia"/>
        </w:rPr>
        <w:t xml:space="preserve"> </w:t>
      </w:r>
      <w:r w:rsidRPr="003C3315">
        <w:rPr>
          <w:rFonts w:ascii="Times New Roman" w:hAnsi="Times New Roman" w:cs="Times New Roman"/>
        </w:rPr>
        <w:t>150 responses). Reliability was quantified using Fleiss’ κ and answer entropy across repeats. We further introduced Agentic Iatrogenic Risk Analysis (AIRA) to decompose paired majority-vote outcome changes into rescues and iatrogenic flips.</w:t>
      </w:r>
      <w:r w:rsidRPr="003C3315">
        <w:rPr>
          <w:rFonts w:ascii="Times New Roman" w:hAnsi="Times New Roman" w:cs="Times New Roman"/>
        </w:rPr>
        <w:br/>
      </w:r>
      <w:r w:rsidRPr="003C3315">
        <w:rPr>
          <w:rFonts w:ascii="Times New Roman" w:hAnsi="Times New Roman" w:cs="Times New Roman"/>
          <w:b/>
          <w:bCs/>
        </w:rPr>
        <w:t>Results:</w:t>
      </w:r>
      <w:r w:rsidRPr="003C3315">
        <w:rPr>
          <w:rFonts w:ascii="Times New Roman" w:hAnsi="Times New Roman" w:cs="Times New Roman"/>
        </w:rPr>
        <w:t xml:space="preserve"> Baseline accuracy ranged from 75.6% to 93.9% across models. The agentic workflow did not yield systematic gains and reduced cohort mean accuracy by 2.53 percentage points (82.74%→80.21%). It also degraded reliability (median </w:t>
      </w:r>
      <w:proofErr w:type="spellStart"/>
      <w:r w:rsidRPr="003C3315">
        <w:rPr>
          <w:rFonts w:ascii="Times New Roman" w:hAnsi="Times New Roman" w:cs="Times New Roman"/>
        </w:rPr>
        <w:t>Δκ</w:t>
      </w:r>
      <w:proofErr w:type="spellEnd"/>
      <w:r w:rsidRPr="003C3315">
        <w:rPr>
          <w:rFonts w:ascii="Times New Roman" w:hAnsi="Times New Roman" w:cs="Times New Roman"/>
        </w:rPr>
        <w:t xml:space="preserve">=−0.045) and increased uncertainty (median </w:t>
      </w:r>
      <w:proofErr w:type="spellStart"/>
      <w:r w:rsidRPr="003C3315">
        <w:rPr>
          <w:rFonts w:ascii="Times New Roman" w:hAnsi="Times New Roman" w:cs="Times New Roman"/>
        </w:rPr>
        <w:t>Δentropy</w:t>
      </w:r>
      <w:proofErr w:type="spellEnd"/>
      <w:r w:rsidRPr="003C3315">
        <w:rPr>
          <w:rFonts w:ascii="Times New Roman" w:hAnsi="Times New Roman" w:cs="Times New Roman"/>
        </w:rPr>
        <w:t xml:space="preserve">=+0.069 bits). AIRA revealed a safety paradox: iatrogenic flips outnumbered rescues (102 vs 72; damage-to-rescue ratio=1.42; McNemar exact </w:t>
      </w:r>
      <w:r w:rsidR="006C4231" w:rsidRPr="006C4231">
        <w:rPr>
          <w:rFonts w:ascii="Times New Roman" w:hAnsi="Times New Roman" w:cs="Times New Roman" w:hint="eastAsia"/>
          <w:i/>
          <w:iCs/>
        </w:rPr>
        <w:t>P</w:t>
      </w:r>
      <w:r w:rsidR="006C4231">
        <w:rPr>
          <w:rFonts w:ascii="Times New Roman" w:hAnsi="Times New Roman" w:cs="Times New Roman" w:hint="eastAsia"/>
        </w:rPr>
        <w:t xml:space="preserve"> </w:t>
      </w:r>
      <w:r w:rsidRPr="003C3315">
        <w:rPr>
          <w:rFonts w:ascii="Times New Roman" w:hAnsi="Times New Roman" w:cs="Times New Roman"/>
        </w:rPr>
        <w:t>=0.0276). Psychometric analysis showed more negatively discriminating items under the agentic protocol, suggesting that structured deliberation can alter item functioning and create “reasoning traps.”</w:t>
      </w:r>
      <w:r w:rsidRPr="003C3315">
        <w:rPr>
          <w:rFonts w:ascii="Times New Roman" w:hAnsi="Times New Roman" w:cs="Times New Roman"/>
        </w:rPr>
        <w:br/>
      </w:r>
      <w:r w:rsidRPr="003C3315">
        <w:rPr>
          <w:rFonts w:ascii="Times New Roman" w:hAnsi="Times New Roman" w:cs="Times New Roman"/>
          <w:b/>
          <w:bCs/>
        </w:rPr>
        <w:t>Conclusion:</w:t>
      </w:r>
      <w:r w:rsidRPr="003C3315">
        <w:rPr>
          <w:rFonts w:ascii="Times New Roman" w:hAnsi="Times New Roman" w:cs="Times New Roman"/>
        </w:rPr>
        <w:t xml:space="preserve"> In high-stakes medical QA, agentic workflows can trade accuracy for instability and may introduce net harm despite longer reasoning. Medical LLM evaluation should move beyond single-pass accuracy to </w:t>
      </w:r>
      <w:proofErr w:type="gramStart"/>
      <w:r w:rsidRPr="003C3315">
        <w:rPr>
          <w:rFonts w:ascii="Times New Roman" w:hAnsi="Times New Roman" w:cs="Times New Roman"/>
        </w:rPr>
        <w:t>repeated-measures</w:t>
      </w:r>
      <w:proofErr w:type="gramEnd"/>
      <w:r w:rsidRPr="003C3315">
        <w:rPr>
          <w:rFonts w:ascii="Times New Roman" w:hAnsi="Times New Roman" w:cs="Times New Roman"/>
        </w:rPr>
        <w:t xml:space="preserve"> auditing that reports reliability and induced-error risk.</w:t>
      </w:r>
    </w:p>
    <w:p w14:paraId="7DC65BE3" w14:textId="08354683" w:rsidR="005D11A3" w:rsidRPr="005D11A3" w:rsidRDefault="005D11A3" w:rsidP="003C3315">
      <w:pPr>
        <w:jc w:val="both"/>
        <w:rPr>
          <w:rFonts w:ascii="Times New Roman" w:hAnsi="Times New Roman" w:cs="Times New Roman"/>
          <w:b/>
          <w:bCs/>
          <w:sz w:val="28"/>
          <w:szCs w:val="32"/>
        </w:rPr>
      </w:pPr>
      <w:r w:rsidRPr="005D11A3">
        <w:rPr>
          <w:rFonts w:ascii="Times New Roman" w:hAnsi="Times New Roman" w:cs="Times New Roman" w:hint="eastAsia"/>
          <w:b/>
          <w:bCs/>
        </w:rPr>
        <w:t>Keywords</w:t>
      </w:r>
      <w:r>
        <w:rPr>
          <w:rFonts w:ascii="Times New Roman" w:hAnsi="Times New Roman" w:cs="Times New Roman" w:hint="eastAsia"/>
          <w:b/>
          <w:bCs/>
        </w:rPr>
        <w:t xml:space="preserve">: </w:t>
      </w:r>
      <w:r w:rsidRPr="005D11A3">
        <w:rPr>
          <w:rFonts w:ascii="Times New Roman" w:hAnsi="Times New Roman" w:cs="Times New Roman" w:hint="eastAsia"/>
        </w:rPr>
        <w:t xml:space="preserve">Agentic workflows; Medical large language models; Repeated-measures </w:t>
      </w:r>
      <w:r w:rsidRPr="005D11A3">
        <w:rPr>
          <w:rFonts w:ascii="Times New Roman" w:hAnsi="Times New Roman" w:cs="Times New Roman" w:hint="eastAsia"/>
        </w:rPr>
        <w:lastRenderedPageBreak/>
        <w:t>benchmarking; Iatrogenic risk</w:t>
      </w:r>
    </w:p>
    <w:p w14:paraId="0870EC76" w14:textId="0C78B483" w:rsidR="008A10DE" w:rsidRPr="00285421" w:rsidRDefault="008A10DE" w:rsidP="00653F7D">
      <w:pPr>
        <w:pStyle w:val="a9"/>
        <w:numPr>
          <w:ilvl w:val="0"/>
          <w:numId w:val="5"/>
        </w:numPr>
        <w:jc w:val="both"/>
        <w:rPr>
          <w:rFonts w:ascii="Times New Roman" w:hAnsi="Times New Roman" w:cs="Times New Roman"/>
          <w:b/>
          <w:bCs/>
          <w:sz w:val="28"/>
          <w:szCs w:val="32"/>
        </w:rPr>
      </w:pPr>
      <w:r w:rsidRPr="00285421">
        <w:rPr>
          <w:rFonts w:ascii="Times New Roman" w:hAnsi="Times New Roman" w:cs="Times New Roman"/>
          <w:b/>
          <w:bCs/>
          <w:sz w:val="28"/>
          <w:szCs w:val="32"/>
        </w:rPr>
        <w:t>Introduction</w:t>
      </w:r>
    </w:p>
    <w:p w14:paraId="1FDAD765" w14:textId="436A3321" w:rsidR="00DE7CD2" w:rsidRPr="00285421" w:rsidRDefault="00DE7CD2" w:rsidP="00DE7CD2">
      <w:pPr>
        <w:jc w:val="both"/>
        <w:rPr>
          <w:rFonts w:ascii="Times New Roman" w:hAnsi="Times New Roman" w:cs="Times New Roman"/>
        </w:rPr>
      </w:pPr>
      <w:r w:rsidRPr="00285421">
        <w:rPr>
          <w:rFonts w:ascii="Times New Roman" w:hAnsi="Times New Roman" w:cs="Times New Roman"/>
        </w:rPr>
        <w:t>The integration of Large Language Models (LLMs) into the medical domain has transitioned from theoretical exploration to demonstrable proficiency. Flagship models, including GPT-4 and Med-</w:t>
      </w:r>
      <w:proofErr w:type="spellStart"/>
      <w:r w:rsidRPr="00285421">
        <w:rPr>
          <w:rFonts w:ascii="Times New Roman" w:hAnsi="Times New Roman" w:cs="Times New Roman"/>
        </w:rPr>
        <w:t>PaLM</w:t>
      </w:r>
      <w:proofErr w:type="spellEnd"/>
      <w:r w:rsidRPr="00285421">
        <w:rPr>
          <w:rFonts w:ascii="Times New Roman" w:hAnsi="Times New Roman" w:cs="Times New Roman"/>
        </w:rPr>
        <w:t>, have successfully cleared the threshold of "expert-level" knowledge, achieving passing scores on high-stakes credentialing examinations such as the United States Medical Licensing Examination (USMLE)</w:t>
      </w:r>
      <w:r w:rsidR="00521F47" w:rsidRPr="00285421">
        <w:rPr>
          <w:rFonts w:ascii="Times New Roman" w:hAnsi="Times New Roman" w:cs="Times New Roman"/>
        </w:rPr>
        <w:t xml:space="preserve"> </w:t>
      </w:r>
      <w:r w:rsidRPr="00285421">
        <w:rPr>
          <w:rFonts w:ascii="Times New Roman" w:hAnsi="Times New Roman" w:cs="Times New Roman"/>
        </w:rPr>
        <w:fldChar w:fldCharType="begin"/>
      </w:r>
      <w:r w:rsidRPr="00285421">
        <w:rPr>
          <w:rFonts w:ascii="Times New Roman" w:hAnsi="Times New Roman" w:cs="Times New Roman"/>
        </w:rPr>
        <w:instrText xml:space="preserve"> ADDIN ZOTERO_ITEM CSL_CITATION {"citationID":"lwpwWJw0","properties":{"formattedCitation":"\\super 1,2\\nosupersub{}","plainCitation":"1,2","noteIndex":0},"citationItems":[{"id":1093,"uris":["http://zotero.org/users/14545145/items/GQPJ2X7G"],"itemData":{"id":1093,"type":"article-journal","abstract":"Large language models (LLMs) have demonstrated impressive capabilities, but the bar for clinical applications is high. Attempts to assess the clinical knowledge of models typically rely on automated evaluations based on limited benchmarks. Here, to address these limitations, we present MultiMedQA, a benchmark combining six existing medical question answering datasets spanning professional medicine, research and consumer queries and a new dataset of medical questions searched online, HealthSearchQA. We propose a human evaluation framework for model answers along multiple axes including factuality, comprehension, reasoning, possible harm and bias. In addition, we evaluate Pathways Language Model1 (PaLM, a 540-billion parameter LLM) and its instruction-tuned variant, Flan-PaLM2 on MultiMedQA. Using a combination of prompting strategies, Flan-PaLM achieves state-of-the-art accuracy on every MultiMedQA multiple-choice dataset (MedQA3, MedMCQA4, PubMedQA5 and Measuring Massive Multitask Language Understanding (MMLU) clinical topics6), including 67.6% accuracy on MedQA (US Medical Licensing Exam-style questions), surpassing the prior state of the art by more than 17%. However, human evaluation reveals key gaps. To resolve this, we introduce instruction prompt tuning, a parameter-efficient approach for aligning LLMs to new domains using a few exemplars. The resulting model, Med-PaLM, performs encouragingly, but remains inferior to clinicians. We show that comprehension, knowledge recall and reasoning improve with model scale and instruction prompt tuning, suggesting the potential utility of LLMs in medicine. Our human evaluations reveal limitations of today’s models, reinforcing the importance of both evaluation frameworks and method development in creating safe, helpful LLMs for clinical applications.","container-title":"Nature","DOI":"10.1038/s41586-023-06291-2","ISSN":"1476-4687","issue":"7972","language":"en","license":"2023 The Author(s)","note":"publisher: Nature Publishing Group","page":"172-180","source":"www.nature.com","title":"Large language models encode clinical knowledge","volume":"620","author":[{"family":"Singhal","given":"Karan"},{"family":"Azizi","given":"Shekoofeh"},{"family":"Tu","given":"Tao"},{"family":"Mahdavi","given":"S. Sara"},{"family":"Wei","given":"Jason"},{"family":"Chung","given":"Hyung Won"},{"family":"Scales","given":"Nathan"},{"family":"Tanwani","given":"Ajay"},{"family":"Cole-Lewis","given":"Heather"},{"family":"Pfohl","given":"Stephen"},{"family":"Payne","given":"Perry"},{"family":"Seneviratne","given":"Martin"},{"family":"Gamble","given":"Paul"},{"family":"Kelly","given":"Chris"},{"family":"Babiker","given":"Abubakr"},{"family":"Schärli","given":"Nathanael"},{"family":"Chowdhery","given":"Aakanksha"},{"family":"Mansfield","given":"Philip"},{"family":"Demner-Fushman","given":"Dina"},{"family":"Agüera y Arcas","given":"Blaise"},{"family":"Webster","given":"Dale"},{"family":"Corrado","given":"Greg S."},{"family":"Matias","given":"Yossi"},{"family":"Chou","given":"Katherine"},{"family":"Gottweis","given":"Juraj"},{"family":"Tomasev","given":"Nenad"},{"family":"Liu","given":"Yun"},{"family":"Rajkomar","given":"Alvin"},{"family":"Barral","given":"Joelle"},{"family":"Semturs","given":"Christopher"},{"family":"Karthikesalingam","given":"Alan"},{"family":"Natarajan","given":"Vivek"}],"issued":{"date-parts":[["2023",8]]}}},{"id":1114,"uris":["http://zotero.org/users/14545145/items/SCJE7ESR"],"itemData":{"id":1114,"type":"article","abstract":"Large language models (LLMs) have demonstrated remarkable capabilities in natural language understanding and generation across various domains, including medicine. We present a comprehensive evaluation of GPT-4, a state-of-the-art LLM, on medical competency examinations and benchmark datasets. GPT-4 is a general-purpose model that is not specialized for medical problems through training or engineered to solve clinical tasks. Our analysis covers two sets of official practice materials for the USMLE, a three-step examination program used to assess clinical competency and grant licensure in the United States. We also evaluate performance on the MultiMedQA suite of benchmark datasets. Beyond measuring model performance, experiments were conducted to investigate the influence of test questions containing both text and images on model performance, probe for memorization of content during training, and study probability calibration, which is of critical importance in high-stakes applications like medicine. Our results show that GPT-4, without any specialized prompt crafting, exceeds the passing score on USMLE by over 20 points and outperforms earlier general-purpose models (GPT-3.5) as well as models specifically fine-tuned on medical knowledge (Med-PaLM, a prompt-tuned version of Flan-PaLM 540B). In addition, GPT-4 is significantly better calibrated than GPT-3.5, demonstrating a much-improved ability to predict the likelihood that its answers are correct. We also explore the behavior of the model qualitatively through a case study that shows the ability of GPT-4 to explain medical reasoning, personalize explanations to students, and interactively craft new counterfactual scenarios around a medical case. Implications of the findings are discussed for potential uses of GPT-4 in medical education, assessment, and clinical practice, with appropriate attention to challenges of accuracy and safety.","DOI":"10.48550/arXiv.2303.13375","note":"arXiv:2303.13375 [cs]","number":"arXiv:2303.13375","publisher":"arXiv","source":"arXiv.org","title":"Capabilities of GPT-4 on Medical Challenge Problems","URL":"http://arxiv.org/abs/2303.13375","author":[{"family":"Nori","given":"Harsha"},{"family":"King","given":"Nicholas"},{"family":"McKinney","given":"Scott Mayer"},{"family":"Carignan","given":"Dean"},{"family":"Horvitz","given":"Eric"}],"accessed":{"date-parts":[["2025",12,29]]},"issued":{"date-parts":[["2023",4,12]]}}}],"schema":"https://github.com/citation-style-language/schema/raw/master/csl-citation.json"} </w:instrText>
      </w:r>
      <w:r w:rsidRPr="00285421">
        <w:rPr>
          <w:rFonts w:ascii="Times New Roman" w:hAnsi="Times New Roman" w:cs="Times New Roman"/>
        </w:rPr>
        <w:fldChar w:fldCharType="separate"/>
      </w:r>
      <w:r w:rsidRPr="00285421">
        <w:rPr>
          <w:rFonts w:ascii="Times New Roman" w:hAnsi="Times New Roman" w:cs="Times New Roman"/>
          <w:kern w:val="0"/>
          <w:vertAlign w:val="superscript"/>
        </w:rPr>
        <w:t>1,2</w:t>
      </w:r>
      <w:r w:rsidRPr="00285421">
        <w:rPr>
          <w:rFonts w:ascii="Times New Roman" w:hAnsi="Times New Roman" w:cs="Times New Roman"/>
        </w:rPr>
        <w:fldChar w:fldCharType="end"/>
      </w:r>
      <w:r w:rsidRPr="00285421">
        <w:rPr>
          <w:rFonts w:ascii="Times New Roman" w:hAnsi="Times New Roman" w:cs="Times New Roman"/>
        </w:rPr>
        <w:t>. These milestones have fueled optimism regarding the deployment of LLMs for Clinical Decision Support (CDS). However, the translation of "exam-passing" performance into safe clinical practice is obstructed by a fundamental characteristic of generative AI: stochasticity. Unlike deterministic expert systems, LLMs are probabilistic engines subject to aleatoric uncertainty</w:t>
      </w:r>
      <w:r w:rsidR="00521F47" w:rsidRPr="00285421">
        <w:rPr>
          <w:rFonts w:ascii="Times New Roman" w:hAnsi="Times New Roman" w:cs="Times New Roman"/>
        </w:rPr>
        <w:t xml:space="preserve"> </w:t>
      </w:r>
      <w:r w:rsidR="00A400D5" w:rsidRPr="00285421">
        <w:rPr>
          <w:rFonts w:ascii="Times New Roman" w:hAnsi="Times New Roman" w:cs="Times New Roman"/>
        </w:rPr>
        <w:fldChar w:fldCharType="begin"/>
      </w:r>
      <w:r w:rsidR="00A400D5" w:rsidRPr="00285421">
        <w:rPr>
          <w:rFonts w:ascii="Times New Roman" w:hAnsi="Times New Roman" w:cs="Times New Roman"/>
        </w:rPr>
        <w:instrText xml:space="preserve"> ADDIN ZOTERO_ITEM CSL_CITATION {"citationID":"JWW1KawI","properties":{"formattedCitation":"\\super 3\\nosupersub{}","plainCitation":"3","noteIndex":0},"citationItems":[{"id":1098,"uris":["http://zotero.org/users/14545145/items/37ILUIBB"],"itemData":{"id":1098,"type":"article-journal","abstract":"The notion of uncertainty is of major importance in machine learning and constitutes a key element of machine learning methodology. In line with the statistical tradition, uncertainty has long been perceived as almost synonymous with standard probability and probabilistic predictions. Yet, due to the steadily increasing relevance of machine learning for practical applications and related issues such as safety requirements, new problems and challenges have recently been identified by machine learning scholars, and these problems may call for new methodological developments. In particular, this includes the importance of distinguishing between (at least) two different types of uncertainty, often referred to as aleatoric and epistemic. In this paper, we provide an introduction to the topic of uncertainty in machine learning as well as an overview of attempts so far at handling uncertainty in general and formalizing this distinction in particular.","container-title":"Machine Learning","DOI":"10.1007/s10994-021-05946-3","ISSN":"1573-0565","issue":"3","journalAbbreviation":"Mach Learn","language":"en","page":"457-506","source":"Springer Link","title":"Aleatoric and epistemic uncertainty in machine learning: an introduction to concepts and methods","title-short":"Aleatoric and epistemic uncertainty in machine learning","volume":"110","author":[{"family":"Hüllermeier","given":"Eyke"},{"family":"Waegeman","given":"Willem"}],"issued":{"date-parts":[["2021",3,1]]}}}],"schema":"https://github.com/citation-style-language/schema/raw/master/csl-citation.json"} </w:instrText>
      </w:r>
      <w:r w:rsidR="00A400D5" w:rsidRPr="00285421">
        <w:rPr>
          <w:rFonts w:ascii="Times New Roman" w:hAnsi="Times New Roman" w:cs="Times New Roman"/>
        </w:rPr>
        <w:fldChar w:fldCharType="separate"/>
      </w:r>
      <w:r w:rsidR="00A400D5" w:rsidRPr="00285421">
        <w:rPr>
          <w:rFonts w:ascii="Times New Roman" w:hAnsi="Times New Roman" w:cs="Times New Roman"/>
          <w:kern w:val="0"/>
          <w:vertAlign w:val="superscript"/>
        </w:rPr>
        <w:t>3</w:t>
      </w:r>
      <w:r w:rsidR="00A400D5" w:rsidRPr="00285421">
        <w:rPr>
          <w:rFonts w:ascii="Times New Roman" w:hAnsi="Times New Roman" w:cs="Times New Roman"/>
        </w:rPr>
        <w:fldChar w:fldCharType="end"/>
      </w:r>
      <w:r w:rsidRPr="00285421">
        <w:rPr>
          <w:rFonts w:ascii="Times New Roman" w:hAnsi="Times New Roman" w:cs="Times New Roman"/>
        </w:rPr>
        <w:t>. A model that correctly diagnoses a complex pathology in one inference pass may provide contradictory or hallucinatory advice upon regeneration or trivial prompt perturbation. In high-stakes healthcare environments, where consistency is a prerequisite for trust, a "lucky guess" is indistinguishable from robust knowledge in a single-trial evaluation, yet the consequences of instability are profound</w:t>
      </w:r>
      <w:r w:rsidR="00521F47" w:rsidRPr="00285421">
        <w:rPr>
          <w:rFonts w:ascii="Times New Roman" w:hAnsi="Times New Roman" w:cs="Times New Roman"/>
        </w:rPr>
        <w:t xml:space="preserve"> </w:t>
      </w:r>
      <w:r w:rsidR="00A400D5" w:rsidRPr="00285421">
        <w:rPr>
          <w:rFonts w:ascii="Times New Roman" w:hAnsi="Times New Roman" w:cs="Times New Roman"/>
        </w:rPr>
        <w:fldChar w:fldCharType="begin"/>
      </w:r>
      <w:r w:rsidR="00A400D5" w:rsidRPr="00285421">
        <w:rPr>
          <w:rFonts w:ascii="Times New Roman" w:hAnsi="Times New Roman" w:cs="Times New Roman"/>
        </w:rPr>
        <w:instrText xml:space="preserve"> ADDIN ZOTERO_ITEM CSL_CITATION {"citationID":"wvHuDMJo","properties":{"formattedCitation":"\\super 4\\nosupersub{}","plainCitation":"4","noteIndex":0},"citationItems":[{"id":1103,"uris":["http://zotero.org/users/14545145/items/8N4VFVZU"],"itemData":{"id":1103,"type":"article-journal","abstract":"Large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Inc.","note":"publisher: Nature Publishing Group","page":"1930-1940","source":"www.nature.com","title":"Large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A400D5" w:rsidRPr="00285421">
        <w:rPr>
          <w:rFonts w:ascii="Times New Roman" w:hAnsi="Times New Roman" w:cs="Times New Roman"/>
        </w:rPr>
        <w:fldChar w:fldCharType="separate"/>
      </w:r>
      <w:r w:rsidR="00A400D5" w:rsidRPr="00285421">
        <w:rPr>
          <w:rFonts w:ascii="Times New Roman" w:hAnsi="Times New Roman" w:cs="Times New Roman"/>
          <w:kern w:val="0"/>
          <w:vertAlign w:val="superscript"/>
        </w:rPr>
        <w:t>4</w:t>
      </w:r>
      <w:r w:rsidR="00A400D5" w:rsidRPr="00285421">
        <w:rPr>
          <w:rFonts w:ascii="Times New Roman" w:hAnsi="Times New Roman" w:cs="Times New Roman"/>
        </w:rPr>
        <w:fldChar w:fldCharType="end"/>
      </w:r>
      <w:r w:rsidRPr="00285421">
        <w:rPr>
          <w:rFonts w:ascii="Times New Roman" w:hAnsi="Times New Roman" w:cs="Times New Roman"/>
        </w:rPr>
        <w:t>.</w:t>
      </w:r>
    </w:p>
    <w:p w14:paraId="29860254" w14:textId="58296C48" w:rsidR="00DE7CD2" w:rsidRPr="00285421" w:rsidRDefault="00572FB8" w:rsidP="00DE7CD2">
      <w:pPr>
        <w:jc w:val="both"/>
        <w:rPr>
          <w:rFonts w:ascii="Times New Roman" w:hAnsi="Times New Roman" w:cs="Times New Roman"/>
        </w:rPr>
      </w:pPr>
      <w:r w:rsidRPr="00285421">
        <w:rPr>
          <w:rFonts w:ascii="Times New Roman" w:hAnsi="Times New Roman" w:cs="Times New Roman"/>
        </w:rPr>
        <w:t>Despite this critical concern</w:t>
      </w:r>
      <w:r w:rsidR="00DE7CD2" w:rsidRPr="00285421">
        <w:rPr>
          <w:rFonts w:ascii="Times New Roman" w:hAnsi="Times New Roman" w:cs="Times New Roman"/>
        </w:rPr>
        <w:t xml:space="preserve">, the prevailing ecosystem of medical AI evaluation—exemplified by benchmarks such as </w:t>
      </w:r>
      <w:proofErr w:type="spellStart"/>
      <w:r w:rsidR="00DE7CD2" w:rsidRPr="00285421">
        <w:rPr>
          <w:rFonts w:ascii="Times New Roman" w:hAnsi="Times New Roman" w:cs="Times New Roman"/>
        </w:rPr>
        <w:t>MedQA</w:t>
      </w:r>
      <w:proofErr w:type="spellEnd"/>
      <w:r w:rsidR="00DE7CD2" w:rsidRPr="00285421">
        <w:rPr>
          <w:rFonts w:ascii="Times New Roman" w:hAnsi="Times New Roman" w:cs="Times New Roman"/>
        </w:rPr>
        <w:t xml:space="preserve"> and </w:t>
      </w:r>
      <w:proofErr w:type="spellStart"/>
      <w:r w:rsidR="00DE7CD2" w:rsidRPr="00285421">
        <w:rPr>
          <w:rFonts w:ascii="Times New Roman" w:hAnsi="Times New Roman" w:cs="Times New Roman"/>
        </w:rPr>
        <w:t>MedMCQA</w:t>
      </w:r>
      <w:proofErr w:type="spellEnd"/>
      <w:r w:rsidR="00DE7CD2" w:rsidRPr="00285421">
        <w:rPr>
          <w:rFonts w:ascii="Times New Roman" w:hAnsi="Times New Roman" w:cs="Times New Roman"/>
        </w:rPr>
        <w:t>—remains heavily oriented toward single-pass accuracy metrics</w:t>
      </w:r>
      <w:r w:rsidRPr="00285421">
        <w:rPr>
          <w:rFonts w:ascii="Times New Roman" w:hAnsi="Times New Roman" w:cs="Times New Roman"/>
        </w:rPr>
        <w:t xml:space="preserve"> </w:t>
      </w:r>
      <w:r w:rsidR="00A400D5" w:rsidRPr="00285421">
        <w:rPr>
          <w:rFonts w:ascii="Times New Roman" w:hAnsi="Times New Roman" w:cs="Times New Roman"/>
        </w:rPr>
        <w:fldChar w:fldCharType="begin"/>
      </w:r>
      <w:r w:rsidR="00A400D5" w:rsidRPr="00285421">
        <w:rPr>
          <w:rFonts w:ascii="Times New Roman" w:hAnsi="Times New Roman" w:cs="Times New Roman"/>
        </w:rPr>
        <w:instrText xml:space="preserve"> ADDIN ZOTERO_ITEM CSL_CITATION {"citationID":"ud8oTiNr","properties":{"formattedCitation":"\\super 5\\nosupersub{}","plainCitation":"5","noteIndex":0},"citationItems":[{"id":1105,"uris":["http://zotero.org/users/14545145/items/QJR847LJ"],"itemData":{"id":1105,"type":"article-journal","abstract":"Open domain question answering (OpenQA) tasks have been recently attracting more and more attention from the natural language processing (NLP) community. In this work, we present the first free-form multiple-choice OpenQA dataset for solving medical problems, MedQA, collected from the professional medical board exams. It covers three languages: English, simplified Chinese, and traditional Chinese, and contains 12,723, 34,251, and 14,123 questions for the three languages, respectively. We implement both rule-based and popular neural methods by sequentially combining a document retriever and a machine comprehension model. Through experiments, we find that even the current best method can only achieve 36.7%, 42.0%, and 70.1% of test accuracy on the English, traditional Chinese, and simplified Chinese questions, respectively. We expect MedQA to present great challenges to existing OpenQA systems and hope that it can serve as a platform to promote much stronger OpenQA models from the NLP community in the future.","container-title":"Applied Sciences","DOI":"10.3390/app11146421","ISSN":"2076-3417","issue":"14","language":"en","license":"http://creativecommons.org/licenses/by/3.0/","note":"publisher: Multidisciplinary Digital Publishing Institute","page":"6421","source":"www.mdpi.com","title":"What Disease Does This Patient Have? A Large-Scale Open Domain Question Answering Dataset from Medical Exams","title-short":"What Disease Does This Patient Have?","volume":"11","author":[{"family":"Jin","given":"Di"},{"family":"Pan","given":"Eileen"},{"family":"Oufattole","given":"Nassim"},{"family":"Weng","given":"Wei-Hung"},{"family":"Fang","given":"Hanyi"},{"family":"Szolovits","given":"Peter"}],"issued":{"date-parts":[["2021",1]]}}}],"schema":"https://github.com/citation-style-language/schema/raw/master/csl-citation.json"} </w:instrText>
      </w:r>
      <w:r w:rsidR="00A400D5" w:rsidRPr="00285421">
        <w:rPr>
          <w:rFonts w:ascii="Times New Roman" w:hAnsi="Times New Roman" w:cs="Times New Roman"/>
        </w:rPr>
        <w:fldChar w:fldCharType="separate"/>
      </w:r>
      <w:r w:rsidR="00A400D5" w:rsidRPr="00285421">
        <w:rPr>
          <w:rFonts w:ascii="Times New Roman" w:hAnsi="Times New Roman" w:cs="Times New Roman"/>
          <w:kern w:val="0"/>
          <w:vertAlign w:val="superscript"/>
        </w:rPr>
        <w:t>5</w:t>
      </w:r>
      <w:r w:rsidR="00A400D5" w:rsidRPr="00285421">
        <w:rPr>
          <w:rFonts w:ascii="Times New Roman" w:hAnsi="Times New Roman" w:cs="Times New Roman"/>
        </w:rPr>
        <w:fldChar w:fldCharType="end"/>
      </w:r>
      <w:r w:rsidR="00DE7CD2" w:rsidRPr="00285421">
        <w:rPr>
          <w:rFonts w:ascii="Times New Roman" w:hAnsi="Times New Roman" w:cs="Times New Roman"/>
        </w:rPr>
        <w:t>. This approach treats models as deterministic databases, inherently masking the stability of their reasoning. It fails to distinguish between a model that is "robustly correct" (consistently reasoning from first principles) and one that is "luckily correct" (stumbling upon the right token within a high-entropy distribution). Furthermore, the field is rapidly pivoting toward Agentic Workflows—systems involving multi-step planning, Chain-of-Thought (</w:t>
      </w:r>
      <w:proofErr w:type="spellStart"/>
      <w:r w:rsidR="00DE7CD2" w:rsidRPr="00285421">
        <w:rPr>
          <w:rFonts w:ascii="Times New Roman" w:hAnsi="Times New Roman" w:cs="Times New Roman"/>
        </w:rPr>
        <w:t>CoT</w:t>
      </w:r>
      <w:proofErr w:type="spellEnd"/>
      <w:r w:rsidR="00DE7CD2" w:rsidRPr="00285421">
        <w:rPr>
          <w:rFonts w:ascii="Times New Roman" w:hAnsi="Times New Roman" w:cs="Times New Roman"/>
        </w:rPr>
        <w:t>) reasoning, and self-correction—to enhance performance</w:t>
      </w:r>
      <w:r w:rsidR="00521F47" w:rsidRPr="00285421">
        <w:rPr>
          <w:rFonts w:ascii="Times New Roman" w:hAnsi="Times New Roman" w:cs="Times New Roman"/>
        </w:rPr>
        <w:t xml:space="preserve"> </w:t>
      </w:r>
      <w:r w:rsidR="00A400D5" w:rsidRPr="00285421">
        <w:rPr>
          <w:rFonts w:ascii="Times New Roman" w:hAnsi="Times New Roman" w:cs="Times New Roman"/>
        </w:rPr>
        <w:fldChar w:fldCharType="begin"/>
      </w:r>
      <w:r w:rsidR="00A400D5" w:rsidRPr="00285421">
        <w:rPr>
          <w:rFonts w:ascii="Times New Roman" w:hAnsi="Times New Roman" w:cs="Times New Roman"/>
        </w:rPr>
        <w:instrText xml:space="preserve"> ADDIN ZOTERO_ITEM CSL_CITATION {"citationID":"bjMOUptH","properties":{"formattedCitation":"\\super 6\\nosupersub{}","plainCitation":"6","noteIndex":0},"citationItems":[{"id":1118,"uris":["http://zotero.org/users/14545145/items/SG9X3IRC"],"itemData":{"id":1118,"type":"article-journal","container-title":"Patterns","DOI":"10.1016/j.patter.2024.100943","ISSN":"2666-3899","issue":"3","journalAbbreviation":"Patterns","language":"English","note":"publisher: Elsevier","source":"www.cell.com","title":"Can large language models reason about medical questions?","URL":"https://www.cell.com/patterns/abstract/S2666-3899(24)00042-4","volume":"5","author":[{"family":"Liévin","given":"Valentin"},{"family":"Hother","given":"Christoffer Egeberg"},{"family":"Motzfeldt","given":"Andreas Geert"},{"family":"Winther","given":"Ole"}],"accessed":{"date-parts":[["2025",12,29]]},"issued":{"date-parts":[["2024",3,8]]}}}],"schema":"https://github.com/citation-style-language/schema/raw/master/csl-citation.json"} </w:instrText>
      </w:r>
      <w:r w:rsidR="00A400D5" w:rsidRPr="00285421">
        <w:rPr>
          <w:rFonts w:ascii="Times New Roman" w:hAnsi="Times New Roman" w:cs="Times New Roman"/>
        </w:rPr>
        <w:fldChar w:fldCharType="separate"/>
      </w:r>
      <w:r w:rsidR="00A400D5" w:rsidRPr="00285421">
        <w:rPr>
          <w:rFonts w:ascii="Times New Roman" w:hAnsi="Times New Roman" w:cs="Times New Roman"/>
          <w:kern w:val="0"/>
          <w:vertAlign w:val="superscript"/>
        </w:rPr>
        <w:t>6</w:t>
      </w:r>
      <w:r w:rsidR="00A400D5" w:rsidRPr="00285421">
        <w:rPr>
          <w:rFonts w:ascii="Times New Roman" w:hAnsi="Times New Roman" w:cs="Times New Roman"/>
        </w:rPr>
        <w:fldChar w:fldCharType="end"/>
      </w:r>
      <w:r w:rsidR="00DE7CD2" w:rsidRPr="00285421">
        <w:rPr>
          <w:rFonts w:ascii="Times New Roman" w:hAnsi="Times New Roman" w:cs="Times New Roman"/>
        </w:rPr>
        <w:t xml:space="preserve">. While these agents often improve aggregate scores, they introduce opaque failure modes. An aggressive reasoning agent might "rescue" a wrong answer, but it may also over-complicate a previously correct baseline answer into an error—a phenomenon we term "iatrogenic error" (system-induced fault) </w:t>
      </w:r>
      <w:r w:rsidR="00A400D5" w:rsidRPr="00285421">
        <w:rPr>
          <w:rFonts w:ascii="Times New Roman" w:hAnsi="Times New Roman" w:cs="Times New Roman"/>
        </w:rPr>
        <w:fldChar w:fldCharType="begin"/>
      </w:r>
      <w:r w:rsidR="0091185E" w:rsidRPr="00285421">
        <w:rPr>
          <w:rFonts w:ascii="Times New Roman" w:hAnsi="Times New Roman" w:cs="Times New Roman"/>
        </w:rPr>
        <w:instrText xml:space="preserve"> ADDIN ZOTERO_ITEM CSL_CITATION {"citationID":"tB7uaPNM","properties":{"formattedCitation":"\\super 7,8\\nosupersub{}","plainCitation":"7,8","noteIndex":0},"citationItems":[{"id":1120,"uris":["http://zotero.org/users/14545145/items/48QSUY7B"],"itemData":{"id":1120,"type":"article-journal","abstract":"Chatbots are computer programs with which one can have a conversation. In this article, the authors describe how the GPT-4 chatbot, which has been given a general education, could affect the practice of medicine.","container-title":"New England Journal of Medicine","DOI":"10.1056/NEJMsr2214184","ISSN":"0028-4793","issue":"13","note":"publisher: Massachusetts Medical Society\n_eprint: https://www.nejm.org/doi/pdf/10.1056/NEJMsr2214184","page":"1233-1239","source":"Taylor and Francis+NEJM","title":"Benefits, Limits, and Risks of GPT-4 as an AI Chatbot for Medicine","volume":"388","author":[{"family":"Lee","given":"Peter"},{"family":"Bubeck","given":"Sebastien"},{"family":"Petro","given":"Joseph"}],"issued":{"date-parts":[["2023",3,29]]}}},{"id":1124,"uris":["http://zotero.org/users/14545145/items/5KPQS5JD"],"itemData":{"id":1124,"type":"article-journal","abstract":"Artificial intelligence (AI) is poised to broadly reshape medicine, potentially improving the experiences of both clinicians and patients. We discuss key findings from a 2-year weekly effort to track and share key developments in medical AI. We cover prospective studies and advances in medical image analysis, which have reduced the gap between research and deployment. We also address several promising avenues for novel medical AI research, including non-image data sources, unconventional problem formulations and human–AI collaboration. Finally, we consider serious technical and ethical challenges in issues spanning from data scarcity to racial bias. As these challenges are addressed, AI’s potential may be realized, making healthcare more accurate, efficient and accessible for patients worldwide.","container-title":"Nature Medicine","DOI":"10.1038/s41591-021-01614-0","ISSN":"1546-170X","issue":"1","journalAbbreviation":"Nat Med","language":"en","license":"2022 Springer Nature America, Inc.","note":"publisher: Nature Publishing Group","page":"31-38","source":"www.nature.com","title":"AI in health and medicine","volume":"28","author":[{"family":"Rajpurkar","given":"Pranav"},{"family":"Chen","given":"Emma"},{"family":"Banerjee","given":"Oishi"},{"family":"Topol","given":"Eric J."}],"issued":{"date-parts":[["2022",1]]}}}],"schema":"https://github.com/citation-style-language/schema/raw/master/csl-citation.json"} </w:instrText>
      </w:r>
      <w:r w:rsidR="00A400D5" w:rsidRPr="00285421">
        <w:rPr>
          <w:rFonts w:ascii="Times New Roman" w:hAnsi="Times New Roman" w:cs="Times New Roman"/>
        </w:rPr>
        <w:fldChar w:fldCharType="separate"/>
      </w:r>
      <w:r w:rsidR="0091185E" w:rsidRPr="00285421">
        <w:rPr>
          <w:rFonts w:ascii="Times New Roman" w:hAnsi="Times New Roman" w:cs="Times New Roman"/>
          <w:kern w:val="0"/>
          <w:vertAlign w:val="superscript"/>
        </w:rPr>
        <w:t>7,8</w:t>
      </w:r>
      <w:r w:rsidR="00A400D5" w:rsidRPr="00285421">
        <w:rPr>
          <w:rFonts w:ascii="Times New Roman" w:hAnsi="Times New Roman" w:cs="Times New Roman"/>
        </w:rPr>
        <w:fldChar w:fldCharType="end"/>
      </w:r>
      <w:r w:rsidR="00DE7CD2" w:rsidRPr="00285421">
        <w:rPr>
          <w:rFonts w:ascii="Times New Roman" w:hAnsi="Times New Roman" w:cs="Times New Roman"/>
        </w:rPr>
        <w:t>. Currently, we lack a unified framework to rigorously quantify this safety trade-off.</w:t>
      </w:r>
    </w:p>
    <w:p w14:paraId="151412AE" w14:textId="3DFCBAF1" w:rsidR="00DE7CD2" w:rsidRPr="00285421" w:rsidRDefault="00DE7CD2" w:rsidP="00DE7CD2">
      <w:pPr>
        <w:jc w:val="both"/>
        <w:rPr>
          <w:rFonts w:ascii="Times New Roman" w:hAnsi="Times New Roman" w:cs="Times New Roman"/>
        </w:rPr>
      </w:pPr>
      <w:r w:rsidRPr="00285421">
        <w:rPr>
          <w:rFonts w:ascii="Times New Roman" w:hAnsi="Times New Roman" w:cs="Times New Roman"/>
        </w:rPr>
        <w:t xml:space="preserve">To bridge this gap, medical AI evaluation must adopt the rigorous "repeated measures" designs found in psychometrics and clinical reliability testing. This necessitates subjecting models to multiple independent inference trials for the same clinical scenario to quantify stability. </w:t>
      </w:r>
      <w:r w:rsidR="00572FB8" w:rsidRPr="00285421">
        <w:rPr>
          <w:rFonts w:ascii="Times New Roman" w:hAnsi="Times New Roman" w:cs="Times New Roman"/>
        </w:rPr>
        <w:t xml:space="preserve">By treating each independent trial as a virtual 'rater' and </w:t>
      </w:r>
      <w:r w:rsidRPr="00285421">
        <w:rPr>
          <w:rFonts w:ascii="Times New Roman" w:hAnsi="Times New Roman" w:cs="Times New Roman"/>
        </w:rPr>
        <w:t>applying inter-rater reliability statistics—such as Fleiss</w:t>
      </w:r>
      <w:r w:rsidR="00521F47" w:rsidRPr="00285421">
        <w:rPr>
          <w:rFonts w:ascii="Times New Roman" w:hAnsi="Times New Roman" w:cs="Times New Roman"/>
        </w:rPr>
        <w:t>’</w:t>
      </w:r>
      <w:r w:rsidRPr="00285421">
        <w:rPr>
          <w:rFonts w:ascii="Times New Roman" w:hAnsi="Times New Roman" w:cs="Times New Roman"/>
        </w:rPr>
        <w:t xml:space="preserve"> </w:t>
      </w:r>
      <w:r w:rsidR="00521F47" w:rsidRPr="00285421">
        <w:rPr>
          <w:rFonts w:ascii="Times New Roman" w:hAnsi="Times New Roman" w:cs="Times New Roman"/>
        </w:rPr>
        <w:t>κ</w:t>
      </w:r>
      <w:r w:rsidRPr="00285421">
        <w:rPr>
          <w:rFonts w:ascii="Times New Roman" w:hAnsi="Times New Roman" w:cs="Times New Roman"/>
        </w:rPr>
        <w:t>—to a model’s own repeated outputs, researchers can distinguish true proficiency from statistical noise</w:t>
      </w:r>
      <w:r w:rsidR="00521F47" w:rsidRPr="00285421">
        <w:rPr>
          <w:rFonts w:ascii="Times New Roman" w:hAnsi="Times New Roman" w:cs="Times New Roman"/>
        </w:rPr>
        <w:t xml:space="preserve"> </w:t>
      </w:r>
      <w:r w:rsidR="0091185E" w:rsidRPr="00285421">
        <w:rPr>
          <w:rFonts w:ascii="Times New Roman" w:hAnsi="Times New Roman" w:cs="Times New Roman"/>
        </w:rPr>
        <w:fldChar w:fldCharType="begin"/>
      </w:r>
      <w:r w:rsidR="0091185E" w:rsidRPr="00285421">
        <w:rPr>
          <w:rFonts w:ascii="Times New Roman" w:hAnsi="Times New Roman" w:cs="Times New Roman"/>
        </w:rPr>
        <w:instrText xml:space="preserve"> ADDIN ZOTERO_ITEM CSL_CITATION {"citationID":"xuYB7ffJ","properties":{"formattedCitation":"\\super 9\\nosupersub{}","plainCitation":"9","noteIndex":0},"citationItems":[{"id":1125,"uris":["http://zotero.org/users/14545145/items/UV47W5PG"],"itemData":{"id":1125,"type":"article-journal","abstract":"Introduced the statistic kappa to measure nominal scale agreement between a fixed pair of raters. Kappa was generalized to the case where each of a sample of 30 patients was rated on a nominal scale by the same number of psychiatrist raters (n = 6), but where the raters rating 1 s were not necessarily the same as those rating another. Large sample standard errors were derived. (PsycInfo Database Record (c) 2025 APA, all rights reserved)","container-title":"Psychological Bulletin","DOI":"10.1037/h0031619","ISSN":"1939-1455","issue":"5","note":"publisher-place: US\npublisher: American Psychological Association","page":"378-382","source":"APA PsycNet","title":"Measuring nominal scale agreement among many raters","volume":"76","author":[{"family":"Fleiss","given":"Joseph L."}],"issued":{"date-parts":[["1971"]]}}}],"schema":"https://github.com/citation-style-language/schema/raw/master/csl-citation.json"} </w:instrText>
      </w:r>
      <w:r w:rsidR="0091185E" w:rsidRPr="00285421">
        <w:rPr>
          <w:rFonts w:ascii="Times New Roman" w:hAnsi="Times New Roman" w:cs="Times New Roman"/>
        </w:rPr>
        <w:fldChar w:fldCharType="separate"/>
      </w:r>
      <w:r w:rsidR="0091185E" w:rsidRPr="00285421">
        <w:rPr>
          <w:rFonts w:ascii="Times New Roman" w:hAnsi="Times New Roman" w:cs="Times New Roman"/>
          <w:kern w:val="0"/>
          <w:vertAlign w:val="superscript"/>
        </w:rPr>
        <w:t>9</w:t>
      </w:r>
      <w:r w:rsidR="0091185E" w:rsidRPr="00285421">
        <w:rPr>
          <w:rFonts w:ascii="Times New Roman" w:hAnsi="Times New Roman" w:cs="Times New Roman"/>
        </w:rPr>
        <w:fldChar w:fldCharType="end"/>
      </w:r>
      <w:r w:rsidRPr="00285421">
        <w:rPr>
          <w:rFonts w:ascii="Times New Roman" w:hAnsi="Times New Roman" w:cs="Times New Roman"/>
        </w:rPr>
        <w:t xml:space="preserve">. </w:t>
      </w:r>
      <w:r w:rsidR="00572FB8" w:rsidRPr="00285421">
        <w:rPr>
          <w:rFonts w:ascii="Times New Roman" w:hAnsi="Times New Roman" w:cs="Times New Roman"/>
        </w:rPr>
        <w:t xml:space="preserve">Moreover, rigorous model comparison requires non-parametric statistical testing to move beyond simple mean comparisons, which can mislead when variance is high </w:t>
      </w:r>
      <w:r w:rsidR="0091185E" w:rsidRPr="00285421">
        <w:rPr>
          <w:rFonts w:ascii="Times New Roman" w:hAnsi="Times New Roman" w:cs="Times New Roman"/>
        </w:rPr>
        <w:fldChar w:fldCharType="begin"/>
      </w:r>
      <w:r w:rsidR="00D22284">
        <w:rPr>
          <w:rFonts w:ascii="Times New Roman" w:hAnsi="Times New Roman" w:cs="Times New Roman"/>
        </w:rPr>
        <w:instrText xml:space="preserve"> ADDIN ZOTERO_ITEM CSL_CITATION {"citationID":"pZ5RByb4","properties":{"formattedCitation":"\\super 10\\nosupersub{}","plainCitation":"10","noteIndex":0},"citationItems":[{"id":1245,"uris":["http://zotero.org/users/14545145/items/E5H3QQ5D"],"itemData":{"id":1245,"type":"article-journal","abstract":"While methods for comparing two learning algorithms on a single data set have been scrutinized for quite some time already, the issue of statistical tests for comparisons of more algorithms on multiple data sets, which is even more essential to typical machine learning studies, has been all but ignored. This article reviews the current practice and then theoretically and empirically examines several suitable tests. Based on that, we recommend a set of simple, yet safe and robust non-parametric tests for statistical comparisons of classifiers: the Wilcoxon signed ranks test for comparison of two classifiers and the Friedman test with the corresponding post-hoc tests for comparison of more classifiers over multiple data sets. Results of the latter can also be neatly presented with the newly introduced CD (critical difference) diagrams.","container-title":"J. Mach. Learn. Res.","ISSN":"1532-4435","page":"1–30","source":"ACM Digital Library","title":"Statistical Comparisons of Classifiers over Multiple Data Sets","volume":"7","author":[{"family":"Demšar","given":"Janez"}],"issued":{"date-parts":[["2006",12,1]]}}}],"schema":"https://github.com/citation-style-language/schema/raw/master/csl-citation.json"} </w:instrText>
      </w:r>
      <w:r w:rsidR="0091185E" w:rsidRPr="00285421">
        <w:rPr>
          <w:rFonts w:ascii="Times New Roman" w:hAnsi="Times New Roman" w:cs="Times New Roman"/>
        </w:rPr>
        <w:fldChar w:fldCharType="separate"/>
      </w:r>
      <w:r w:rsidR="00D22284" w:rsidRPr="00D22284">
        <w:rPr>
          <w:rFonts w:ascii="Times New Roman" w:hAnsi="Times New Roman" w:cs="Times New Roman"/>
          <w:kern w:val="0"/>
          <w:vertAlign w:val="superscript"/>
        </w:rPr>
        <w:t>10</w:t>
      </w:r>
      <w:r w:rsidR="0091185E" w:rsidRPr="00285421">
        <w:rPr>
          <w:rFonts w:ascii="Times New Roman" w:hAnsi="Times New Roman" w:cs="Times New Roman"/>
        </w:rPr>
        <w:fldChar w:fldCharType="end"/>
      </w:r>
      <w:r w:rsidRPr="00285421">
        <w:rPr>
          <w:rFonts w:ascii="Times New Roman" w:hAnsi="Times New Roman" w:cs="Times New Roman"/>
        </w:rPr>
        <w:t>.</w:t>
      </w:r>
    </w:p>
    <w:p w14:paraId="577C60B2" w14:textId="6F73E363" w:rsidR="00F67AF3" w:rsidRPr="00285421" w:rsidRDefault="00DE7CD2" w:rsidP="008A10DE">
      <w:pPr>
        <w:jc w:val="both"/>
        <w:rPr>
          <w:rFonts w:ascii="Times New Roman" w:hAnsi="Times New Roman" w:cs="Times New Roman"/>
        </w:rPr>
      </w:pPr>
      <w:r w:rsidRPr="00285421">
        <w:rPr>
          <w:rFonts w:ascii="Times New Roman" w:hAnsi="Times New Roman" w:cs="Times New Roman"/>
        </w:rPr>
        <w:lastRenderedPageBreak/>
        <w:t xml:space="preserve">In this study, we present a reliability-focused benchmark evaluating 11 mainstream LLMs on 165 questions </w:t>
      </w:r>
      <w:r w:rsidR="0052000D" w:rsidRPr="00285421">
        <w:rPr>
          <w:rFonts w:ascii="Times New Roman" w:hAnsi="Times New Roman" w:cs="Times New Roman"/>
        </w:rPr>
        <w:t>contained in</w:t>
      </w:r>
      <w:r w:rsidRPr="00285421">
        <w:rPr>
          <w:rFonts w:ascii="Times New Roman" w:hAnsi="Times New Roman" w:cs="Times New Roman"/>
        </w:rPr>
        <w:t xml:space="preserve"> the Clinical Medicine Comprehensive Ability Test</w:t>
      </w:r>
      <w:r w:rsidR="0052000D" w:rsidRPr="00285421">
        <w:rPr>
          <w:rFonts w:ascii="Times New Roman" w:hAnsi="Times New Roman" w:cs="Times New Roman"/>
        </w:rPr>
        <w:t xml:space="preserve"> 202</w:t>
      </w:r>
      <w:r w:rsidR="00F67AF3" w:rsidRPr="00285421">
        <w:rPr>
          <w:rFonts w:ascii="Times New Roman" w:hAnsi="Times New Roman" w:cs="Times New Roman"/>
        </w:rPr>
        <w:t>5</w:t>
      </w:r>
      <w:r w:rsidRPr="00285421">
        <w:rPr>
          <w:rFonts w:ascii="Times New Roman" w:hAnsi="Times New Roman" w:cs="Times New Roman"/>
        </w:rPr>
        <w:t xml:space="preserve">. We selected </w:t>
      </w:r>
      <w:r w:rsidR="0052000D" w:rsidRPr="00285421">
        <w:rPr>
          <w:rFonts w:ascii="Times New Roman" w:hAnsi="Times New Roman" w:cs="Times New Roman"/>
        </w:rPr>
        <w:t>it</w:t>
      </w:r>
      <w:r w:rsidRPr="00285421">
        <w:rPr>
          <w:rFonts w:ascii="Times New Roman" w:hAnsi="Times New Roman" w:cs="Times New Roman"/>
        </w:rPr>
        <w:t xml:space="preserve"> for </w:t>
      </w:r>
      <w:r w:rsidR="0052000D" w:rsidRPr="00285421">
        <w:rPr>
          <w:rFonts w:ascii="Times New Roman" w:hAnsi="Times New Roman" w:cs="Times New Roman"/>
        </w:rPr>
        <w:t>its</w:t>
      </w:r>
      <w:r w:rsidRPr="00285421">
        <w:rPr>
          <w:rFonts w:ascii="Times New Roman" w:hAnsi="Times New Roman" w:cs="Times New Roman"/>
        </w:rPr>
        <w:t xml:space="preserve"> structural rigor</w:t>
      </w:r>
      <w:r w:rsidR="0052000D" w:rsidRPr="00285421">
        <w:rPr>
          <w:rFonts w:ascii="Times New Roman" w:hAnsi="Times New Roman" w:cs="Times New Roman"/>
        </w:rPr>
        <w:t>,</w:t>
      </w:r>
      <w:r w:rsidRPr="00285421">
        <w:rPr>
          <w:rFonts w:ascii="Times New Roman" w:hAnsi="Times New Roman" w:cs="Times New Roman"/>
        </w:rPr>
        <w:t xml:space="preserve"> vertically integrat</w:t>
      </w:r>
      <w:r w:rsidR="0052000D" w:rsidRPr="00285421">
        <w:rPr>
          <w:rFonts w:ascii="Times New Roman" w:hAnsi="Times New Roman" w:cs="Times New Roman"/>
        </w:rPr>
        <w:t>ing</w:t>
      </w:r>
      <w:r w:rsidRPr="00285421">
        <w:rPr>
          <w:rFonts w:ascii="Times New Roman" w:hAnsi="Times New Roman" w:cs="Times New Roman"/>
        </w:rPr>
        <w:t xml:space="preserve"> basic sciences with clinical disciplines</w:t>
      </w:r>
      <w:r w:rsidR="0052000D" w:rsidRPr="00285421">
        <w:rPr>
          <w:rFonts w:ascii="Times New Roman" w:hAnsi="Times New Roman" w:cs="Times New Roman"/>
        </w:rPr>
        <w:t>,</w:t>
      </w:r>
      <w:r w:rsidRPr="00285421">
        <w:rPr>
          <w:rFonts w:ascii="Times New Roman" w:hAnsi="Times New Roman" w:cs="Times New Roman"/>
        </w:rPr>
        <w:t xml:space="preserve"> and employ</w:t>
      </w:r>
      <w:r w:rsidR="0052000D" w:rsidRPr="00285421">
        <w:rPr>
          <w:rFonts w:ascii="Times New Roman" w:hAnsi="Times New Roman" w:cs="Times New Roman"/>
        </w:rPr>
        <w:t>ing</w:t>
      </w:r>
      <w:r w:rsidRPr="00285421">
        <w:rPr>
          <w:rFonts w:ascii="Times New Roman" w:hAnsi="Times New Roman" w:cs="Times New Roman"/>
        </w:rPr>
        <w:t xml:space="preserve"> complex "exam-style" (Type B matching, Type X multiple-select) that impose strict penalties on partial hallucinations </w:t>
      </w:r>
      <w:r w:rsidR="00EA4CEA" w:rsidRPr="00285421">
        <w:rPr>
          <w:rFonts w:ascii="Times New Roman" w:hAnsi="Times New Roman" w:cs="Times New Roman"/>
        </w:rPr>
        <w:fldChar w:fldCharType="begin"/>
      </w:r>
      <w:r w:rsidR="00EA4CEA" w:rsidRPr="00285421">
        <w:rPr>
          <w:rFonts w:ascii="Times New Roman" w:hAnsi="Times New Roman" w:cs="Times New Roman"/>
        </w:rPr>
        <w:instrText xml:space="preserve"> ADDIN ZOTERO_ITEM CSL_CITATION {"citationID":"zlyp7SBI","properties":{"formattedCitation":"\\super 11,12\\nosupersub{}","plainCitation":"11,12","noteIndex":0},"citationItems":[{"id":1129,"uris":["http://zotero.org/users/14545145/items/2SJBF23N"],"itemData":{"id":1129,"type":"article-journal","abstract":"Background: ChatGPT, an artificial intelligence (AI) based on large-scale language models, has sparked interest in the field of health care. Nonetheless, the capabilities of AI in text comprehension and generation are constrained by the quality and volume of available training data for a specific language, and the performance of AI across different languages requires further investigation. While AI harbors substantial potential in medicine, it is imperative to tackle challenges such as the formulation of clinical care standards; facilitating cultural transitions in medical education and practice; and managing ethical issues including data privacy, consent, and bias.\nObjective: The study aimed to evaluate ChatGPT’s performance in processing Chinese Postgraduate Examination for Clinical Medicine questions, assess its clinical reasoning ability, investigate potential limitations with the Chinese language, and explore its potential as a valuable tool for medical professionals in the Chinese context.\nMethods: A data set of Chinese Postgraduate Examination for Clinical Medicine questions was used to assess the effectiveness of ChatGPT’s (version 3.5) medical knowledge in the Chinese language, which has a data set of 165 medical questions that were divided into three categories: (1) common questions (n=90) assessing basic medical knowledge, (2) case analysis questions (n=45) focusing on clinical decision-making through patient case evaluations, and (3) multichoice questions (n=30) requiring the selection of multiple correct answers. First of all, we assessed whether ChatGPT could meet the stringent cutoff score defined by the government agency, which requires a performance within the top 20% of candidates. Additionally, in our evaluation of ChatGPT’s performance on both original and encoded medical questions, 3 primary indicators were used: accuracy, concordance (which validates the answer), and the frequency of insights.\nResults: Our evaluation revealed that ChatGPT scored 153.5 out of 300 for original questions in Chinese, which signifies the minimum score set to ensure that at least 20% more candidates pass than the enrollment quota. However, ChatGPT had low accuracy in answering open-ended medical questions, with only 31.5% total accuracy. The accuracy for common questions, multichoice questions, and case analysis questions was 42%, 37%, and 17%, respectively. ChatGPT achieved a 90% concordance across all questions. Among correct responses, the concordance was 100%, significantly exceeding that of incorrect responses (n=57, 50%; P&amp;lt;.001). ChatGPT provided innovative insights for 80% (n=132) of all questions, with an average of 2.95 insights per accurate response.\nConclusions: Although ChatGPT surpassed the passing threshold for the Chinese Postgraduate Examination for Clinical Medicine, its performance in answering open-ended medical questions was suboptimal. Nonetheless, ChatGPT exhibited high internal concordance and the ability to generate multiple insights in the Chinese language. Future research should investigate the language-based discrepancies in ChatGPT’s performance within the health care context.","container-title":"JMIR Medical Education","DOI":"10.2196/48514","issue":"1","language":"EN","license":"This is an open-access article distributed under the terms of the Creative Commons Attribution License (https://creativecommons.org/licenses/by/4.0/), which permits unrestricted use, distribution, and reproduction in any medium, provided the original work, first published JMIR Medical Education, is properly cited. The complete bibliographic information, a link to the original publication on https://mededu.jmir.org/, as well as this copyright and license information must be included.","note":"Company: JMIR Medical Education\nDistributor: JMIR Medical Education\nInstitution: JMIR Medical Education\nLabel: JMIR Medical Education\npublisher: JMIR Publications Inc., Toronto, Canada","page":"e48514","source":"mededu.jmir.org","title":"Performance of ChatGPT on the Chinese Postgraduate Examination for Clinical Medicine: Survey Study","title-short":"Performance of ChatGPT on the Chinese Postgraduate Examination for Clinical Medicine","volume":"10","author":[{"family":"Yu","given":"Peng"},{"family":"Fang","given":"Changchang"},{"family":"Liu","given":"Xiaolin"},{"family":"Fu","given":"Wanying"},{"family":"Ling","given":"Jitao"},{"family":"Yan","given":"Zhiwei"},{"family":"Jiang","given":"Yuan"},{"family":"Cao","given":"Zhengyu"},{"family":"Wu","given":"Maoxiong"},{"family":"Chen","given":"Zhiteng"},{"family":"Zhu","given":"Wengen"},{"family":"Zhang","given":"Yuling"},{"family":"Abudukeremu","given":"Ayiguli"},{"family":"Wang","given":"Yue"},{"family":"Liu","given":"Xiao"},{"family":"Wang","given":"Jingfeng"}],"issued":{"date-parts":[["2024",2,9]]}}},{"id":1135,"uris":["http://zotero.org/users/14545145/items/XUNMCTQY"],"itemData":{"id":1135,"type":"article-journal","abstract":"Background\nChatGPT is a large language model designed to generate responses based on a contextual understanding of user queries and requests. This study utilised the entrance examination for the Master of Clinical Medicine in Traditional Chinese Medicine to assesses the reliability and practicality of ChatGPT within the domain of medical education.\n\nMethods\nWe selected 330 single and multiple-choice questions from the 2021 and 2022 Chinese Master of Clinical Medicine comprehensive examinations, which did not include any images or tables. To ensure the test’s accuracy and authenticity, we preserved the original format of the query and alternative test texts, without any modifications or explanations.\n\nResults\nBoth ChatGPT3.5 and GPT-4 attained average scores surpassing the admission threshold. Noteworthy is that ChatGPT achieved the highest score in the Medical Humanities section, boasting a correct rate of 93.75%. However, it is worth noting that ChatGPT3.5 exhibited the lowest accuracy percentage of 37.5% in the Pathology division, while GPT-4 also displayed a relatively lower correctness percentage of 60.23% in the Biochemistry section. An analysis of sub-questions revealed that ChatGPT demonstrates superior performance in handling single-choice questions but performs poorly in multiple-choice questions.\n\nConclusion\nChatGPT exhibits a degree of medical knowledge and the capacity to aid in diagnosing and treating diseases. Nevertheless, enhancements are warranted to address its accuracy and reliability limitations. Imperatively, rigorous evaluation and oversight must accompany its utilization, accompanied by proactive measures to surmount prevailing constraints.","container-title":"PLOS ONE","DOI":"10.1371/journal.pone.0301702","ISSN":"1932-6203","issue":"4","journalAbbreviation":"PLoS One","note":"PMID: 38573944\nPMCID: PMC10994287","page":"e0301702","source":"PubMed Central","title":"Performance of ChatGPT on Chinese Master’s Degree Entrance Examination in Clinical Medicine","volume":"19","author":[{"family":"Li","given":"Ke-Cheng"},{"family":"Bu","given":"Zhi-Jun"},{"family":"Shahjalal","given":"Md."},{"family":"He","given":"Bai-Xiang"},{"family":"Zhuang","given":"Zi-Fan"},{"family":"Li","given":"Chen"},{"family":"Liu","given":"Jian-Ping"},{"family":"Wang","given":"Bin"},{"family":"Liu","given":"Zhao-Lan"}],"issued":{"date-parts":[["2024",4,4]]}}}],"schema":"https://github.com/citation-style-language/schema/raw/master/csl-citation.json"} </w:instrText>
      </w:r>
      <w:r w:rsidR="00EA4CEA" w:rsidRPr="00285421">
        <w:rPr>
          <w:rFonts w:ascii="Times New Roman" w:hAnsi="Times New Roman" w:cs="Times New Roman"/>
        </w:rPr>
        <w:fldChar w:fldCharType="separate"/>
      </w:r>
      <w:r w:rsidR="00EA4CEA" w:rsidRPr="00285421">
        <w:rPr>
          <w:rFonts w:ascii="Times New Roman" w:hAnsi="Times New Roman" w:cs="Times New Roman"/>
          <w:kern w:val="0"/>
          <w:vertAlign w:val="superscript"/>
        </w:rPr>
        <w:t>11,12</w:t>
      </w:r>
      <w:r w:rsidR="00EA4CEA" w:rsidRPr="00285421">
        <w:rPr>
          <w:rFonts w:ascii="Times New Roman" w:hAnsi="Times New Roman" w:cs="Times New Roman"/>
        </w:rPr>
        <w:fldChar w:fldCharType="end"/>
      </w:r>
      <w:r w:rsidRPr="00285421">
        <w:rPr>
          <w:rFonts w:ascii="Times New Roman" w:hAnsi="Times New Roman" w:cs="Times New Roman"/>
        </w:rPr>
        <w:t>. Our experimental design mandates 5 independent inference trials for every model-question pair across two distinct protocols: a Baseline (direct prompting) and an Agentic (multi-agent collaboration) workflow. This design enables us to move beyond static leaderboards to generate a dynamic "reliability profile" for each system.</w:t>
      </w:r>
    </w:p>
    <w:p w14:paraId="70BB5B0F" w14:textId="04E1F746" w:rsidR="00F9107F" w:rsidRPr="00285421" w:rsidRDefault="00F9107F" w:rsidP="00653F7D">
      <w:pPr>
        <w:pStyle w:val="a9"/>
        <w:numPr>
          <w:ilvl w:val="0"/>
          <w:numId w:val="5"/>
        </w:numPr>
        <w:jc w:val="both"/>
        <w:rPr>
          <w:rFonts w:ascii="Times New Roman" w:hAnsi="Times New Roman" w:cs="Times New Roman"/>
          <w:b/>
          <w:bCs/>
          <w:sz w:val="28"/>
          <w:szCs w:val="32"/>
        </w:rPr>
      </w:pPr>
      <w:r w:rsidRPr="00285421">
        <w:rPr>
          <w:rFonts w:ascii="Times New Roman" w:hAnsi="Times New Roman" w:cs="Times New Roman"/>
          <w:b/>
          <w:bCs/>
          <w:sz w:val="28"/>
          <w:szCs w:val="32"/>
        </w:rPr>
        <w:t>Methods and Materials</w:t>
      </w:r>
    </w:p>
    <w:p w14:paraId="5C7164EE" w14:textId="5932EAF8" w:rsidR="007D5DF8" w:rsidRPr="00285421" w:rsidRDefault="000C51FE" w:rsidP="007D5DF8">
      <w:pPr>
        <w:pStyle w:val="a9"/>
        <w:widowControl/>
        <w:numPr>
          <w:ilvl w:val="1"/>
          <w:numId w:val="5"/>
        </w:numPr>
        <w:shd w:val="clear" w:color="auto" w:fill="FFFFFF"/>
        <w:spacing w:after="0" w:line="285" w:lineRule="atLeast"/>
        <w:rPr>
          <w:rFonts w:ascii="Times New Roman" w:eastAsia="宋体" w:hAnsi="Times New Roman" w:cs="Times New Roman"/>
          <w:b/>
          <w:bCs/>
          <w:kern w:val="0"/>
          <w:sz w:val="24"/>
          <w14:ligatures w14:val="none"/>
        </w:rPr>
      </w:pPr>
      <w:r w:rsidRPr="00285421">
        <w:rPr>
          <w:rFonts w:ascii="Times New Roman" w:eastAsia="宋体" w:hAnsi="Times New Roman" w:cs="Times New Roman" w:hint="eastAsia"/>
          <w:b/>
          <w:bCs/>
          <w:kern w:val="0"/>
          <w:sz w:val="24"/>
          <w14:ligatures w14:val="none"/>
        </w:rPr>
        <w:t xml:space="preserve"> </w:t>
      </w:r>
      <w:r w:rsidR="007D5DF8" w:rsidRPr="00285421">
        <w:rPr>
          <w:rFonts w:ascii="Times New Roman" w:eastAsia="宋体" w:hAnsi="Times New Roman" w:cs="Times New Roman" w:hint="eastAsia"/>
          <w:b/>
          <w:bCs/>
          <w:kern w:val="0"/>
          <w:sz w:val="24"/>
          <w14:ligatures w14:val="none"/>
        </w:rPr>
        <w:t>Study design</w:t>
      </w:r>
    </w:p>
    <w:p w14:paraId="789C3756" w14:textId="121CED89" w:rsidR="007D5DF8" w:rsidRPr="00285421" w:rsidRDefault="007D5DF8" w:rsidP="007D5DF8">
      <w:pPr>
        <w:jc w:val="both"/>
        <w:rPr>
          <w:rFonts w:ascii="Times New Roman" w:hAnsi="Times New Roman" w:cs="Times New Roman"/>
        </w:rPr>
      </w:pPr>
      <w:r w:rsidRPr="00285421">
        <w:rPr>
          <w:rFonts w:ascii="Times New Roman" w:hAnsi="Times New Roman" w:cs="Times New Roman" w:hint="eastAsia"/>
        </w:rPr>
        <w:t>We conducted a repeated-measures benchmark to evaluate both accuracy and reliability of medical large language models (LLMs) under two inference protocols: (</w:t>
      </w:r>
      <w:proofErr w:type="spellStart"/>
      <w:r w:rsidRPr="00285421">
        <w:rPr>
          <w:rFonts w:ascii="Times New Roman" w:hAnsi="Times New Roman" w:cs="Times New Roman" w:hint="eastAsia"/>
        </w:rPr>
        <w:t>i</w:t>
      </w:r>
      <w:proofErr w:type="spellEnd"/>
      <w:r w:rsidRPr="00285421">
        <w:rPr>
          <w:rFonts w:ascii="Times New Roman" w:hAnsi="Times New Roman" w:cs="Times New Roman" w:hint="eastAsia"/>
        </w:rPr>
        <w:t>) Baseline (single-shot direct prompting) and (ii) Agentic (multi-role orchestration: Planner</w:t>
      </w:r>
      <w:r w:rsidRPr="00285421">
        <w:rPr>
          <w:rFonts w:ascii="Times New Roman" w:hAnsi="Times New Roman" w:cs="Times New Roman" w:hint="eastAsia"/>
        </w:rPr>
        <w:t>–</w:t>
      </w:r>
      <w:r w:rsidRPr="00285421">
        <w:rPr>
          <w:rFonts w:ascii="Times New Roman" w:hAnsi="Times New Roman" w:cs="Times New Roman" w:hint="eastAsia"/>
        </w:rPr>
        <w:t>Reasoner</w:t>
      </w:r>
      <w:r w:rsidRPr="00285421">
        <w:rPr>
          <w:rFonts w:ascii="Times New Roman" w:hAnsi="Times New Roman" w:cs="Times New Roman" w:hint="eastAsia"/>
        </w:rPr>
        <w:t>–</w:t>
      </w:r>
      <w:r w:rsidRPr="00285421">
        <w:rPr>
          <w:rFonts w:ascii="Times New Roman" w:hAnsi="Times New Roman" w:cs="Times New Roman" w:hint="eastAsia"/>
        </w:rPr>
        <w:t>Critic). We evaluated 11 LLMs on 165 multiple-choice exam questions. For each model</w:t>
      </w:r>
      <w:r w:rsidRPr="00285421">
        <w:rPr>
          <w:rFonts w:ascii="Times New Roman" w:hAnsi="Times New Roman" w:cs="Times New Roman" w:hint="eastAsia"/>
        </w:rPr>
        <w:t>–</w:t>
      </w:r>
      <w:r w:rsidRPr="00285421">
        <w:rPr>
          <w:rFonts w:ascii="Times New Roman" w:hAnsi="Times New Roman" w:cs="Times New Roman" w:hint="eastAsia"/>
        </w:rPr>
        <w:t xml:space="preserve">question pair, we executed 5 independent trials per protocol (11 </w:t>
      </w:r>
      <w:r w:rsidRPr="00285421">
        <w:rPr>
          <w:rFonts w:ascii="Times New Roman" w:hAnsi="Times New Roman" w:cs="Times New Roman" w:hint="eastAsia"/>
        </w:rPr>
        <w:t>×</w:t>
      </w:r>
      <w:r w:rsidRPr="00285421">
        <w:rPr>
          <w:rFonts w:ascii="Times New Roman" w:hAnsi="Times New Roman" w:cs="Times New Roman" w:hint="eastAsia"/>
        </w:rPr>
        <w:t xml:space="preserve"> 165 </w:t>
      </w:r>
      <w:r w:rsidRPr="00285421">
        <w:rPr>
          <w:rFonts w:ascii="Times New Roman" w:hAnsi="Times New Roman" w:cs="Times New Roman" w:hint="eastAsia"/>
        </w:rPr>
        <w:t>×</w:t>
      </w:r>
      <w:r w:rsidRPr="00285421">
        <w:rPr>
          <w:rFonts w:ascii="Times New Roman" w:hAnsi="Times New Roman" w:cs="Times New Roman" w:hint="eastAsia"/>
        </w:rPr>
        <w:t xml:space="preserve"> 5 trials per protocol), enabling estimation of trial-to-trial variability. In reliability analyses, repeated generations were treated as virtual </w:t>
      </w:r>
      <w:r w:rsidRPr="00285421">
        <w:rPr>
          <w:rFonts w:ascii="Times New Roman" w:hAnsi="Times New Roman" w:cs="Times New Roman"/>
        </w:rPr>
        <w:t>“</w:t>
      </w:r>
      <w:r w:rsidRPr="00285421">
        <w:rPr>
          <w:rFonts w:ascii="Times New Roman" w:hAnsi="Times New Roman" w:cs="Times New Roman" w:hint="eastAsia"/>
        </w:rPr>
        <w:t>raters</w:t>
      </w:r>
      <w:r w:rsidRPr="00285421">
        <w:rPr>
          <w:rFonts w:ascii="Times New Roman" w:hAnsi="Times New Roman" w:cs="Times New Roman"/>
        </w:rPr>
        <w:t>”</w:t>
      </w:r>
      <w:r w:rsidRPr="00285421">
        <w:rPr>
          <w:rFonts w:ascii="Times New Roman" w:hAnsi="Times New Roman" w:cs="Times New Roman" w:hint="eastAsia"/>
        </w:rPr>
        <w:t>.</w:t>
      </w:r>
    </w:p>
    <w:p w14:paraId="5A67F7E5" w14:textId="116D00D7" w:rsidR="007D5DF8" w:rsidRPr="00285421" w:rsidRDefault="000C51FE" w:rsidP="007D5DF8">
      <w:pPr>
        <w:pStyle w:val="a9"/>
        <w:widowControl/>
        <w:numPr>
          <w:ilvl w:val="1"/>
          <w:numId w:val="5"/>
        </w:numPr>
        <w:shd w:val="clear" w:color="auto" w:fill="FFFFFF"/>
        <w:spacing w:after="0" w:line="285" w:lineRule="atLeast"/>
        <w:rPr>
          <w:rFonts w:ascii="Times New Roman" w:eastAsia="宋体" w:hAnsi="Times New Roman" w:cs="Times New Roman"/>
          <w:b/>
          <w:bCs/>
          <w:kern w:val="0"/>
          <w:sz w:val="24"/>
          <w14:ligatures w14:val="none"/>
        </w:rPr>
      </w:pPr>
      <w:r w:rsidRPr="00285421">
        <w:rPr>
          <w:rFonts w:ascii="Times New Roman" w:eastAsia="宋体" w:hAnsi="Times New Roman" w:cs="Times New Roman" w:hint="eastAsia"/>
          <w:b/>
          <w:bCs/>
          <w:kern w:val="0"/>
          <w:sz w:val="24"/>
          <w14:ligatures w14:val="none"/>
        </w:rPr>
        <w:t xml:space="preserve"> </w:t>
      </w:r>
      <w:r w:rsidR="007D5DF8" w:rsidRPr="00285421">
        <w:rPr>
          <w:rFonts w:ascii="Times New Roman" w:eastAsia="宋体" w:hAnsi="Times New Roman" w:cs="Times New Roman"/>
          <w:b/>
          <w:bCs/>
          <w:kern w:val="0"/>
          <w:sz w:val="24"/>
          <w14:ligatures w14:val="none"/>
        </w:rPr>
        <w:t>Benchmark dataset</w:t>
      </w:r>
    </w:p>
    <w:p w14:paraId="3B86CA95" w14:textId="586D018D" w:rsidR="00021205" w:rsidRPr="00285421" w:rsidRDefault="00021205" w:rsidP="007D5DF8">
      <w:pPr>
        <w:jc w:val="both"/>
        <w:rPr>
          <w:rFonts w:ascii="Times New Roman" w:hAnsi="Times New Roman" w:cs="Times New Roman"/>
        </w:rPr>
      </w:pPr>
      <w:r w:rsidRPr="00285421">
        <w:rPr>
          <w:rFonts w:ascii="Times New Roman" w:hAnsi="Times New Roman" w:cs="Times New Roman"/>
        </w:rPr>
        <w:t xml:space="preserve">The benchmark was constructed from the Chinese national postgraduate entrance examination in Clinical Medicine Comprehensive Ability (CMCA). The exam was administered </w:t>
      </w:r>
      <w:r w:rsidR="007D5DF8" w:rsidRPr="00285421">
        <w:rPr>
          <w:rFonts w:ascii="Times New Roman" w:hAnsi="Times New Roman" w:cs="Times New Roman"/>
        </w:rPr>
        <w:t>on</w:t>
      </w:r>
      <w:r w:rsidRPr="00285421">
        <w:rPr>
          <w:rFonts w:ascii="Times New Roman" w:hAnsi="Times New Roman" w:cs="Times New Roman"/>
        </w:rPr>
        <w:t xml:space="preserve"> December 21, 2025. This strict temporal cutoff makes inclusion of the questions in pre-training corpora of the evaluated systems less likely, although post-exam dissemination cannot be fully excluded.</w:t>
      </w:r>
    </w:p>
    <w:p w14:paraId="04FD2632" w14:textId="58E05AD5" w:rsidR="00021205" w:rsidRPr="00285421" w:rsidRDefault="00021205" w:rsidP="001C7281">
      <w:pPr>
        <w:jc w:val="both"/>
        <w:rPr>
          <w:rFonts w:ascii="Times New Roman" w:hAnsi="Times New Roman" w:cs="Times New Roman"/>
        </w:rPr>
      </w:pPr>
      <w:r w:rsidRPr="00285421">
        <w:rPr>
          <w:rFonts w:ascii="Times New Roman" w:hAnsi="Times New Roman" w:cs="Times New Roman"/>
        </w:rPr>
        <w:t>The dataset contains 165 items comprising: Type A</w:t>
      </w:r>
      <w:r w:rsidR="007D5DF8" w:rsidRPr="00285421">
        <w:rPr>
          <w:rFonts w:ascii="Times New Roman" w:hAnsi="Times New Roman" w:cs="Times New Roman" w:hint="eastAsia"/>
        </w:rPr>
        <w:t>:</w:t>
      </w:r>
      <w:r w:rsidRPr="00285421">
        <w:rPr>
          <w:rFonts w:ascii="Times New Roman" w:hAnsi="Times New Roman" w:cs="Times New Roman"/>
        </w:rPr>
        <w:t xml:space="preserve"> single-choice questions (Q1–Q115)</w:t>
      </w:r>
      <w:r w:rsidR="007D5DF8" w:rsidRPr="00285421">
        <w:rPr>
          <w:rFonts w:ascii="Times New Roman" w:hAnsi="Times New Roman" w:cs="Times New Roman" w:hint="eastAsia"/>
        </w:rPr>
        <w:t>;</w:t>
      </w:r>
      <w:r w:rsidRPr="00285421">
        <w:rPr>
          <w:rFonts w:ascii="Times New Roman" w:hAnsi="Times New Roman" w:cs="Times New Roman"/>
        </w:rPr>
        <w:t xml:space="preserve"> Type B</w:t>
      </w:r>
      <w:r w:rsidR="007D5DF8" w:rsidRPr="00285421">
        <w:rPr>
          <w:rFonts w:ascii="Times New Roman" w:hAnsi="Times New Roman" w:cs="Times New Roman" w:hint="eastAsia"/>
        </w:rPr>
        <w:t>:</w:t>
      </w:r>
      <w:r w:rsidRPr="00285421">
        <w:rPr>
          <w:rFonts w:ascii="Times New Roman" w:hAnsi="Times New Roman" w:cs="Times New Roman"/>
        </w:rPr>
        <w:t xml:space="preserve"> matching questions with shared candidate options (Q116–Q135)</w:t>
      </w:r>
      <w:r w:rsidR="007D5DF8" w:rsidRPr="00285421">
        <w:rPr>
          <w:rFonts w:ascii="Times New Roman" w:hAnsi="Times New Roman" w:cs="Times New Roman" w:hint="eastAsia"/>
        </w:rPr>
        <w:t>;</w:t>
      </w:r>
      <w:r w:rsidRPr="00285421">
        <w:rPr>
          <w:rFonts w:ascii="Times New Roman" w:hAnsi="Times New Roman" w:cs="Times New Roman"/>
        </w:rPr>
        <w:t xml:space="preserve"> and Type X</w:t>
      </w:r>
      <w:r w:rsidR="007D5DF8" w:rsidRPr="00285421">
        <w:rPr>
          <w:rFonts w:ascii="Times New Roman" w:hAnsi="Times New Roman" w:cs="Times New Roman" w:hint="eastAsia"/>
        </w:rPr>
        <w:t>:</w:t>
      </w:r>
      <w:r w:rsidRPr="00285421">
        <w:rPr>
          <w:rFonts w:ascii="Times New Roman" w:hAnsi="Times New Roman" w:cs="Times New Roman"/>
        </w:rPr>
        <w:t xml:space="preserve"> multiple-select questions (Q136–Q165). All prompts were kept in Chinese to match the original exam language.</w:t>
      </w:r>
      <w:r w:rsidR="00A43445" w:rsidRPr="00285421">
        <w:rPr>
          <w:rFonts w:ascii="Times New Roman" w:hAnsi="Times New Roman" w:cs="Times New Roman" w:hint="eastAsia"/>
        </w:rPr>
        <w:t xml:space="preserve"> </w:t>
      </w:r>
      <w:r w:rsidR="007D5DF8" w:rsidRPr="00285421">
        <w:rPr>
          <w:rFonts w:ascii="Times New Roman" w:hAnsi="Times New Roman" w:cs="Times New Roman"/>
        </w:rPr>
        <w:t>Some Type A questions share a common stem across a contiguous block, and each Type B group shares a common set of candidate options. For every evaluation call, we reconstructed the full item context by prepending the shared stem (when present) and attaching the shared option bank for Type B items.</w:t>
      </w:r>
      <w:r w:rsidR="001C7281" w:rsidRPr="00285421">
        <w:rPr>
          <w:rFonts w:ascii="Times New Roman" w:hAnsi="Times New Roman" w:cs="Times New Roman" w:hint="eastAsia"/>
        </w:rPr>
        <w:t xml:space="preserve"> G</w:t>
      </w:r>
      <w:r w:rsidR="00A43445" w:rsidRPr="00285421">
        <w:rPr>
          <w:rFonts w:ascii="Times New Roman" w:hAnsi="Times New Roman" w:cs="Times New Roman"/>
        </w:rPr>
        <w:t xml:space="preserve">old </w:t>
      </w:r>
      <w:r w:rsidR="001C7281" w:rsidRPr="00285421">
        <w:rPr>
          <w:rFonts w:ascii="Times New Roman" w:hAnsi="Times New Roman" w:cs="Times New Roman" w:hint="eastAsia"/>
        </w:rPr>
        <w:t>standard</w:t>
      </w:r>
      <w:r w:rsidR="00A43445" w:rsidRPr="00285421">
        <w:rPr>
          <w:rFonts w:ascii="Times New Roman" w:hAnsi="Times New Roman" w:cs="Times New Roman"/>
        </w:rPr>
        <w:t xml:space="preserve"> </w:t>
      </w:r>
      <w:r w:rsidR="001C7281" w:rsidRPr="00285421">
        <w:rPr>
          <w:rFonts w:ascii="Times New Roman" w:hAnsi="Times New Roman" w:cs="Times New Roman" w:hint="eastAsia"/>
        </w:rPr>
        <w:t>answers</w:t>
      </w:r>
      <w:r w:rsidR="006A04E0" w:rsidRPr="00285421">
        <w:rPr>
          <w:rFonts w:ascii="Times New Roman" w:hAnsi="Times New Roman" w:cs="Times New Roman" w:hint="eastAsia"/>
        </w:rPr>
        <w:t xml:space="preserve"> (as gold labels)</w:t>
      </w:r>
      <w:r w:rsidR="001C7281" w:rsidRPr="00285421">
        <w:rPr>
          <w:rFonts w:ascii="Times New Roman" w:hAnsi="Times New Roman" w:cs="Times New Roman" w:hint="eastAsia"/>
        </w:rPr>
        <w:t xml:space="preserve"> </w:t>
      </w:r>
      <w:r w:rsidR="00A43445" w:rsidRPr="00285421">
        <w:rPr>
          <w:rFonts w:ascii="Times New Roman" w:hAnsi="Times New Roman" w:cs="Times New Roman"/>
        </w:rPr>
        <w:t>were compiled from reference answer keys provided by “</w:t>
      </w:r>
      <w:proofErr w:type="spellStart"/>
      <w:r w:rsidR="00A43445" w:rsidRPr="00285421">
        <w:rPr>
          <w:rFonts w:ascii="Times New Roman" w:hAnsi="Times New Roman" w:cs="Times New Roman" w:hint="eastAsia"/>
        </w:rPr>
        <w:t>YiKaoBang</w:t>
      </w:r>
      <w:proofErr w:type="spellEnd"/>
      <w:r w:rsidR="00A43445" w:rsidRPr="00285421">
        <w:rPr>
          <w:rFonts w:ascii="Times New Roman" w:hAnsi="Times New Roman" w:cs="Times New Roman"/>
        </w:rPr>
        <w:t>”</w:t>
      </w:r>
      <w:r w:rsidR="00A43445" w:rsidRPr="00285421">
        <w:rPr>
          <w:rFonts w:ascii="Times New Roman" w:hAnsi="Times New Roman" w:cs="Times New Roman" w:hint="eastAsia"/>
        </w:rPr>
        <w:t xml:space="preserve">, </w:t>
      </w:r>
      <w:r w:rsidR="001C7281" w:rsidRPr="00285421">
        <w:rPr>
          <w:rFonts w:ascii="Times New Roman" w:hAnsi="Times New Roman" w:cs="Times New Roman" w:hint="eastAsia"/>
        </w:rPr>
        <w:t xml:space="preserve">an </w:t>
      </w:r>
      <w:r w:rsidR="001C7281" w:rsidRPr="00285421">
        <w:rPr>
          <w:rFonts w:ascii="Times New Roman" w:hAnsi="Times New Roman" w:cs="Times New Roman" w:hint="eastAsia"/>
          <w:lang w:val="en"/>
        </w:rPr>
        <w:t>a</w:t>
      </w:r>
      <w:r w:rsidR="001C7281" w:rsidRPr="00285421">
        <w:rPr>
          <w:rFonts w:ascii="Times New Roman" w:hAnsi="Times New Roman" w:cs="Times New Roman"/>
          <w:lang w:val="en"/>
        </w:rPr>
        <w:t>uthoritative</w:t>
      </w:r>
      <w:r w:rsidR="00A43445" w:rsidRPr="00285421">
        <w:rPr>
          <w:rFonts w:ascii="Times New Roman" w:hAnsi="Times New Roman" w:cs="Times New Roman" w:hint="eastAsia"/>
        </w:rPr>
        <w:t xml:space="preserve"> med-</w:t>
      </w:r>
      <w:r w:rsidR="00A43445" w:rsidRPr="00285421">
        <w:rPr>
          <w:rFonts w:ascii="Times New Roman" w:hAnsi="Times New Roman" w:cs="Times New Roman"/>
        </w:rPr>
        <w:t>exam-prep platform</w:t>
      </w:r>
      <w:r w:rsidR="001C7281" w:rsidRPr="00285421">
        <w:rPr>
          <w:rFonts w:ascii="Times New Roman" w:hAnsi="Times New Roman" w:cs="Times New Roman" w:hint="eastAsia"/>
        </w:rPr>
        <w:t>, with the reference answers rechecked by 2 senior doctors.</w:t>
      </w:r>
    </w:p>
    <w:p w14:paraId="45F7C2F8" w14:textId="119FF337" w:rsidR="001C7281" w:rsidRPr="00285421" w:rsidRDefault="001C7281" w:rsidP="001C7281">
      <w:pPr>
        <w:jc w:val="both"/>
        <w:rPr>
          <w:rFonts w:ascii="Times New Roman" w:hAnsi="Times New Roman" w:cs="Times New Roman"/>
        </w:rPr>
      </w:pPr>
      <w:r w:rsidRPr="00285421">
        <w:rPr>
          <w:rFonts w:ascii="Times New Roman" w:hAnsi="Times New Roman" w:cs="Times New Roman"/>
        </w:rPr>
        <w:t xml:space="preserve">Questions were assigned to disciplines using </w:t>
      </w:r>
      <w:proofErr w:type="gramStart"/>
      <w:r w:rsidRPr="00285421">
        <w:rPr>
          <w:rFonts w:ascii="Times New Roman" w:hAnsi="Times New Roman" w:cs="Times New Roman"/>
        </w:rPr>
        <w:t>a predefined</w:t>
      </w:r>
      <w:proofErr w:type="gramEnd"/>
      <w:r w:rsidRPr="00285421">
        <w:rPr>
          <w:rFonts w:ascii="Times New Roman" w:hAnsi="Times New Roman" w:cs="Times New Roman"/>
        </w:rPr>
        <w:t xml:space="preserve"> index-to-discipline mapping</w:t>
      </w:r>
      <w:r w:rsidRPr="00285421">
        <w:rPr>
          <w:rFonts w:ascii="Times New Roman" w:hAnsi="Times New Roman" w:cs="Times New Roman" w:hint="eastAsia"/>
        </w:rPr>
        <w:t xml:space="preserve"> (including Physiology/</w:t>
      </w:r>
      <w:r w:rsidRPr="00285421">
        <w:rPr>
          <w:rFonts w:ascii="Times New Roman" w:hAnsi="Times New Roman" w:cs="Times New Roman"/>
        </w:rPr>
        <w:t>Biochemistry</w:t>
      </w:r>
      <w:r w:rsidRPr="00285421">
        <w:rPr>
          <w:rFonts w:ascii="Times New Roman" w:hAnsi="Times New Roman" w:cs="Times New Roman" w:hint="eastAsia"/>
        </w:rPr>
        <w:t xml:space="preserve">, Pathology, </w:t>
      </w:r>
      <w:r w:rsidRPr="00285421">
        <w:rPr>
          <w:rFonts w:ascii="Times New Roman" w:hAnsi="Times New Roman" w:cs="Times New Roman"/>
        </w:rPr>
        <w:t>Internal Medicine</w:t>
      </w:r>
      <w:r w:rsidRPr="00285421">
        <w:rPr>
          <w:rFonts w:ascii="Times New Roman" w:hAnsi="Times New Roman" w:cs="Times New Roman" w:hint="eastAsia"/>
        </w:rPr>
        <w:t xml:space="preserve">, </w:t>
      </w:r>
      <w:r w:rsidRPr="00285421">
        <w:rPr>
          <w:rFonts w:ascii="Times New Roman" w:hAnsi="Times New Roman" w:cs="Times New Roman"/>
        </w:rPr>
        <w:t>Surgery</w:t>
      </w:r>
      <w:r w:rsidRPr="00285421">
        <w:rPr>
          <w:rFonts w:ascii="Times New Roman" w:hAnsi="Times New Roman" w:cs="Times New Roman" w:hint="eastAsia"/>
        </w:rPr>
        <w:t xml:space="preserve">, and </w:t>
      </w:r>
      <w:r w:rsidRPr="00285421">
        <w:rPr>
          <w:rFonts w:ascii="Times New Roman" w:hAnsi="Times New Roman" w:cs="Times New Roman"/>
        </w:rPr>
        <w:t>Ethics/Regulation</w:t>
      </w:r>
      <w:r w:rsidRPr="00285421">
        <w:rPr>
          <w:rFonts w:ascii="Times New Roman" w:hAnsi="Times New Roman" w:cs="Times New Roman" w:hint="eastAsia"/>
        </w:rPr>
        <w:t>) f</w:t>
      </w:r>
      <w:r w:rsidRPr="00285421">
        <w:rPr>
          <w:rFonts w:ascii="Times New Roman" w:hAnsi="Times New Roman" w:cs="Times New Roman"/>
        </w:rPr>
        <w:t xml:space="preserve">or aggregate analyses. We further grouped disciplines into </w:t>
      </w:r>
      <w:r w:rsidRPr="00285421">
        <w:rPr>
          <w:rFonts w:ascii="Times New Roman" w:hAnsi="Times New Roman" w:cs="Times New Roman" w:hint="eastAsia"/>
        </w:rPr>
        <w:t>b</w:t>
      </w:r>
      <w:r w:rsidRPr="00285421">
        <w:rPr>
          <w:rFonts w:ascii="Times New Roman" w:hAnsi="Times New Roman" w:cs="Times New Roman"/>
        </w:rPr>
        <w:t>asic sciences</w:t>
      </w:r>
      <w:r w:rsidRPr="00285421">
        <w:rPr>
          <w:rFonts w:ascii="Times New Roman" w:hAnsi="Times New Roman" w:cs="Times New Roman" w:hint="eastAsia"/>
        </w:rPr>
        <w:t xml:space="preserve"> </w:t>
      </w:r>
      <w:r w:rsidRPr="00285421">
        <w:rPr>
          <w:rFonts w:ascii="Times New Roman" w:hAnsi="Times New Roman" w:cs="Times New Roman"/>
        </w:rPr>
        <w:t xml:space="preserve">(Physiology/Biochemistry + Pathology) and </w:t>
      </w:r>
      <w:r w:rsidRPr="00285421">
        <w:rPr>
          <w:rFonts w:ascii="Times New Roman" w:hAnsi="Times New Roman" w:cs="Times New Roman" w:hint="eastAsia"/>
        </w:rPr>
        <w:t>c</w:t>
      </w:r>
      <w:r w:rsidRPr="00285421">
        <w:rPr>
          <w:rFonts w:ascii="Times New Roman" w:hAnsi="Times New Roman" w:cs="Times New Roman"/>
        </w:rPr>
        <w:t xml:space="preserve">linical disciplines (Internal Medicine + Surgery), </w:t>
      </w:r>
      <w:r w:rsidRPr="00285421">
        <w:rPr>
          <w:rFonts w:ascii="Times New Roman" w:hAnsi="Times New Roman" w:cs="Times New Roman"/>
        </w:rPr>
        <w:lastRenderedPageBreak/>
        <w:t>while keeping Ethics/Regulation separate.</w:t>
      </w:r>
    </w:p>
    <w:p w14:paraId="105201BA" w14:textId="1DC5FC4B" w:rsidR="00021205" w:rsidRPr="00285421" w:rsidRDefault="000C51FE" w:rsidP="001C7281">
      <w:pPr>
        <w:pStyle w:val="a9"/>
        <w:widowControl/>
        <w:numPr>
          <w:ilvl w:val="1"/>
          <w:numId w:val="5"/>
        </w:numPr>
        <w:shd w:val="clear" w:color="auto" w:fill="FFFFFF"/>
        <w:spacing w:after="0" w:line="285" w:lineRule="atLeast"/>
        <w:rPr>
          <w:rFonts w:ascii="Times New Roman" w:eastAsia="宋体" w:hAnsi="Times New Roman" w:cs="Times New Roman"/>
          <w:b/>
          <w:bCs/>
          <w:kern w:val="0"/>
          <w:sz w:val="24"/>
          <w14:ligatures w14:val="none"/>
        </w:rPr>
      </w:pPr>
      <w:r w:rsidRPr="00285421">
        <w:rPr>
          <w:rFonts w:ascii="Times New Roman" w:eastAsia="宋体" w:hAnsi="Times New Roman" w:cs="Times New Roman" w:hint="eastAsia"/>
          <w:b/>
          <w:bCs/>
          <w:kern w:val="0"/>
          <w:sz w:val="24"/>
          <w14:ligatures w14:val="none"/>
        </w:rPr>
        <w:t xml:space="preserve"> </w:t>
      </w:r>
      <w:r w:rsidR="00021205" w:rsidRPr="00285421">
        <w:rPr>
          <w:rFonts w:ascii="Times New Roman" w:eastAsia="宋体" w:hAnsi="Times New Roman" w:cs="Times New Roman"/>
          <w:b/>
          <w:bCs/>
          <w:kern w:val="0"/>
          <w:sz w:val="24"/>
          <w14:ligatures w14:val="none"/>
        </w:rPr>
        <w:t>Models and inference configuration</w:t>
      </w:r>
    </w:p>
    <w:p w14:paraId="0227CA54" w14:textId="5B05577E" w:rsidR="0013021D" w:rsidRPr="00285421" w:rsidRDefault="00021205" w:rsidP="0013021D">
      <w:pPr>
        <w:jc w:val="both"/>
        <w:rPr>
          <w:rFonts w:ascii="Times New Roman" w:hAnsi="Times New Roman" w:cs="Times New Roman"/>
        </w:rPr>
      </w:pPr>
      <w:r w:rsidRPr="00285421">
        <w:rPr>
          <w:rFonts w:ascii="Times New Roman" w:hAnsi="Times New Roman" w:cs="Times New Roman"/>
        </w:rPr>
        <w:t>We evaluated 11 LLMs spanning proprietary and open-weight systems:</w:t>
      </w:r>
      <w:r w:rsidR="001C7281" w:rsidRPr="00285421">
        <w:rPr>
          <w:rFonts w:ascii="Times New Roman" w:hAnsi="Times New Roman" w:cs="Times New Roman" w:hint="eastAsia"/>
        </w:rPr>
        <w:t xml:space="preserve"> </w:t>
      </w:r>
      <w:r w:rsidRPr="00285421">
        <w:rPr>
          <w:rFonts w:ascii="Times New Roman" w:hAnsi="Times New Roman" w:cs="Times New Roman"/>
        </w:rPr>
        <w:t xml:space="preserve">Proprietary: </w:t>
      </w:r>
      <w:r w:rsidR="001C7281" w:rsidRPr="00285421">
        <w:rPr>
          <w:rFonts w:ascii="Times New Roman" w:hAnsi="Times New Roman" w:cs="Times New Roman"/>
        </w:rPr>
        <w:t>“</w:t>
      </w:r>
      <w:r w:rsidRPr="00285421">
        <w:rPr>
          <w:rFonts w:ascii="Times New Roman" w:hAnsi="Times New Roman" w:cs="Times New Roman"/>
        </w:rPr>
        <w:t>gemini-3-pro-preview</w:t>
      </w:r>
      <w:r w:rsidR="001C7281" w:rsidRPr="00285421">
        <w:rPr>
          <w:rFonts w:ascii="Times New Roman" w:hAnsi="Times New Roman" w:cs="Times New Roman"/>
        </w:rPr>
        <w:t>”</w:t>
      </w:r>
      <w:r w:rsidRPr="00285421">
        <w:rPr>
          <w:rFonts w:ascii="Times New Roman" w:hAnsi="Times New Roman" w:cs="Times New Roman"/>
        </w:rPr>
        <w:t xml:space="preserve">, </w:t>
      </w:r>
      <w:r w:rsidR="001C7281" w:rsidRPr="00285421">
        <w:rPr>
          <w:rFonts w:ascii="Times New Roman" w:hAnsi="Times New Roman" w:cs="Times New Roman"/>
        </w:rPr>
        <w:t>“</w:t>
      </w:r>
      <w:r w:rsidRPr="00285421">
        <w:rPr>
          <w:rFonts w:ascii="Times New Roman" w:hAnsi="Times New Roman" w:cs="Times New Roman"/>
        </w:rPr>
        <w:t>gpt-5.2</w:t>
      </w:r>
      <w:r w:rsidR="001C7281" w:rsidRPr="00285421">
        <w:rPr>
          <w:rFonts w:ascii="Times New Roman" w:hAnsi="Times New Roman" w:cs="Times New Roman"/>
        </w:rPr>
        <w:t>”</w:t>
      </w:r>
      <w:r w:rsidRPr="00285421">
        <w:rPr>
          <w:rFonts w:ascii="Times New Roman" w:hAnsi="Times New Roman" w:cs="Times New Roman"/>
        </w:rPr>
        <w:t xml:space="preserve">, </w:t>
      </w:r>
      <w:r w:rsidR="001C7281" w:rsidRPr="00285421">
        <w:rPr>
          <w:rFonts w:ascii="Times New Roman" w:hAnsi="Times New Roman" w:cs="Times New Roman"/>
        </w:rPr>
        <w:t>“</w:t>
      </w:r>
      <w:r w:rsidRPr="00285421">
        <w:rPr>
          <w:rFonts w:ascii="Times New Roman" w:hAnsi="Times New Roman" w:cs="Times New Roman"/>
        </w:rPr>
        <w:t>claude-opus-4.5</w:t>
      </w:r>
      <w:r w:rsidR="001C7281" w:rsidRPr="00285421">
        <w:rPr>
          <w:rFonts w:ascii="Times New Roman" w:hAnsi="Times New Roman" w:cs="Times New Roman"/>
        </w:rPr>
        <w:t>”</w:t>
      </w:r>
      <w:r w:rsidRPr="00285421">
        <w:rPr>
          <w:rFonts w:ascii="Times New Roman" w:hAnsi="Times New Roman" w:cs="Times New Roman"/>
        </w:rPr>
        <w:t xml:space="preserve">, </w:t>
      </w:r>
      <w:r w:rsidR="001C7281" w:rsidRPr="00285421">
        <w:rPr>
          <w:rFonts w:ascii="Times New Roman" w:hAnsi="Times New Roman" w:cs="Times New Roman"/>
        </w:rPr>
        <w:t>“</w:t>
      </w:r>
      <w:r w:rsidRPr="00285421">
        <w:rPr>
          <w:rFonts w:ascii="Times New Roman" w:hAnsi="Times New Roman" w:cs="Times New Roman"/>
        </w:rPr>
        <w:t>qwen3-max</w:t>
      </w:r>
      <w:r w:rsidR="001C7281" w:rsidRPr="00285421">
        <w:rPr>
          <w:rFonts w:ascii="Times New Roman" w:hAnsi="Times New Roman" w:cs="Times New Roman"/>
        </w:rPr>
        <w:t>”</w:t>
      </w:r>
      <w:r w:rsidR="001C7281" w:rsidRPr="00285421">
        <w:rPr>
          <w:rFonts w:ascii="Times New Roman" w:hAnsi="Times New Roman" w:cs="Times New Roman" w:hint="eastAsia"/>
        </w:rPr>
        <w:t xml:space="preserve">; </w:t>
      </w:r>
      <w:r w:rsidRPr="00285421">
        <w:rPr>
          <w:rFonts w:ascii="Times New Roman" w:hAnsi="Times New Roman" w:cs="Times New Roman"/>
        </w:rPr>
        <w:t xml:space="preserve">Open-weight: </w:t>
      </w:r>
      <w:r w:rsidR="001C7281" w:rsidRPr="00285421">
        <w:rPr>
          <w:rFonts w:ascii="Times New Roman" w:hAnsi="Times New Roman" w:cs="Times New Roman"/>
        </w:rPr>
        <w:t>“</w:t>
      </w:r>
      <w:r w:rsidRPr="00285421">
        <w:rPr>
          <w:rFonts w:ascii="Times New Roman" w:hAnsi="Times New Roman" w:cs="Times New Roman"/>
        </w:rPr>
        <w:t>deepseek-v3.2</w:t>
      </w:r>
      <w:r w:rsidR="001C7281" w:rsidRPr="00285421">
        <w:rPr>
          <w:rFonts w:ascii="Times New Roman" w:hAnsi="Times New Roman" w:cs="Times New Roman"/>
        </w:rPr>
        <w:t>”</w:t>
      </w:r>
      <w:r w:rsidRPr="00285421">
        <w:rPr>
          <w:rFonts w:ascii="Times New Roman" w:hAnsi="Times New Roman" w:cs="Times New Roman"/>
        </w:rPr>
        <w:t xml:space="preserve">, </w:t>
      </w:r>
      <w:r w:rsidR="001C7281" w:rsidRPr="00285421">
        <w:rPr>
          <w:rFonts w:ascii="Times New Roman" w:hAnsi="Times New Roman" w:cs="Times New Roman"/>
        </w:rPr>
        <w:t>“</w:t>
      </w:r>
      <w:r w:rsidRPr="00285421">
        <w:rPr>
          <w:rFonts w:ascii="Times New Roman" w:hAnsi="Times New Roman" w:cs="Times New Roman"/>
        </w:rPr>
        <w:t>kimi-k2-thinking</w:t>
      </w:r>
      <w:r w:rsidR="001C7281" w:rsidRPr="00285421">
        <w:rPr>
          <w:rFonts w:ascii="Times New Roman" w:hAnsi="Times New Roman" w:cs="Times New Roman"/>
        </w:rPr>
        <w:t>”</w:t>
      </w:r>
      <w:r w:rsidRPr="00285421">
        <w:rPr>
          <w:rFonts w:ascii="Times New Roman" w:hAnsi="Times New Roman" w:cs="Times New Roman"/>
        </w:rPr>
        <w:t xml:space="preserve">, </w:t>
      </w:r>
      <w:r w:rsidR="001C7281" w:rsidRPr="00285421">
        <w:rPr>
          <w:rFonts w:ascii="Times New Roman" w:hAnsi="Times New Roman" w:cs="Times New Roman"/>
        </w:rPr>
        <w:t>“</w:t>
      </w:r>
      <w:r w:rsidRPr="00285421">
        <w:rPr>
          <w:rFonts w:ascii="Times New Roman" w:hAnsi="Times New Roman" w:cs="Times New Roman"/>
        </w:rPr>
        <w:t>minimax-m2.1</w:t>
      </w:r>
      <w:r w:rsidR="001C7281" w:rsidRPr="00285421">
        <w:rPr>
          <w:rFonts w:ascii="Times New Roman" w:hAnsi="Times New Roman" w:cs="Times New Roman"/>
        </w:rPr>
        <w:t>”</w:t>
      </w:r>
      <w:r w:rsidRPr="00285421">
        <w:rPr>
          <w:rFonts w:ascii="Times New Roman" w:hAnsi="Times New Roman" w:cs="Times New Roman"/>
        </w:rPr>
        <w:t xml:space="preserve">, </w:t>
      </w:r>
      <w:r w:rsidR="001C7281" w:rsidRPr="00285421">
        <w:rPr>
          <w:rFonts w:ascii="Times New Roman" w:hAnsi="Times New Roman" w:cs="Times New Roman"/>
        </w:rPr>
        <w:t>“</w:t>
      </w:r>
      <w:r w:rsidRPr="00285421">
        <w:rPr>
          <w:rFonts w:ascii="Times New Roman" w:hAnsi="Times New Roman" w:cs="Times New Roman"/>
        </w:rPr>
        <w:t>qwen3-235b-a22b-thinking-2507</w:t>
      </w:r>
      <w:r w:rsidR="001C7281" w:rsidRPr="00285421">
        <w:rPr>
          <w:rFonts w:ascii="Times New Roman" w:hAnsi="Times New Roman" w:cs="Times New Roman"/>
        </w:rPr>
        <w:t>”</w:t>
      </w:r>
      <w:r w:rsidRPr="00285421">
        <w:rPr>
          <w:rFonts w:ascii="Times New Roman" w:hAnsi="Times New Roman" w:cs="Times New Roman"/>
        </w:rPr>
        <w:t xml:space="preserve">, </w:t>
      </w:r>
      <w:r w:rsidR="001C7281" w:rsidRPr="00285421">
        <w:rPr>
          <w:rFonts w:ascii="Times New Roman" w:hAnsi="Times New Roman" w:cs="Times New Roman"/>
        </w:rPr>
        <w:t>“</w:t>
      </w:r>
      <w:r w:rsidRPr="00285421">
        <w:rPr>
          <w:rFonts w:ascii="Times New Roman" w:hAnsi="Times New Roman" w:cs="Times New Roman"/>
        </w:rPr>
        <w:t>qwen3-30b-a3b-thinking-2507</w:t>
      </w:r>
      <w:r w:rsidR="001C7281" w:rsidRPr="00285421">
        <w:rPr>
          <w:rFonts w:ascii="Times New Roman" w:hAnsi="Times New Roman" w:cs="Times New Roman"/>
        </w:rPr>
        <w:t>”</w:t>
      </w:r>
      <w:r w:rsidRPr="00285421">
        <w:rPr>
          <w:rFonts w:ascii="Times New Roman" w:hAnsi="Times New Roman" w:cs="Times New Roman"/>
        </w:rPr>
        <w:t xml:space="preserve">, </w:t>
      </w:r>
      <w:r w:rsidR="001C7281" w:rsidRPr="00285421">
        <w:rPr>
          <w:rFonts w:ascii="Times New Roman" w:hAnsi="Times New Roman" w:cs="Times New Roman"/>
        </w:rPr>
        <w:t>“</w:t>
      </w:r>
      <w:r w:rsidRPr="00285421">
        <w:rPr>
          <w:rFonts w:ascii="Times New Roman" w:hAnsi="Times New Roman" w:cs="Times New Roman"/>
        </w:rPr>
        <w:t>gpt-oss-20b</w:t>
      </w:r>
      <w:r w:rsidR="001C7281" w:rsidRPr="00285421">
        <w:rPr>
          <w:rFonts w:ascii="Times New Roman" w:hAnsi="Times New Roman" w:cs="Times New Roman"/>
        </w:rPr>
        <w:t>”</w:t>
      </w:r>
      <w:r w:rsidRPr="00285421">
        <w:rPr>
          <w:rFonts w:ascii="Times New Roman" w:hAnsi="Times New Roman" w:cs="Times New Roman"/>
        </w:rPr>
        <w:t xml:space="preserve">, </w:t>
      </w:r>
      <w:r w:rsidR="001C7281" w:rsidRPr="00285421">
        <w:rPr>
          <w:rFonts w:ascii="Times New Roman" w:hAnsi="Times New Roman" w:cs="Times New Roman"/>
        </w:rPr>
        <w:t>“</w:t>
      </w:r>
      <w:r w:rsidRPr="00285421">
        <w:rPr>
          <w:rFonts w:ascii="Times New Roman" w:hAnsi="Times New Roman" w:cs="Times New Roman"/>
        </w:rPr>
        <w:t>gpt-oss-120b</w:t>
      </w:r>
      <w:r w:rsidR="001C7281" w:rsidRPr="00285421">
        <w:rPr>
          <w:rFonts w:ascii="Times New Roman" w:hAnsi="Times New Roman" w:cs="Times New Roman"/>
        </w:rPr>
        <w:t>”</w:t>
      </w:r>
      <w:r w:rsidR="001C7281" w:rsidRPr="00285421">
        <w:rPr>
          <w:rFonts w:ascii="Times New Roman" w:hAnsi="Times New Roman" w:cs="Times New Roman" w:hint="eastAsia"/>
        </w:rPr>
        <w:t xml:space="preserve">. </w:t>
      </w:r>
      <w:r w:rsidR="0013021D" w:rsidRPr="00285421">
        <w:rPr>
          <w:rFonts w:ascii="Times New Roman" w:hAnsi="Times New Roman" w:cs="Times New Roman"/>
        </w:rPr>
        <w:t xml:space="preserve">Models were accessed via APIs using a unified client. Depending on availability, requests were routed either through official provider endpoints or via </w:t>
      </w:r>
      <w:proofErr w:type="spellStart"/>
      <w:r w:rsidR="0013021D" w:rsidRPr="00285421">
        <w:rPr>
          <w:rFonts w:ascii="Times New Roman" w:hAnsi="Times New Roman" w:cs="Times New Roman" w:hint="eastAsia"/>
        </w:rPr>
        <w:t>OpenRouter</w:t>
      </w:r>
      <w:proofErr w:type="spellEnd"/>
      <w:r w:rsidR="0013021D" w:rsidRPr="00285421">
        <w:rPr>
          <w:rFonts w:ascii="Times New Roman" w:hAnsi="Times New Roman" w:cs="Times New Roman" w:hint="eastAsia"/>
        </w:rPr>
        <w:t xml:space="preserve"> (https://openrouter.ai/)</w:t>
      </w:r>
      <w:r w:rsidR="0013021D" w:rsidRPr="00285421">
        <w:rPr>
          <w:rFonts w:ascii="Times New Roman" w:hAnsi="Times New Roman" w:cs="Times New Roman"/>
        </w:rPr>
        <w:t>. We used OpenAI-compatible chat completion interfaces when supported and provider-specific formats otherwise. No external tools, web browsing, or retrieval were enabled during inference.</w:t>
      </w:r>
    </w:p>
    <w:p w14:paraId="7D2FA180" w14:textId="631A9872" w:rsidR="0013021D" w:rsidRPr="00285421" w:rsidRDefault="0013021D" w:rsidP="0013021D">
      <w:pPr>
        <w:jc w:val="both"/>
        <w:rPr>
          <w:rFonts w:ascii="Times New Roman" w:hAnsi="Times New Roman" w:cs="Times New Roman"/>
        </w:rPr>
      </w:pPr>
      <w:r w:rsidRPr="00285421">
        <w:rPr>
          <w:rFonts w:ascii="Times New Roman" w:hAnsi="Times New Roman" w:cs="Times New Roman"/>
        </w:rPr>
        <w:t>For all models and both protocols, we used “temperature=0.0” to eliminate controllable sampling noise</w:t>
      </w:r>
      <w:r w:rsidRPr="00285421">
        <w:rPr>
          <w:rFonts w:ascii="Times New Roman" w:hAnsi="Times New Roman" w:cs="Times New Roman" w:hint="eastAsia"/>
        </w:rPr>
        <w:t>, with other settings set default from the provider</w:t>
      </w:r>
      <w:r w:rsidRPr="00285421">
        <w:rPr>
          <w:rFonts w:ascii="Times New Roman" w:hAnsi="Times New Roman" w:cs="Times New Roman"/>
        </w:rPr>
        <w:t>. Any remaining trial-to-trial variation, therefore, reflects system-level nondeterminism in real-world deployments, providing a practical lower bound on output instability.</w:t>
      </w:r>
    </w:p>
    <w:p w14:paraId="67B094B7" w14:textId="5F2AD9C4" w:rsidR="00B360E8" w:rsidRPr="00285421" w:rsidRDefault="0013021D" w:rsidP="00B360E8">
      <w:pPr>
        <w:jc w:val="both"/>
        <w:rPr>
          <w:rFonts w:ascii="Times New Roman" w:hAnsi="Times New Roman" w:cs="Times New Roman"/>
        </w:rPr>
      </w:pPr>
      <w:r w:rsidRPr="00285421">
        <w:rPr>
          <w:rFonts w:ascii="Times New Roman" w:hAnsi="Times New Roman" w:cs="Times New Roman"/>
        </w:rPr>
        <w:t>Each request used a maximum output budget of 4096 tokens and a timeout of 600s, with up to 3 retries using exponential backoff for transient errors. Requests were executed asynchronously.</w:t>
      </w:r>
    </w:p>
    <w:p w14:paraId="7C462AD6" w14:textId="69F937D5" w:rsidR="00B360E8" w:rsidRPr="00285421" w:rsidRDefault="00AE5FDE" w:rsidP="00B360E8">
      <w:pPr>
        <w:pStyle w:val="a9"/>
        <w:widowControl/>
        <w:numPr>
          <w:ilvl w:val="1"/>
          <w:numId w:val="5"/>
        </w:numPr>
        <w:shd w:val="clear" w:color="auto" w:fill="FFFFFF"/>
        <w:spacing w:after="0" w:line="285" w:lineRule="atLeast"/>
        <w:rPr>
          <w:rFonts w:ascii="Times New Roman" w:hAnsi="Times New Roman" w:cs="Times New Roman"/>
        </w:rPr>
      </w:pPr>
      <w:r w:rsidRPr="00285421">
        <w:rPr>
          <w:rFonts w:ascii="Times New Roman" w:eastAsia="宋体" w:hAnsi="Times New Roman" w:cs="Times New Roman" w:hint="eastAsia"/>
          <w:b/>
          <w:bCs/>
          <w:kern w:val="0"/>
          <w:sz w:val="24"/>
          <w14:ligatures w14:val="none"/>
        </w:rPr>
        <w:t xml:space="preserve"> </w:t>
      </w:r>
      <w:r w:rsidR="00B360E8" w:rsidRPr="00285421">
        <w:rPr>
          <w:rFonts w:ascii="Times New Roman" w:eastAsia="宋体" w:hAnsi="Times New Roman" w:cs="Times New Roman"/>
          <w:b/>
          <w:bCs/>
          <w:kern w:val="0"/>
          <w:sz w:val="24"/>
          <w14:ligatures w14:val="none"/>
        </w:rPr>
        <w:t>Baseline protocol (direct prompting)</w:t>
      </w:r>
    </w:p>
    <w:p w14:paraId="5EFEB5CE" w14:textId="703C1F6A" w:rsidR="00B360E8" w:rsidRPr="00285421" w:rsidRDefault="00B360E8" w:rsidP="00B360E8">
      <w:pPr>
        <w:jc w:val="both"/>
        <w:rPr>
          <w:rFonts w:ascii="Times New Roman" w:hAnsi="Times New Roman" w:cs="Times New Roman"/>
        </w:rPr>
      </w:pPr>
      <w:r w:rsidRPr="00285421">
        <w:rPr>
          <w:rFonts w:ascii="Times New Roman" w:hAnsi="Times New Roman" w:cs="Times New Roman"/>
        </w:rPr>
        <w:t>Each question was formatted using a type-specific Chinese prompt instructing the model to return only the option letter(s) without explanation. Type A/B required a single letter (A–D); Type X required concatenation of all correct letters (2–4 letters). Each item corresponded to one model API call. We recorded raw responses, extracted predictions, correctness, and latency.</w:t>
      </w:r>
    </w:p>
    <w:p w14:paraId="6C917733" w14:textId="64C665B9" w:rsidR="00B360E8" w:rsidRPr="00285421" w:rsidRDefault="00B360E8" w:rsidP="00B360E8">
      <w:pPr>
        <w:pStyle w:val="a9"/>
        <w:widowControl/>
        <w:numPr>
          <w:ilvl w:val="1"/>
          <w:numId w:val="5"/>
        </w:numPr>
        <w:shd w:val="clear" w:color="auto" w:fill="FFFFFF"/>
        <w:spacing w:after="0" w:line="285" w:lineRule="atLeast"/>
        <w:rPr>
          <w:rFonts w:ascii="Times New Roman" w:eastAsia="宋体" w:hAnsi="Times New Roman" w:cs="Times New Roman"/>
          <w:b/>
          <w:bCs/>
          <w:kern w:val="0"/>
          <w:sz w:val="24"/>
          <w14:ligatures w14:val="none"/>
        </w:rPr>
      </w:pPr>
      <w:r w:rsidRPr="00285421">
        <w:rPr>
          <w:rFonts w:ascii="Times New Roman" w:eastAsia="宋体" w:hAnsi="Times New Roman" w:cs="Times New Roman" w:hint="eastAsia"/>
          <w:b/>
          <w:bCs/>
          <w:kern w:val="0"/>
          <w:sz w:val="24"/>
          <w14:ligatures w14:val="none"/>
        </w:rPr>
        <w:t xml:space="preserve"> </w:t>
      </w:r>
      <w:r w:rsidRPr="00285421">
        <w:rPr>
          <w:rFonts w:ascii="Times New Roman" w:eastAsia="宋体" w:hAnsi="Times New Roman" w:cs="Times New Roman"/>
          <w:b/>
          <w:bCs/>
          <w:kern w:val="0"/>
          <w:sz w:val="24"/>
          <w14:ligatures w14:val="none"/>
        </w:rPr>
        <w:t>Agentic protocol (Planner–Reasoner–Critic)</w:t>
      </w:r>
    </w:p>
    <w:p w14:paraId="6CE12863" w14:textId="6FF355A7" w:rsidR="00B360E8" w:rsidRPr="00285421" w:rsidRDefault="00B360E8" w:rsidP="00B360E8">
      <w:pPr>
        <w:jc w:val="both"/>
        <w:rPr>
          <w:rFonts w:ascii="Times New Roman" w:hAnsi="Times New Roman" w:cs="Times New Roman"/>
        </w:rPr>
      </w:pPr>
      <w:r w:rsidRPr="00285421">
        <w:rPr>
          <w:rFonts w:ascii="Times New Roman" w:hAnsi="Times New Roman" w:cs="Times New Roman"/>
        </w:rPr>
        <w:t>The agentic protocol implemented a multi-role workflow intended to approximate structured peer review while isolating workflow effects: all roles used the same underlying LLM.</w:t>
      </w:r>
    </w:p>
    <w:p w14:paraId="4D4C840A" w14:textId="0A028CDE" w:rsidR="00B360E8" w:rsidRPr="00285421" w:rsidRDefault="00B360E8" w:rsidP="00B360E8">
      <w:pPr>
        <w:jc w:val="both"/>
        <w:rPr>
          <w:rFonts w:ascii="Times New Roman" w:hAnsi="Times New Roman" w:cs="Times New Roman"/>
        </w:rPr>
      </w:pPr>
      <w:r w:rsidRPr="00285421">
        <w:rPr>
          <w:rFonts w:ascii="Times New Roman" w:hAnsi="Times New Roman" w:cs="Times New Roman"/>
        </w:rPr>
        <w:t>For each item, the workflow produced JSON-only outputs:</w:t>
      </w:r>
      <w:r w:rsidRPr="00285421">
        <w:rPr>
          <w:rFonts w:ascii="Times New Roman" w:hAnsi="Times New Roman" w:cs="Times New Roman" w:hint="eastAsia"/>
        </w:rPr>
        <w:t xml:space="preserve"> </w:t>
      </w:r>
      <w:r w:rsidRPr="00285421">
        <w:rPr>
          <w:rFonts w:ascii="Times New Roman" w:hAnsi="Times New Roman" w:cs="Times New Roman"/>
        </w:rPr>
        <w:t>1</w:t>
      </w:r>
      <w:r w:rsidRPr="00285421">
        <w:rPr>
          <w:rFonts w:ascii="Times New Roman" w:hAnsi="Times New Roman" w:cs="Times New Roman" w:hint="eastAsia"/>
        </w:rPr>
        <w:t xml:space="preserve">. </w:t>
      </w:r>
      <w:r w:rsidRPr="00285421">
        <w:rPr>
          <w:rFonts w:ascii="Times New Roman" w:hAnsi="Times New Roman" w:cs="Times New Roman"/>
        </w:rPr>
        <w:t>Planner: decomposed the problem and produced a compact plan JSON with the inferred domain, key facts, sub-questions, risk checks (contraindications/red flags), and answer type (single vs multiple)</w:t>
      </w:r>
      <w:r w:rsidRPr="00285421">
        <w:rPr>
          <w:rFonts w:ascii="Times New Roman" w:hAnsi="Times New Roman" w:cs="Times New Roman" w:hint="eastAsia"/>
        </w:rPr>
        <w:t xml:space="preserve">; </w:t>
      </w:r>
      <w:r w:rsidRPr="00285421">
        <w:rPr>
          <w:rFonts w:ascii="Times New Roman" w:hAnsi="Times New Roman" w:cs="Times New Roman"/>
        </w:rPr>
        <w:t>2</w:t>
      </w:r>
      <w:r w:rsidRPr="00285421">
        <w:rPr>
          <w:rFonts w:ascii="Times New Roman" w:hAnsi="Times New Roman" w:cs="Times New Roman" w:hint="eastAsia"/>
        </w:rPr>
        <w:t>.</w:t>
      </w:r>
      <w:r w:rsidRPr="00285421">
        <w:rPr>
          <w:rFonts w:ascii="Times New Roman" w:hAnsi="Times New Roman" w:cs="Times New Roman"/>
        </w:rPr>
        <w:t xml:space="preserve"> Reasoner: generated a short list of high-level, auditable reasoning steps (≤</w:t>
      </w:r>
      <w:r w:rsidRPr="00285421">
        <w:rPr>
          <w:rFonts w:ascii="Times New Roman" w:hAnsi="Times New Roman" w:cs="Times New Roman" w:hint="eastAsia"/>
        </w:rPr>
        <w:t xml:space="preserve"> </w:t>
      </w:r>
      <w:r w:rsidRPr="00285421">
        <w:rPr>
          <w:rFonts w:ascii="Times New Roman" w:hAnsi="Times New Roman" w:cs="Times New Roman"/>
        </w:rPr>
        <w:t>6 items) and a “</w:t>
      </w:r>
      <w:proofErr w:type="spellStart"/>
      <w:r w:rsidRPr="00285421">
        <w:rPr>
          <w:rFonts w:ascii="Times New Roman" w:hAnsi="Times New Roman" w:cs="Times New Roman"/>
        </w:rPr>
        <w:t>final_answer</w:t>
      </w:r>
      <w:proofErr w:type="spellEnd"/>
      <w:r w:rsidRPr="00285421">
        <w:rPr>
          <w:rFonts w:ascii="Times New Roman" w:hAnsi="Times New Roman" w:cs="Times New Roman"/>
        </w:rPr>
        <w:t>” field containing only option letter(s)</w:t>
      </w:r>
      <w:r w:rsidRPr="00285421">
        <w:rPr>
          <w:rFonts w:ascii="Times New Roman" w:hAnsi="Times New Roman" w:cs="Times New Roman" w:hint="eastAsia"/>
        </w:rPr>
        <w:t xml:space="preserve">; </w:t>
      </w:r>
      <w:r w:rsidRPr="00285421">
        <w:rPr>
          <w:rFonts w:ascii="Times New Roman" w:hAnsi="Times New Roman" w:cs="Times New Roman"/>
        </w:rPr>
        <w:t>3</w:t>
      </w:r>
      <w:r w:rsidRPr="00285421">
        <w:rPr>
          <w:rFonts w:ascii="Times New Roman" w:hAnsi="Times New Roman" w:cs="Times New Roman" w:hint="eastAsia"/>
        </w:rPr>
        <w:t>.</w:t>
      </w:r>
      <w:r w:rsidRPr="00285421">
        <w:rPr>
          <w:rFonts w:ascii="Times New Roman" w:hAnsi="Times New Roman" w:cs="Times New Roman"/>
        </w:rPr>
        <w:t xml:space="preserve"> Critic: reviewed the plan and reasoning for internal consistency and constraint adherence; the Critic did not have access to gold labels.</w:t>
      </w:r>
    </w:p>
    <w:p w14:paraId="722340C8" w14:textId="151899A0" w:rsidR="00021205" w:rsidRPr="00285421" w:rsidRDefault="00B360E8" w:rsidP="000F2FA1">
      <w:pPr>
        <w:jc w:val="both"/>
        <w:rPr>
          <w:rFonts w:ascii="Times New Roman" w:hAnsi="Times New Roman" w:cs="Times New Roman"/>
        </w:rPr>
      </w:pPr>
      <w:r w:rsidRPr="00285421">
        <w:rPr>
          <w:rFonts w:ascii="Times New Roman" w:hAnsi="Times New Roman" w:cs="Times New Roman"/>
        </w:rPr>
        <w:t>We allowed at most two rounds. If the Critic rejected the first answer, its required-fix feedback was injected into the Reasoner for one revision. The final scored answer was the Reasoner’s “</w:t>
      </w:r>
      <w:proofErr w:type="spellStart"/>
      <w:r w:rsidRPr="00285421">
        <w:rPr>
          <w:rFonts w:ascii="Times New Roman" w:hAnsi="Times New Roman" w:cs="Times New Roman"/>
        </w:rPr>
        <w:t>final_answer</w:t>
      </w:r>
      <w:proofErr w:type="spellEnd"/>
      <w:r w:rsidRPr="00285421">
        <w:rPr>
          <w:rFonts w:ascii="Times New Roman" w:hAnsi="Times New Roman" w:cs="Times New Roman"/>
        </w:rPr>
        <w:t>” from the last completed round.</w:t>
      </w:r>
    </w:p>
    <w:p w14:paraId="47EE2B13" w14:textId="29ACCAB2" w:rsidR="00AE5FDE" w:rsidRPr="00285421" w:rsidRDefault="00AE5FDE" w:rsidP="00AE5FDE">
      <w:pPr>
        <w:pStyle w:val="a9"/>
        <w:widowControl/>
        <w:numPr>
          <w:ilvl w:val="1"/>
          <w:numId w:val="5"/>
        </w:numPr>
        <w:shd w:val="clear" w:color="auto" w:fill="FFFFFF"/>
        <w:spacing w:after="0" w:line="285" w:lineRule="atLeast"/>
        <w:rPr>
          <w:rFonts w:ascii="Times New Roman" w:eastAsia="宋体" w:hAnsi="Times New Roman" w:cs="Times New Roman"/>
          <w:b/>
          <w:bCs/>
          <w:kern w:val="0"/>
          <w:sz w:val="24"/>
          <w14:ligatures w14:val="none"/>
        </w:rPr>
      </w:pPr>
      <w:r w:rsidRPr="00285421">
        <w:rPr>
          <w:rFonts w:ascii="Times New Roman" w:eastAsia="宋体" w:hAnsi="Times New Roman" w:cs="Times New Roman" w:hint="eastAsia"/>
          <w:b/>
          <w:bCs/>
          <w:kern w:val="0"/>
          <w:sz w:val="24"/>
          <w14:ligatures w14:val="none"/>
        </w:rPr>
        <w:t xml:space="preserve"> </w:t>
      </w:r>
      <w:r w:rsidRPr="00285421">
        <w:rPr>
          <w:rFonts w:ascii="Times New Roman" w:eastAsia="宋体" w:hAnsi="Times New Roman" w:cs="Times New Roman"/>
          <w:b/>
          <w:bCs/>
          <w:kern w:val="0"/>
          <w:sz w:val="24"/>
          <w14:ligatures w14:val="none"/>
        </w:rPr>
        <w:t>JSON parsing and repair</w:t>
      </w:r>
    </w:p>
    <w:p w14:paraId="28699ECF" w14:textId="7D20AF7D" w:rsidR="00AE5FDE" w:rsidRPr="00285421" w:rsidRDefault="00AE5FDE" w:rsidP="00AE5FDE">
      <w:pPr>
        <w:jc w:val="both"/>
        <w:rPr>
          <w:rFonts w:ascii="Times New Roman" w:hAnsi="Times New Roman" w:cs="Times New Roman"/>
        </w:rPr>
      </w:pPr>
      <w:r w:rsidRPr="00285421">
        <w:rPr>
          <w:rFonts w:ascii="Times New Roman" w:hAnsi="Times New Roman" w:cs="Times New Roman"/>
        </w:rPr>
        <w:t xml:space="preserve">We implemented a two-stage structured extraction pipeline for agent outputs. We first attempted </w:t>
      </w:r>
      <w:r w:rsidRPr="00285421">
        <w:rPr>
          <w:rFonts w:ascii="Times New Roman" w:hAnsi="Times New Roman" w:cs="Times New Roman"/>
        </w:rPr>
        <w:lastRenderedPageBreak/>
        <w:t>to extract the first valid JSON object from the agent text (including stripping code fences and repairing common trailing-comma errors). If parsing failed, we optionally invoked an auxiliary JSON-repair model to convert the malformed text into a strict JSON object conforming to a fixed schema for the role.</w:t>
      </w:r>
    </w:p>
    <w:p w14:paraId="4EC2709D" w14:textId="7BE9026F" w:rsidR="00021205" w:rsidRPr="00285421" w:rsidRDefault="00AE5FDE" w:rsidP="006A04E0">
      <w:pPr>
        <w:jc w:val="both"/>
        <w:rPr>
          <w:rFonts w:ascii="Times New Roman" w:hAnsi="Times New Roman" w:cs="Times New Roman"/>
        </w:rPr>
      </w:pPr>
      <w:r w:rsidRPr="00285421">
        <w:rPr>
          <w:rFonts w:ascii="Times New Roman" w:hAnsi="Times New Roman" w:cs="Times New Roman"/>
        </w:rPr>
        <w:t>To avoid data leakage, the JSON-repair prompt included only the malformed agent output and a schema example, excluding both the medical question content and gold labels. The repair model was used solely for syntactic repair and schema completion; failures were recorded.</w:t>
      </w:r>
    </w:p>
    <w:p w14:paraId="7FC3DC71" w14:textId="77777777" w:rsidR="006A04E0" w:rsidRPr="00285421" w:rsidRDefault="006A04E0" w:rsidP="006A04E0">
      <w:pPr>
        <w:pStyle w:val="a9"/>
        <w:widowControl/>
        <w:numPr>
          <w:ilvl w:val="1"/>
          <w:numId w:val="5"/>
        </w:numPr>
        <w:shd w:val="clear" w:color="auto" w:fill="FFFFFF"/>
        <w:spacing w:after="0" w:line="285" w:lineRule="atLeast"/>
        <w:rPr>
          <w:rFonts w:ascii="Times New Roman" w:eastAsia="宋体" w:hAnsi="Times New Roman" w:cs="Times New Roman"/>
          <w:b/>
          <w:bCs/>
          <w:kern w:val="0"/>
          <w:sz w:val="24"/>
          <w14:ligatures w14:val="none"/>
        </w:rPr>
      </w:pPr>
      <w:r w:rsidRPr="00285421">
        <w:rPr>
          <w:rFonts w:ascii="Times New Roman" w:eastAsia="宋体" w:hAnsi="Times New Roman" w:cs="Times New Roman"/>
          <w:b/>
          <w:bCs/>
          <w:kern w:val="0"/>
          <w:sz w:val="24"/>
          <w14:ligatures w14:val="none"/>
        </w:rPr>
        <w:t>Answer extraction, normalization, and scoring</w:t>
      </w:r>
    </w:p>
    <w:p w14:paraId="2431530E" w14:textId="4F14EC7C" w:rsidR="00021205" w:rsidRPr="00285421" w:rsidRDefault="006A04E0" w:rsidP="007678D1">
      <w:pPr>
        <w:jc w:val="both"/>
        <w:rPr>
          <w:rFonts w:ascii="Times New Roman" w:hAnsi="Times New Roman" w:cs="Times New Roman"/>
        </w:rPr>
      </w:pPr>
      <w:r w:rsidRPr="00285421">
        <w:rPr>
          <w:rFonts w:ascii="Times New Roman" w:hAnsi="Times New Roman" w:cs="Times New Roman"/>
        </w:rPr>
        <w:t xml:space="preserve">For both baseline and agentic protocols, we extracted answer letters from either the parsed JSON </w:t>
      </w:r>
      <w:r w:rsidR="003404B9" w:rsidRPr="00285421">
        <w:rPr>
          <w:rFonts w:ascii="Times New Roman" w:hAnsi="Times New Roman" w:cs="Times New Roman"/>
        </w:rPr>
        <w:t>“</w:t>
      </w:r>
      <w:proofErr w:type="spellStart"/>
      <w:r w:rsidRPr="00285421">
        <w:rPr>
          <w:rFonts w:ascii="Times New Roman" w:hAnsi="Times New Roman" w:cs="Times New Roman"/>
        </w:rPr>
        <w:t>final_answer</w:t>
      </w:r>
      <w:proofErr w:type="spellEnd"/>
      <w:r w:rsidR="003404B9" w:rsidRPr="00285421">
        <w:rPr>
          <w:rFonts w:ascii="Times New Roman" w:hAnsi="Times New Roman" w:cs="Times New Roman"/>
        </w:rPr>
        <w:t>”</w:t>
      </w:r>
      <w:r w:rsidRPr="00285421">
        <w:rPr>
          <w:rFonts w:ascii="Times New Roman" w:hAnsi="Times New Roman" w:cs="Times New Roman"/>
        </w:rPr>
        <w:t xml:space="preserve"> field or the raw response using a </w:t>
      </w:r>
      <w:r w:rsidR="003404B9" w:rsidRPr="00285421">
        <w:rPr>
          <w:rFonts w:ascii="Times New Roman" w:hAnsi="Times New Roman" w:cs="Times New Roman"/>
        </w:rPr>
        <w:t>regular-expression-based</w:t>
      </w:r>
      <w:r w:rsidRPr="00285421">
        <w:rPr>
          <w:rFonts w:ascii="Times New Roman" w:hAnsi="Times New Roman" w:cs="Times New Roman"/>
        </w:rPr>
        <w:t xml:space="preserve"> extractor. Answers were normalized by uppercasing, removing whitespace/punctuation, de-duplicating, and alphabetically sorting option letters (e.g., “</w:t>
      </w:r>
      <w:proofErr w:type="gramStart"/>
      <w:r w:rsidRPr="00285421">
        <w:rPr>
          <w:rFonts w:ascii="Times New Roman" w:hAnsi="Times New Roman" w:cs="Times New Roman"/>
        </w:rPr>
        <w:t>C,A</w:t>
      </w:r>
      <w:proofErr w:type="gramEnd"/>
      <w:r w:rsidRPr="00285421">
        <w:rPr>
          <w:rFonts w:ascii="Times New Roman" w:hAnsi="Times New Roman" w:cs="Times New Roman"/>
        </w:rPr>
        <w:t>” → “AC”).</w:t>
      </w:r>
      <w:r w:rsidR="003404B9" w:rsidRPr="00285421">
        <w:rPr>
          <w:rFonts w:ascii="Times New Roman" w:hAnsi="Times New Roman" w:cs="Times New Roman" w:hint="eastAsia"/>
        </w:rPr>
        <w:t xml:space="preserve"> </w:t>
      </w:r>
      <w:r w:rsidRPr="00285421">
        <w:rPr>
          <w:rFonts w:ascii="Times New Roman" w:hAnsi="Times New Roman" w:cs="Times New Roman"/>
        </w:rPr>
        <w:t>All items were scored with strict exact match against the gold label set; multi-select items received no partial credit. API errors, parsing failures, or empty outputs were recorded and treated as incorrect.</w:t>
      </w:r>
    </w:p>
    <w:p w14:paraId="49C55654" w14:textId="77777777" w:rsidR="007678D1" w:rsidRPr="00285421" w:rsidRDefault="007678D1" w:rsidP="007678D1">
      <w:pPr>
        <w:pStyle w:val="a9"/>
        <w:widowControl/>
        <w:numPr>
          <w:ilvl w:val="1"/>
          <w:numId w:val="5"/>
        </w:numPr>
        <w:shd w:val="clear" w:color="auto" w:fill="FFFFFF"/>
        <w:spacing w:after="0" w:line="285" w:lineRule="atLeast"/>
        <w:rPr>
          <w:rFonts w:ascii="Times New Roman" w:eastAsia="宋体" w:hAnsi="Times New Roman" w:cs="Times New Roman"/>
          <w:b/>
          <w:bCs/>
          <w:kern w:val="0"/>
          <w:sz w:val="24"/>
          <w14:ligatures w14:val="none"/>
        </w:rPr>
      </w:pPr>
      <w:r w:rsidRPr="00285421">
        <w:rPr>
          <w:rFonts w:ascii="Times New Roman" w:eastAsia="宋体" w:hAnsi="Times New Roman" w:cs="Times New Roman"/>
          <w:b/>
          <w:bCs/>
          <w:kern w:val="0"/>
          <w:sz w:val="24"/>
          <w14:ligatures w14:val="none"/>
        </w:rPr>
        <w:t>Accuracy and uncertainty across repeated trials</w:t>
      </w:r>
    </w:p>
    <w:p w14:paraId="7FA053A6" w14:textId="37879C3F" w:rsidR="007678D1" w:rsidRPr="00285421" w:rsidRDefault="007678D1" w:rsidP="007678D1">
      <w:pPr>
        <w:jc w:val="both"/>
        <w:rPr>
          <w:rFonts w:ascii="Times New Roman" w:hAnsi="Times New Roman" w:cs="Times New Roman"/>
        </w:rPr>
      </w:pPr>
      <w:r w:rsidRPr="00285421">
        <w:rPr>
          <w:rFonts w:ascii="Times New Roman" w:hAnsi="Times New Roman" w:cs="Times New Roman"/>
        </w:rPr>
        <w:t>Per trial, accuracy was the fraction of correct items among the 165 questions. We report mean accuracy across the five trials with a 95% t-interval (</w:t>
      </w:r>
      <w:proofErr w:type="spellStart"/>
      <w:r w:rsidRPr="00285421">
        <w:rPr>
          <w:rFonts w:ascii="Times New Roman" w:hAnsi="Times New Roman" w:cs="Times New Roman"/>
        </w:rPr>
        <w:t>df</w:t>
      </w:r>
      <w:proofErr w:type="spellEnd"/>
      <w:r w:rsidRPr="00285421">
        <w:rPr>
          <w:rFonts w:ascii="Times New Roman" w:hAnsi="Times New Roman" w:cs="Times New Roman"/>
        </w:rPr>
        <w:t>=4):</w:t>
      </w:r>
    </w:p>
    <w:p w14:paraId="18981D64" w14:textId="2F97B53E" w:rsidR="007678D1" w:rsidRPr="00285421" w:rsidRDefault="00000000" w:rsidP="007678D1">
      <w:pPr>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t</m:t>
              </m:r>
              <m:ctrlPr>
                <w:rPr>
                  <w:rFonts w:ascii="Cambria Math" w:hAnsi="Cambria Math" w:cs="Times New Roman"/>
                </w:rPr>
              </m:ctrlPr>
            </m:e>
            <m:sub>
              <m:r>
                <w:rPr>
                  <w:rFonts w:ascii="Cambria Math" w:hAnsi="Cambria Math" w:cs="Times New Roman"/>
                </w:rPr>
                <m:t>0.975,4</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s</m:t>
              </m:r>
              <m:ctrlPr>
                <w:rPr>
                  <w:rFonts w:ascii="Cambria Math" w:hAnsi="Cambria Math" w:cs="Times New Roman"/>
                  <w:i/>
                </w:rPr>
              </m:ctrlPr>
            </m:num>
            <m:den>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5</m:t>
                  </m:r>
                </m:e>
              </m:rad>
              <m:ctrlPr>
                <w:rPr>
                  <w:rFonts w:ascii="Cambria Math" w:hAnsi="Cambria Math" w:cs="Times New Roman"/>
                  <w:i/>
                </w:rPr>
              </m:ctrlPr>
            </m:den>
          </m:f>
        </m:oMath>
      </m:oMathPara>
    </w:p>
    <w:p w14:paraId="4FDB2AB5" w14:textId="474E3983" w:rsidR="007678D1" w:rsidRPr="00285421" w:rsidRDefault="007678D1" w:rsidP="007678D1">
      <w:pPr>
        <w:jc w:val="both"/>
        <w:rPr>
          <w:rFonts w:ascii="Times New Roman" w:hAnsi="Times New Roman" w:cs="Times New Roman"/>
        </w:rPr>
      </w:pPr>
      <w:r w:rsidRPr="00285421">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5</m:t>
            </m:r>
          </m:sub>
        </m:sSub>
      </m:oMath>
      <w:r w:rsidRPr="00285421">
        <w:rPr>
          <w:rFonts w:ascii="Times New Roman" w:hAnsi="Times New Roman" w:cs="Times New Roman"/>
        </w:rPr>
        <w:t xml:space="preserve"> are per-trial accuracies</w:t>
      </w:r>
      <w:r w:rsidR="000C5444" w:rsidRPr="00285421">
        <w:rPr>
          <w:rFonts w:ascii="Times New Roman" w:hAnsi="Times New Roman" w:cs="Times New Roman"/>
        </w:rPr>
        <w:t>,</w:t>
      </w:r>
      <w:r w:rsidRPr="00285421">
        <w:rPr>
          <w:rFonts w:ascii="Times New Roman" w:hAnsi="Times New Roman" w:cs="Times New Roman"/>
        </w:rPr>
        <w:t xml:space="preserve"> and </w:t>
      </w:r>
      <m:oMath>
        <m:r>
          <w:rPr>
            <w:rFonts w:ascii="Cambria Math" w:hAnsi="Cambria Math" w:cs="Times New Roman"/>
          </w:rPr>
          <m:t>s</m:t>
        </m:r>
      </m:oMath>
      <w:r w:rsidRPr="00285421">
        <w:rPr>
          <w:rFonts w:ascii="Times New Roman" w:hAnsi="Times New Roman" w:cs="Times New Roman"/>
        </w:rPr>
        <w:t xml:space="preserve"> is their sample standard deviation.</w:t>
      </w:r>
    </w:p>
    <w:p w14:paraId="29FCC8F4" w14:textId="2B733A59" w:rsidR="000C5444" w:rsidRPr="00285421" w:rsidRDefault="000C5444" w:rsidP="000C5444">
      <w:pPr>
        <w:pStyle w:val="a9"/>
        <w:widowControl/>
        <w:numPr>
          <w:ilvl w:val="1"/>
          <w:numId w:val="5"/>
        </w:numPr>
        <w:shd w:val="clear" w:color="auto" w:fill="FFFFFF"/>
        <w:spacing w:after="0" w:line="285" w:lineRule="atLeast"/>
        <w:rPr>
          <w:rFonts w:ascii="Times New Roman" w:eastAsia="宋体" w:hAnsi="Times New Roman" w:cs="Times New Roman"/>
          <w:b/>
          <w:bCs/>
          <w:kern w:val="0"/>
          <w:sz w:val="24"/>
          <w14:ligatures w14:val="none"/>
        </w:rPr>
      </w:pPr>
      <w:r w:rsidRPr="00285421">
        <w:rPr>
          <w:rFonts w:ascii="Times New Roman" w:eastAsia="宋体" w:hAnsi="Times New Roman" w:cs="Times New Roman" w:hint="eastAsia"/>
          <w:b/>
          <w:bCs/>
          <w:kern w:val="0"/>
          <w:sz w:val="24"/>
          <w14:ligatures w14:val="none"/>
        </w:rPr>
        <w:t xml:space="preserve"> </w:t>
      </w:r>
      <w:r w:rsidRPr="00285421">
        <w:rPr>
          <w:rFonts w:ascii="Times New Roman" w:eastAsia="宋体" w:hAnsi="Times New Roman" w:cs="Times New Roman"/>
          <w:b/>
          <w:bCs/>
          <w:kern w:val="0"/>
          <w:sz w:val="24"/>
          <w14:ligatures w14:val="none"/>
        </w:rPr>
        <w:t>Self-consistency and output variability</w:t>
      </w:r>
    </w:p>
    <w:p w14:paraId="5C3DB7BE" w14:textId="427C0E95" w:rsidR="00021205" w:rsidRPr="00285421" w:rsidRDefault="000C5444" w:rsidP="000C5444">
      <w:pPr>
        <w:jc w:val="both"/>
        <w:rPr>
          <w:rFonts w:ascii="Times New Roman" w:hAnsi="Times New Roman" w:cs="Times New Roman"/>
        </w:rPr>
      </w:pPr>
      <w:r w:rsidRPr="00285421">
        <w:rPr>
          <w:rFonts w:ascii="Times New Roman" w:hAnsi="Times New Roman" w:cs="Times New Roman"/>
        </w:rPr>
        <w:t>Using the five repeated outputs per item, we quantified reliability via:</w:t>
      </w:r>
      <w:r w:rsidRPr="00285421">
        <w:rPr>
          <w:rFonts w:ascii="Times New Roman" w:hAnsi="Times New Roman" w:cs="Times New Roman" w:hint="eastAsia"/>
        </w:rPr>
        <w:t xml:space="preserve"> 1.</w:t>
      </w:r>
      <w:r w:rsidRPr="00285421">
        <w:rPr>
          <w:rFonts w:ascii="Times New Roman" w:hAnsi="Times New Roman" w:cs="Times New Roman"/>
        </w:rPr>
        <w:t xml:space="preserve"> Fleiss’ κ (model-level self-consistency): treating the five trials as five raters assigning nominal categories to each item based on normalized answer strings</w:t>
      </w:r>
      <w:r w:rsidRPr="00285421">
        <w:rPr>
          <w:rFonts w:ascii="Times New Roman" w:hAnsi="Times New Roman" w:cs="Times New Roman" w:hint="eastAsia"/>
        </w:rPr>
        <w:t xml:space="preserve">; 2. </w:t>
      </w:r>
      <w:r w:rsidRPr="00285421">
        <w:rPr>
          <w:rFonts w:ascii="Times New Roman" w:hAnsi="Times New Roman" w:cs="Times New Roman"/>
        </w:rPr>
        <w:t>Strict consistency rate: proportion of items for which all five normalized answers are identical</w:t>
      </w:r>
      <w:r w:rsidRPr="00285421">
        <w:rPr>
          <w:rFonts w:ascii="Times New Roman" w:hAnsi="Times New Roman" w:cs="Times New Roman" w:hint="eastAsia"/>
        </w:rPr>
        <w:t xml:space="preserve">; </w:t>
      </w:r>
      <w:r w:rsidRPr="00285421">
        <w:rPr>
          <w:rFonts w:ascii="Times New Roman" w:hAnsi="Times New Roman" w:cs="Times New Roman"/>
        </w:rPr>
        <w:t>3</w:t>
      </w:r>
      <w:r w:rsidRPr="00285421">
        <w:rPr>
          <w:rFonts w:ascii="Times New Roman" w:hAnsi="Times New Roman" w:cs="Times New Roman" w:hint="eastAsia"/>
        </w:rPr>
        <w:t xml:space="preserve">. </w:t>
      </w:r>
      <w:r w:rsidRPr="00285421">
        <w:rPr>
          <w:rFonts w:ascii="Times New Roman" w:hAnsi="Times New Roman" w:cs="Times New Roman"/>
        </w:rPr>
        <w:t>Per-item Shannon entropy (bits): entropy of the empirical distribution over the five normalized answers for each (model, item)</w:t>
      </w:r>
      <w:r w:rsidRPr="00285421">
        <w:rPr>
          <w:rFonts w:ascii="Times New Roman" w:hAnsi="Times New Roman" w:cs="Times New Roman" w:hint="eastAsia"/>
        </w:rPr>
        <w:t xml:space="preserve">; 4. </w:t>
      </w:r>
      <w:r w:rsidRPr="00285421">
        <w:rPr>
          <w:rFonts w:ascii="Times New Roman" w:hAnsi="Times New Roman" w:cs="Times New Roman"/>
        </w:rPr>
        <w:t>Robust correct/robust wrong: items with 5/5 correct or 0/5 correct, respectively.</w:t>
      </w:r>
    </w:p>
    <w:p w14:paraId="46BEC851" w14:textId="282CF1F4" w:rsidR="00021205" w:rsidRPr="00285421" w:rsidRDefault="00021205" w:rsidP="000C51FE">
      <w:pPr>
        <w:pStyle w:val="a9"/>
        <w:widowControl/>
        <w:numPr>
          <w:ilvl w:val="1"/>
          <w:numId w:val="5"/>
        </w:numPr>
        <w:shd w:val="clear" w:color="auto" w:fill="FFFFFF"/>
        <w:spacing w:after="0" w:line="285" w:lineRule="atLeast"/>
        <w:rPr>
          <w:rFonts w:ascii="Times New Roman" w:eastAsia="宋体" w:hAnsi="Times New Roman" w:cs="Times New Roman"/>
          <w:b/>
          <w:bCs/>
          <w:kern w:val="0"/>
          <w:sz w:val="24"/>
          <w14:ligatures w14:val="none"/>
        </w:rPr>
      </w:pPr>
      <w:r w:rsidRPr="00285421">
        <w:rPr>
          <w:rFonts w:ascii="Times New Roman" w:eastAsia="宋体" w:hAnsi="Times New Roman" w:cs="Times New Roman"/>
          <w:b/>
          <w:bCs/>
          <w:kern w:val="0"/>
          <w:sz w:val="24"/>
          <w14:ligatures w14:val="none"/>
        </w:rPr>
        <w:t>Latency</w:t>
      </w:r>
    </w:p>
    <w:p w14:paraId="1E9009D2" w14:textId="2FE95649" w:rsidR="00021205" w:rsidRPr="00285421" w:rsidRDefault="000C51FE" w:rsidP="00C712D3">
      <w:pPr>
        <w:jc w:val="both"/>
        <w:rPr>
          <w:rFonts w:ascii="Times New Roman" w:hAnsi="Times New Roman" w:cs="Times New Roman"/>
        </w:rPr>
      </w:pPr>
      <w:r w:rsidRPr="00285421">
        <w:rPr>
          <w:rFonts w:ascii="Times New Roman" w:hAnsi="Times New Roman" w:cs="Times New Roman"/>
        </w:rPr>
        <w:t>Latency was measured as client-side end-to-end wall-clock time (</w:t>
      </w:r>
      <w:proofErr w:type="spellStart"/>
      <w:r w:rsidRPr="00285421">
        <w:rPr>
          <w:rFonts w:ascii="Times New Roman" w:hAnsi="Times New Roman" w:cs="Times New Roman"/>
        </w:rPr>
        <w:t>ms</w:t>
      </w:r>
      <w:proofErr w:type="spellEnd"/>
      <w:r w:rsidRPr="00285421">
        <w:rPr>
          <w:rFonts w:ascii="Times New Roman" w:hAnsi="Times New Roman" w:cs="Times New Roman"/>
        </w:rPr>
        <w:t xml:space="preserve">), including network transmission and any retries/backoff. Baseline latency corresponds to a single call per item, whereas agentic latency covers the full multi-step workflow (Planner, Reasoner, </w:t>
      </w:r>
      <w:r w:rsidRPr="00285421">
        <w:rPr>
          <w:rFonts w:ascii="Times New Roman" w:hAnsi="Times New Roman" w:cs="Times New Roman" w:hint="eastAsia"/>
        </w:rPr>
        <w:t xml:space="preserve">and </w:t>
      </w:r>
      <w:r w:rsidRPr="00285421">
        <w:rPr>
          <w:rFonts w:ascii="Times New Roman" w:hAnsi="Times New Roman" w:cs="Times New Roman"/>
        </w:rPr>
        <w:t>Critic).</w:t>
      </w:r>
    </w:p>
    <w:p w14:paraId="16D57F87" w14:textId="22D083D2" w:rsidR="00021205" w:rsidRPr="00285421" w:rsidRDefault="00021205" w:rsidP="00C712D3">
      <w:pPr>
        <w:pStyle w:val="a9"/>
        <w:widowControl/>
        <w:numPr>
          <w:ilvl w:val="1"/>
          <w:numId w:val="5"/>
        </w:numPr>
        <w:shd w:val="clear" w:color="auto" w:fill="FFFFFF"/>
        <w:spacing w:after="0" w:line="285" w:lineRule="atLeast"/>
        <w:rPr>
          <w:rFonts w:ascii="Times New Roman" w:eastAsia="宋体" w:hAnsi="Times New Roman" w:cs="Times New Roman"/>
          <w:b/>
          <w:bCs/>
          <w:kern w:val="0"/>
          <w:sz w:val="24"/>
          <w14:ligatures w14:val="none"/>
        </w:rPr>
      </w:pPr>
      <w:r w:rsidRPr="00285421">
        <w:rPr>
          <w:rFonts w:ascii="Times New Roman" w:eastAsia="宋体" w:hAnsi="Times New Roman" w:cs="Times New Roman"/>
          <w:b/>
          <w:bCs/>
          <w:kern w:val="0"/>
          <w:sz w:val="24"/>
          <w14:ligatures w14:val="none"/>
        </w:rPr>
        <w:t>Multi-model comparisons</w:t>
      </w:r>
    </w:p>
    <w:p w14:paraId="2A16473A" w14:textId="5614D8EC" w:rsidR="00021205" w:rsidRPr="00285421" w:rsidRDefault="00C712D3" w:rsidP="00C712D3">
      <w:pPr>
        <w:jc w:val="both"/>
        <w:rPr>
          <w:rFonts w:ascii="Times New Roman" w:hAnsi="Times New Roman" w:cs="Times New Roman"/>
        </w:rPr>
      </w:pPr>
      <w:r w:rsidRPr="00285421">
        <w:rPr>
          <w:rFonts w:ascii="Times New Roman" w:hAnsi="Times New Roman" w:cs="Times New Roman"/>
        </w:rPr>
        <w:t xml:space="preserve">We tested for differences among models using Friedman’s test on the item-level score matrix, using per-item mean scores averaged across five trials. When significant </w:t>
      </w:r>
      <w:r w:rsidRPr="00285421">
        <w:rPr>
          <w:rFonts w:ascii="Times New Roman" w:hAnsi="Times New Roman" w:cs="Times New Roman" w:hint="eastAsia"/>
        </w:rPr>
        <w:t>(</w:t>
      </w:r>
      <m:oMath>
        <m:r>
          <w:rPr>
            <w:rFonts w:ascii="Cambria Math" w:hAnsi="Cambria Math" w:cs="Times New Roman"/>
          </w:rPr>
          <m:t>p&lt;0.05)</m:t>
        </m:r>
      </m:oMath>
      <w:r w:rsidRPr="00285421">
        <w:rPr>
          <w:rFonts w:ascii="Times New Roman" w:hAnsi="Times New Roman" w:cs="Times New Roman"/>
        </w:rPr>
        <w:t>,</w:t>
      </w:r>
      <w:r w:rsidRPr="00285421">
        <w:rPr>
          <w:rFonts w:ascii="Times New Roman" w:hAnsi="Times New Roman" w:cs="Times New Roman" w:hint="eastAsia"/>
        </w:rPr>
        <w:t xml:space="preserve"> </w:t>
      </w:r>
      <w:r w:rsidRPr="00285421">
        <w:rPr>
          <w:rFonts w:ascii="Times New Roman" w:hAnsi="Times New Roman" w:cs="Times New Roman"/>
        </w:rPr>
        <w:t xml:space="preserve">we applied a </w:t>
      </w:r>
      <w:proofErr w:type="spellStart"/>
      <w:r w:rsidRPr="00285421">
        <w:rPr>
          <w:rFonts w:ascii="Times New Roman" w:hAnsi="Times New Roman" w:cs="Times New Roman"/>
        </w:rPr>
        <w:t>Nemenyi</w:t>
      </w:r>
      <w:proofErr w:type="spellEnd"/>
      <w:r w:rsidRPr="00285421">
        <w:rPr>
          <w:rFonts w:ascii="Times New Roman" w:hAnsi="Times New Roman" w:cs="Times New Roman"/>
        </w:rPr>
        <w:t xml:space="preserve"> post-hoc test (</w:t>
      </w:r>
      <m:oMath>
        <m:r>
          <m:rPr>
            <m:sty m:val="p"/>
          </m:rPr>
          <w:rPr>
            <w:rFonts w:ascii="Cambria Math" w:hAnsi="Cambria Math" w:cs="Times New Roman"/>
          </w:rPr>
          <m:t>α</m:t>
        </m:r>
        <m:r>
          <w:rPr>
            <w:rFonts w:ascii="Cambria Math" w:hAnsi="Cambria Math" w:cs="Times New Roman"/>
          </w:rPr>
          <m:t>=0.05</m:t>
        </m:r>
      </m:oMath>
      <w:r w:rsidRPr="00285421">
        <w:rPr>
          <w:rFonts w:ascii="Times New Roman" w:hAnsi="Times New Roman" w:cs="Times New Roman"/>
        </w:rPr>
        <w:t xml:space="preserve">) to compute the critical difference (CD) and identify the statistically </w:t>
      </w:r>
      <w:r w:rsidRPr="00285421">
        <w:rPr>
          <w:rFonts w:ascii="Times New Roman" w:hAnsi="Times New Roman" w:cs="Times New Roman" w:hint="eastAsia"/>
        </w:rPr>
        <w:t>best</w:t>
      </w:r>
      <w:r w:rsidRPr="00285421">
        <w:rPr>
          <w:rFonts w:ascii="Times New Roman" w:hAnsi="Times New Roman" w:cs="Times New Roman"/>
        </w:rPr>
        <w:t xml:space="preserve"> tier.</w:t>
      </w:r>
    </w:p>
    <w:p w14:paraId="7E5DC2B5" w14:textId="77777777" w:rsidR="000C3E62" w:rsidRPr="00285421" w:rsidRDefault="00021205" w:rsidP="000C3E62">
      <w:pPr>
        <w:pStyle w:val="a9"/>
        <w:widowControl/>
        <w:numPr>
          <w:ilvl w:val="1"/>
          <w:numId w:val="5"/>
        </w:numPr>
        <w:shd w:val="clear" w:color="auto" w:fill="FFFFFF"/>
        <w:spacing w:after="0" w:line="285" w:lineRule="atLeast"/>
        <w:jc w:val="both"/>
        <w:rPr>
          <w:rFonts w:ascii="Times New Roman" w:hAnsi="Times New Roman" w:cs="Times New Roman"/>
        </w:rPr>
      </w:pPr>
      <w:r w:rsidRPr="00285421">
        <w:rPr>
          <w:rFonts w:ascii="Times New Roman" w:eastAsia="宋体" w:hAnsi="Times New Roman" w:cs="Times New Roman"/>
          <w:b/>
          <w:bCs/>
          <w:kern w:val="0"/>
          <w:sz w:val="24"/>
          <w14:ligatures w14:val="none"/>
        </w:rPr>
        <w:lastRenderedPageBreak/>
        <w:t>Cold-spot analysis</w:t>
      </w:r>
    </w:p>
    <w:p w14:paraId="3FC49405" w14:textId="263C9CF2" w:rsidR="000C3E62" w:rsidRPr="00285421" w:rsidRDefault="000C3E62" w:rsidP="000C3E62">
      <w:pPr>
        <w:widowControl/>
        <w:shd w:val="clear" w:color="auto" w:fill="FFFFFF"/>
        <w:spacing w:after="0" w:line="285" w:lineRule="atLeast"/>
        <w:jc w:val="both"/>
        <w:rPr>
          <w:rFonts w:ascii="Times New Roman" w:hAnsi="Times New Roman" w:cs="Times New Roman"/>
        </w:rPr>
      </w:pPr>
      <w:r w:rsidRPr="00285421">
        <w:rPr>
          <w:rFonts w:ascii="Times New Roman" w:hAnsi="Times New Roman" w:cs="Times New Roman"/>
        </w:rPr>
        <w:t>We defined baseline cold-spot items as questions whose baseline accuracy aggregated over all models and trials was &lt;20%:</w:t>
      </w:r>
    </w:p>
    <w:p w14:paraId="736F551C" w14:textId="0999C939" w:rsidR="000C3E62" w:rsidRPr="00285421" w:rsidRDefault="000C3E62" w:rsidP="000C3E62">
      <w:pPr>
        <w:jc w:val="both"/>
        <w:rPr>
          <w:rFonts w:ascii="Times New Roman" w:hAnsi="Times New Roman" w:cs="Times New Roman"/>
        </w:rPr>
      </w:pPr>
      <m:oMathPara>
        <m:oMath>
          <m:r>
            <m:rPr>
              <m:nor/>
            </m:rPr>
            <w:rPr>
              <w:rFonts w:ascii="Cambria Math" w:hAnsi="Cambria Math" w:cs="Times New Roman"/>
            </w:rPr>
            <m:t>ac</m:t>
          </m:r>
          <m:sSub>
            <m:sSubPr>
              <m:ctrlPr>
                <w:rPr>
                  <w:rFonts w:ascii="Cambria Math" w:hAnsi="Cambria Math" w:cs="Times New Roman"/>
                </w:rPr>
              </m:ctrlPr>
            </m:sSubPr>
            <m:e>
              <m:r>
                <m:rPr>
                  <m:nor/>
                </m:rPr>
                <w:rPr>
                  <w:rFonts w:ascii="Cambria Math" w:hAnsi="Cambria Math" w:cs="Times New Roman"/>
                </w:rPr>
                <m:t>c</m:t>
              </m:r>
            </m:e>
            <m:sub>
              <m:r>
                <m:rPr>
                  <m:nor/>
                </m:rPr>
                <w:rPr>
                  <w:rFonts w:ascii="Cambria Math" w:hAnsi="Cambria Math" w:cs="Times New Roman"/>
                </w:rPr>
                <m:t>base</m:t>
              </m:r>
            </m:sub>
          </m:sSub>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m:t>
          </m:r>
          <m:f>
            <m:fPr>
              <m:ctrlPr>
                <w:rPr>
                  <w:rFonts w:ascii="Cambria Math" w:hAnsi="Cambria Math" w:cs="Times New Roman"/>
                </w:rPr>
              </m:ctrlPr>
            </m:fPr>
            <m:num>
              <m:nary>
                <m:naryPr>
                  <m:chr m:val="∑"/>
                  <m:supHide m:val="1"/>
                  <m:ctrlPr>
                    <w:rPr>
                      <w:rFonts w:ascii="Cambria Math" w:hAnsi="Cambria Math" w:cs="Times New Roman"/>
                    </w:rPr>
                  </m:ctrlPr>
                </m:naryPr>
                <m:sub>
                  <m:r>
                    <w:rPr>
                      <w:rFonts w:ascii="Cambria Math" w:hAnsi="Cambria Math" w:cs="Times New Roman"/>
                    </w:rPr>
                    <m:t>m</m:t>
                  </m:r>
                  <m:ctrlPr>
                    <w:rPr>
                      <w:rFonts w:ascii="Cambria Math" w:hAnsi="Cambria Math" w:cs="Times New Roman"/>
                      <w:i/>
                    </w:rPr>
                  </m:ctrlPr>
                </m:sub>
                <m:sup>
                  <m:ctrlPr>
                    <w:rPr>
                      <w:rFonts w:ascii="Cambria Math" w:hAnsi="Cambria Math" w:cs="Times New Roman"/>
                      <w:i/>
                    </w:rPr>
                  </m:ctrlPr>
                </m:sup>
                <m:e>
                  <m:nary>
                    <m:naryPr>
                      <m:chr m:val="∑"/>
                      <m:supHide m:val="1"/>
                      <m:ctrlPr>
                        <w:rPr>
                          <w:rFonts w:ascii="Cambria Math" w:hAnsi="Cambria Math" w:cs="Times New Roman"/>
                        </w:rPr>
                      </m:ctrlPr>
                    </m:naryPr>
                    <m:sub>
                      <m:r>
                        <w:rPr>
                          <w:rFonts w:ascii="Cambria Math" w:hAnsi="Cambria Math" w:cs="Times New Roman"/>
                        </w:rPr>
                        <m:t>r</m:t>
                      </m:r>
                      <m:ctrlPr>
                        <w:rPr>
                          <w:rFonts w:ascii="Cambria Math" w:hAnsi="Cambria Math" w:cs="Times New Roman"/>
                          <w:i/>
                        </w:rPr>
                      </m:ctrlPr>
                    </m:sub>
                    <m:sup>
                      <m:ctrlPr>
                        <w:rPr>
                          <w:rFonts w:ascii="Cambria Math" w:hAnsi="Cambria Math" w:cs="Times New Roman"/>
                          <w:i/>
                        </w:rPr>
                      </m:ctrlPr>
                    </m:sup>
                    <m:e>
                      <m:r>
                        <w:rPr>
                          <w:rFonts w:ascii="Cambria Math" w:hAnsi="Cambria Math" w:cs="Times New Roman"/>
                        </w:rPr>
                        <m:t>1</m:t>
                      </m:r>
                      <m:d>
                        <m:dPr>
                          <m:begChr m:val="["/>
                          <m:endChr m:val="]"/>
                          <m:ctrlPr>
                            <w:rPr>
                              <w:rFonts w:ascii="Cambria Math" w:hAnsi="Cambria Math" w:cs="Times New Roman"/>
                              <w:i/>
                            </w:rPr>
                          </m:ctrlPr>
                        </m:dPr>
                        <m:e>
                          <m:r>
                            <m:rPr>
                              <m:nor/>
                            </m:rPr>
                            <w:rPr>
                              <w:rFonts w:ascii="Cambria Math" w:hAnsi="Cambria Math" w:cs="Times New Roman"/>
                            </w:rPr>
                            <m:t>correct</m:t>
                          </m:r>
                          <m:d>
                            <m:dPr>
                              <m:ctrlPr>
                                <w:rPr>
                                  <w:rFonts w:ascii="Cambria Math" w:hAnsi="Cambria Math" w:cs="Times New Roman"/>
                                  <w:i/>
                                </w:rPr>
                              </m:ctrlPr>
                            </m:dPr>
                            <m:e>
                              <m:r>
                                <w:rPr>
                                  <w:rFonts w:ascii="Cambria Math" w:hAnsi="Cambria Math" w:cs="Times New Roman"/>
                                </w:rPr>
                                <m:t>m,q,r</m:t>
                              </m:r>
                            </m:e>
                          </m:d>
                        </m:e>
                      </m:d>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N</m:t>
                  </m:r>
                </m:e>
                <m:sub>
                  <m:r>
                    <m:rPr>
                      <m:nor/>
                    </m:rPr>
                    <w:rPr>
                      <w:rFonts w:ascii="Cambria Math" w:hAnsi="Cambria Math" w:cs="Times New Roman"/>
                    </w:rPr>
                    <m:t>models</m:t>
                  </m:r>
                </m:sub>
              </m:sSub>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N</m:t>
                  </m:r>
                </m:e>
                <m:sub>
                  <m:r>
                    <m:rPr>
                      <m:nor/>
                    </m:rPr>
                    <w:rPr>
                      <w:rFonts w:ascii="Cambria Math" w:hAnsi="Cambria Math" w:cs="Times New Roman"/>
                    </w:rPr>
                    <m:t>trials</m:t>
                  </m:r>
                </m:sub>
              </m:sSub>
              <m:ctrlPr>
                <w:rPr>
                  <w:rFonts w:ascii="Cambria Math" w:hAnsi="Cambria Math" w:cs="Times New Roman"/>
                  <w:i/>
                </w:rPr>
              </m:ctrlPr>
            </m:den>
          </m:f>
          <m:r>
            <w:rPr>
              <w:rFonts w:ascii="Cambria Math" w:hAnsi="Cambria Math" w:cs="Times New Roman"/>
            </w:rPr>
            <m:t>.</m:t>
          </m:r>
        </m:oMath>
      </m:oMathPara>
    </w:p>
    <w:p w14:paraId="36DB1E09" w14:textId="09FDA2BD" w:rsidR="00021205" w:rsidRPr="00285421" w:rsidRDefault="000C3E62" w:rsidP="003237D8">
      <w:pPr>
        <w:jc w:val="both"/>
        <w:rPr>
          <w:rFonts w:ascii="Times New Roman" w:hAnsi="Times New Roman" w:cs="Times New Roman"/>
        </w:rPr>
      </w:pPr>
      <w:r w:rsidRPr="00285421">
        <w:rPr>
          <w:rFonts w:ascii="Times New Roman" w:hAnsi="Times New Roman" w:cs="Times New Roman"/>
        </w:rPr>
        <w:t>For each cold-spot item, we compared baseline vs agentic performance using a paired Wilcoxon signed-rank test across models (each model contributed its mean accuracy over five trials per protocol for that item). We controlled per-item false discovery using Benjamini–Hochberg FDR</w:t>
      </w:r>
      <w:r w:rsidR="00ED5E69">
        <w:rPr>
          <w:rFonts w:ascii="Times New Roman" w:hAnsi="Times New Roman" w:cs="Times New Roman" w:hint="eastAsia"/>
        </w:rPr>
        <w:t xml:space="preserve"> (BH-FDR)</w:t>
      </w:r>
      <w:r w:rsidRPr="00285421">
        <w:rPr>
          <w:rFonts w:ascii="Times New Roman" w:hAnsi="Times New Roman" w:cs="Times New Roman"/>
        </w:rPr>
        <w:t xml:space="preserve"> across cold-spot items. We also assessed set-level improvement by comparing each model’s mean accuracy over the cold-spot set between protocols using a paired Wilcoxon test across models.</w:t>
      </w:r>
    </w:p>
    <w:p w14:paraId="0F1C1571" w14:textId="4F648EF0" w:rsidR="00021205" w:rsidRPr="00285421" w:rsidRDefault="00021205" w:rsidP="003237D8">
      <w:pPr>
        <w:pStyle w:val="a9"/>
        <w:widowControl/>
        <w:numPr>
          <w:ilvl w:val="1"/>
          <w:numId w:val="5"/>
        </w:numPr>
        <w:shd w:val="clear" w:color="auto" w:fill="FFFFFF"/>
        <w:spacing w:after="0" w:line="285" w:lineRule="atLeast"/>
        <w:jc w:val="both"/>
        <w:rPr>
          <w:rFonts w:ascii="Times New Roman" w:eastAsia="宋体" w:hAnsi="Times New Roman" w:cs="Times New Roman"/>
          <w:b/>
          <w:bCs/>
          <w:kern w:val="0"/>
          <w:sz w:val="24"/>
          <w14:ligatures w14:val="none"/>
        </w:rPr>
      </w:pPr>
      <w:r w:rsidRPr="00285421">
        <w:rPr>
          <w:rFonts w:ascii="Times New Roman" w:eastAsia="宋体" w:hAnsi="Times New Roman" w:cs="Times New Roman"/>
          <w:b/>
          <w:bCs/>
          <w:kern w:val="0"/>
          <w:sz w:val="24"/>
          <w14:ligatures w14:val="none"/>
        </w:rPr>
        <w:t>Safety trade-off analysis</w:t>
      </w:r>
    </w:p>
    <w:p w14:paraId="46913427" w14:textId="1A1E0941" w:rsidR="00021205" w:rsidRPr="00285421" w:rsidRDefault="003237D8" w:rsidP="003237D8">
      <w:pPr>
        <w:jc w:val="both"/>
        <w:rPr>
          <w:rFonts w:ascii="Times New Roman" w:hAnsi="Times New Roman" w:cs="Times New Roman"/>
        </w:rPr>
      </w:pPr>
      <w:r w:rsidRPr="00285421">
        <w:rPr>
          <w:rFonts w:ascii="Times New Roman" w:hAnsi="Times New Roman" w:cs="Times New Roman"/>
        </w:rPr>
        <w:t>We operationalized agentic safety trade-offs via Agentic Iatrogenic Risk Analysis (AIRA)</w:t>
      </w:r>
      <w:r w:rsidRPr="00285421">
        <w:rPr>
          <w:rFonts w:ascii="Times New Roman" w:hAnsi="Times New Roman" w:cs="Times New Roman" w:hint="eastAsia"/>
        </w:rPr>
        <w:t xml:space="preserve"> </w:t>
      </w:r>
      <w:r w:rsidRPr="00285421">
        <w:rPr>
          <w:rFonts w:ascii="Times New Roman" w:hAnsi="Times New Roman" w:cs="Times New Roman"/>
        </w:rPr>
        <w:t>using majority-vote correctness (≥3/5). Transitions from Baseline to Agentic were categorized as:</w:t>
      </w:r>
      <w:r w:rsidRPr="00285421">
        <w:rPr>
          <w:rFonts w:ascii="Times New Roman" w:hAnsi="Times New Roman" w:cs="Times New Roman" w:hint="eastAsia"/>
        </w:rPr>
        <w:t xml:space="preserve"> </w:t>
      </w:r>
      <w:r w:rsidRPr="00285421">
        <w:rPr>
          <w:rFonts w:ascii="Times New Roman" w:hAnsi="Times New Roman" w:cs="Times New Roman"/>
        </w:rPr>
        <w:t>1→1 Retained Mastery</w:t>
      </w:r>
      <w:r w:rsidRPr="00285421">
        <w:rPr>
          <w:rFonts w:ascii="Times New Roman" w:hAnsi="Times New Roman" w:cs="Times New Roman" w:hint="eastAsia"/>
        </w:rPr>
        <w:t xml:space="preserve">; </w:t>
      </w:r>
      <w:r w:rsidRPr="00285421">
        <w:rPr>
          <w:rFonts w:ascii="Times New Roman" w:hAnsi="Times New Roman" w:cs="Times New Roman"/>
        </w:rPr>
        <w:t>1→0 Iatrogenic Error</w:t>
      </w:r>
      <w:r w:rsidRPr="00285421">
        <w:rPr>
          <w:rFonts w:ascii="Times New Roman" w:hAnsi="Times New Roman" w:cs="Times New Roman" w:hint="eastAsia"/>
        </w:rPr>
        <w:t xml:space="preserve">; </w:t>
      </w:r>
      <w:r w:rsidRPr="00285421">
        <w:rPr>
          <w:rFonts w:ascii="Times New Roman" w:hAnsi="Times New Roman" w:cs="Times New Roman"/>
        </w:rPr>
        <w:t>0→1 Effective Rescue</w:t>
      </w:r>
      <w:r w:rsidRPr="00285421">
        <w:rPr>
          <w:rFonts w:ascii="Times New Roman" w:hAnsi="Times New Roman" w:cs="Times New Roman" w:hint="eastAsia"/>
        </w:rPr>
        <w:t xml:space="preserve">; and </w:t>
      </w:r>
      <w:r w:rsidRPr="00285421">
        <w:rPr>
          <w:rFonts w:ascii="Times New Roman" w:hAnsi="Times New Roman" w:cs="Times New Roman"/>
        </w:rPr>
        <w:t>0→0 Refractory Error</w:t>
      </w:r>
      <w:r w:rsidR="0004610F" w:rsidRPr="00285421">
        <w:rPr>
          <w:rFonts w:ascii="Times New Roman" w:hAnsi="Times New Roman" w:cs="Times New Roman" w:hint="eastAsia"/>
        </w:rPr>
        <w:t xml:space="preserve">. </w:t>
      </w:r>
      <w:r w:rsidRPr="00285421">
        <w:rPr>
          <w:rFonts w:ascii="Times New Roman" w:hAnsi="Times New Roman" w:cs="Times New Roman"/>
        </w:rPr>
        <w:t>At the aggregate level, we applied McNemar’s exact test to paired majority-vote outcomes, contrasting iatrogenic errors (1→0) against rescues (0→1). For descriptive reporting, we additionally derived per-model indices (safety index, rescue index, and damage-to-rescue ratio).</w:t>
      </w:r>
    </w:p>
    <w:p w14:paraId="232E0E79" w14:textId="449CEC4D" w:rsidR="0004610F" w:rsidRPr="00285421" w:rsidRDefault="0004610F" w:rsidP="0004610F">
      <w:pPr>
        <w:pStyle w:val="a9"/>
        <w:widowControl/>
        <w:numPr>
          <w:ilvl w:val="1"/>
          <w:numId w:val="5"/>
        </w:numPr>
        <w:shd w:val="clear" w:color="auto" w:fill="FFFFFF"/>
        <w:spacing w:after="0" w:line="285" w:lineRule="atLeast"/>
        <w:jc w:val="both"/>
        <w:rPr>
          <w:rFonts w:ascii="Times New Roman" w:eastAsia="宋体" w:hAnsi="Times New Roman" w:cs="Times New Roman"/>
          <w:b/>
          <w:bCs/>
          <w:kern w:val="0"/>
          <w:sz w:val="24"/>
          <w14:ligatures w14:val="none"/>
        </w:rPr>
      </w:pPr>
      <w:r w:rsidRPr="00285421">
        <w:rPr>
          <w:rFonts w:ascii="Times New Roman" w:eastAsia="宋体" w:hAnsi="Times New Roman" w:cs="Times New Roman"/>
          <w:b/>
          <w:bCs/>
          <w:kern w:val="0"/>
          <w:sz w:val="24"/>
          <w14:ligatures w14:val="none"/>
        </w:rPr>
        <w:t>Psychometric validation</w:t>
      </w:r>
    </w:p>
    <w:p w14:paraId="239E5D57" w14:textId="648183B3" w:rsidR="0030697C" w:rsidRPr="0030697C" w:rsidRDefault="0004610F" w:rsidP="0017352D">
      <w:pPr>
        <w:jc w:val="both"/>
        <w:rPr>
          <w:rFonts w:ascii="Times New Roman" w:hAnsi="Times New Roman" w:cs="Times New Roman"/>
        </w:rPr>
      </w:pPr>
      <w:r w:rsidRPr="00285421">
        <w:rPr>
          <w:rFonts w:ascii="Times New Roman" w:hAnsi="Times New Roman" w:cs="Times New Roman"/>
        </w:rPr>
        <w:t xml:space="preserve">To place item difficulty and model ability on a common scale, we fit a </w:t>
      </w:r>
      <w:r w:rsidR="0017352D" w:rsidRPr="0017352D">
        <w:rPr>
          <w:rFonts w:ascii="Times New Roman" w:hAnsi="Times New Roman" w:cs="Times New Roman"/>
        </w:rPr>
        <w:t>1-Parameter Logistic</w:t>
      </w:r>
      <w:r w:rsidR="0017352D">
        <w:rPr>
          <w:rFonts w:ascii="Times New Roman" w:hAnsi="Times New Roman" w:cs="Times New Roman" w:hint="eastAsia"/>
        </w:rPr>
        <w:t xml:space="preserve"> (</w:t>
      </w:r>
      <w:r w:rsidRPr="00285421">
        <w:rPr>
          <w:rFonts w:ascii="Times New Roman" w:hAnsi="Times New Roman" w:cs="Times New Roman"/>
        </w:rPr>
        <w:t>1PL</w:t>
      </w:r>
      <w:r w:rsidR="0017352D">
        <w:rPr>
          <w:rFonts w:ascii="Times New Roman" w:hAnsi="Times New Roman" w:cs="Times New Roman" w:hint="eastAsia"/>
        </w:rPr>
        <w:t>)</w:t>
      </w:r>
      <w:r w:rsidRPr="00285421">
        <w:rPr>
          <w:rFonts w:ascii="Times New Roman" w:hAnsi="Times New Roman" w:cs="Times New Roman"/>
        </w:rPr>
        <w:t xml:space="preserve"> Rasch item response theory</w:t>
      </w:r>
      <w:r w:rsidR="0017352D">
        <w:rPr>
          <w:rFonts w:ascii="Times New Roman" w:hAnsi="Times New Roman" w:cs="Times New Roman" w:hint="eastAsia"/>
        </w:rPr>
        <w:t xml:space="preserve"> (IRT)</w:t>
      </w:r>
      <w:r w:rsidRPr="00285421">
        <w:rPr>
          <w:rFonts w:ascii="Times New Roman" w:hAnsi="Times New Roman" w:cs="Times New Roman"/>
        </w:rPr>
        <w:t xml:space="preserve"> model to the binary response matrix, treating each model</w:t>
      </w:r>
      <w:r w:rsidR="0017352D">
        <w:rPr>
          <w:rFonts w:ascii="Times New Roman" w:hAnsi="Times New Roman" w:cs="Times New Roman" w:hint="eastAsia"/>
        </w:rPr>
        <w:t>-</w:t>
      </w:r>
      <w:r w:rsidRPr="00285421">
        <w:rPr>
          <w:rFonts w:ascii="Times New Roman" w:hAnsi="Times New Roman" w:cs="Times New Roman"/>
        </w:rPr>
        <w:t>trial instance as a “person”</w:t>
      </w:r>
      <w:r w:rsidR="0017352D">
        <w:rPr>
          <w:rFonts w:ascii="Times New Roman" w:hAnsi="Times New Roman" w:cs="Times New Roman" w:hint="eastAsia"/>
        </w:rPr>
        <w:t xml:space="preserve"> (</w:t>
      </w:r>
      <w:r w:rsidR="0017352D" w:rsidRPr="0017352D">
        <w:rPr>
          <w:rFonts w:ascii="Times New Roman" w:hAnsi="Times New Roman" w:cs="Times New Roman" w:hint="eastAsia"/>
          <w:i/>
          <w:iCs/>
        </w:rPr>
        <w:t>N</w:t>
      </w:r>
      <w:r w:rsidR="0017352D">
        <w:rPr>
          <w:rFonts w:ascii="Times New Roman" w:hAnsi="Times New Roman" w:cs="Times New Roman" w:hint="eastAsia"/>
        </w:rPr>
        <w:t xml:space="preserve"> = 55)</w:t>
      </w:r>
      <w:r w:rsidRPr="00285421">
        <w:rPr>
          <w:rFonts w:ascii="Times New Roman" w:hAnsi="Times New Roman" w:cs="Times New Roman"/>
        </w:rPr>
        <w:t xml:space="preserve"> and each question as an “item”</w:t>
      </w:r>
      <w:r w:rsidR="0017352D">
        <w:rPr>
          <w:rFonts w:ascii="Times New Roman" w:hAnsi="Times New Roman" w:cs="Times New Roman" w:hint="eastAsia"/>
        </w:rPr>
        <w:t xml:space="preserve"> (</w:t>
      </w:r>
      <w:r w:rsidR="0017352D" w:rsidRPr="0017352D">
        <w:rPr>
          <w:rFonts w:ascii="Times New Roman" w:hAnsi="Times New Roman" w:cs="Times New Roman" w:hint="eastAsia"/>
          <w:i/>
          <w:iCs/>
        </w:rPr>
        <w:t>N</w:t>
      </w:r>
      <w:r w:rsidR="0017352D">
        <w:rPr>
          <w:rFonts w:ascii="Times New Roman" w:hAnsi="Times New Roman" w:cs="Times New Roman" w:hint="eastAsia"/>
        </w:rPr>
        <w:t xml:space="preserve"> = 165)</w:t>
      </w:r>
      <w:r w:rsidRPr="00285421">
        <w:rPr>
          <w:rFonts w:ascii="Times New Roman" w:hAnsi="Times New Roman" w:cs="Times New Roman"/>
        </w:rPr>
        <w:t xml:space="preserve">. </w:t>
      </w:r>
      <w:r w:rsidR="0017352D">
        <w:rPr>
          <w:rFonts w:ascii="Times New Roman" w:hAnsi="Times New Roman" w:cs="Times New Roman" w:hint="eastAsia"/>
        </w:rPr>
        <w:t>Model a</w:t>
      </w:r>
      <w:r w:rsidRPr="00285421">
        <w:rPr>
          <w:rFonts w:ascii="Times New Roman" w:hAnsi="Times New Roman" w:cs="Times New Roman"/>
        </w:rPr>
        <w:t xml:space="preserve">bility </w:t>
      </w:r>
      <m:oMath>
        <m:d>
          <m:dPr>
            <m:ctrlPr>
              <w:rPr>
                <w:rFonts w:ascii="Cambria Math" w:hAnsi="Cambria Math" w:cs="Times New Roman"/>
                <w:i/>
              </w:rPr>
            </m:ctrlPr>
          </m:dPr>
          <m:e>
            <m:r>
              <w:rPr>
                <w:rFonts w:ascii="Cambria Math" w:hAnsi="Cambria Math" w:cs="Times New Roman"/>
              </w:rPr>
              <m:t>θ</m:t>
            </m:r>
          </m:e>
        </m:d>
      </m:oMath>
      <w:r w:rsidRPr="00285421">
        <w:rPr>
          <w:rFonts w:ascii="Times New Roman" w:hAnsi="Times New Roman" w:cs="Times New Roman"/>
        </w:rPr>
        <w:t xml:space="preserve"> and difficulty </w:t>
      </w:r>
      <m:oMath>
        <m:r>
          <m:rPr>
            <m:lit/>
          </m:rPr>
          <w:rPr>
            <w:rFonts w:ascii="Cambria Math" w:hAnsi="Cambria Math" w:cs="Times New Roman"/>
          </w:rPr>
          <m:t>(</m:t>
        </m:r>
        <m:r>
          <w:rPr>
            <w:rFonts w:ascii="Cambria Math" w:hAnsi="Cambria Math" w:cs="Times New Roman"/>
          </w:rPr>
          <m:t>b</m:t>
        </m:r>
        <m:r>
          <m:rPr>
            <m:lit/>
          </m:rPr>
          <w:rPr>
            <w:rFonts w:ascii="Cambria Math" w:hAnsi="Cambria Math" w:cs="Times New Roman"/>
          </w:rPr>
          <m:t>)</m:t>
        </m:r>
      </m:oMath>
      <w:r w:rsidRPr="00285421">
        <w:rPr>
          <w:rFonts w:ascii="Times New Roman" w:hAnsi="Times New Roman" w:cs="Times New Roman"/>
        </w:rPr>
        <w:t xml:space="preserve"> were estimated with joint maximum likelihood and an identifiability constraint (mean item difficulty centered at 0).</w:t>
      </w:r>
      <w:r w:rsidR="0017352D">
        <w:rPr>
          <w:rFonts w:ascii="Times New Roman" w:hAnsi="Times New Roman" w:cs="Times New Roman" w:hint="eastAsia"/>
        </w:rPr>
        <w:t xml:space="preserve"> Additionally, u</w:t>
      </w:r>
      <w:r w:rsidR="0030697C" w:rsidRPr="0030697C">
        <w:rPr>
          <w:rFonts w:ascii="Times New Roman" w:hAnsi="Times New Roman" w:cs="Times New Roman"/>
        </w:rPr>
        <w:t xml:space="preserve">nder </w:t>
      </w:r>
      <w:r w:rsidR="0017352D">
        <w:rPr>
          <w:rFonts w:ascii="Times New Roman" w:hAnsi="Times New Roman" w:cs="Times New Roman" w:hint="eastAsia"/>
        </w:rPr>
        <w:t>C</w:t>
      </w:r>
      <w:r w:rsidR="0030697C" w:rsidRPr="0030697C">
        <w:rPr>
          <w:rFonts w:ascii="Times New Roman" w:hAnsi="Times New Roman" w:cs="Times New Roman"/>
        </w:rPr>
        <w:t xml:space="preserve">lassical </w:t>
      </w:r>
      <w:r w:rsidR="0017352D">
        <w:rPr>
          <w:rFonts w:ascii="Times New Roman" w:hAnsi="Times New Roman" w:cs="Times New Roman" w:hint="eastAsia"/>
        </w:rPr>
        <w:t>T</w:t>
      </w:r>
      <w:r w:rsidR="0030697C" w:rsidRPr="0030697C">
        <w:rPr>
          <w:rFonts w:ascii="Times New Roman" w:hAnsi="Times New Roman" w:cs="Times New Roman"/>
        </w:rPr>
        <w:t xml:space="preserve">est </w:t>
      </w:r>
      <w:r w:rsidR="0017352D">
        <w:rPr>
          <w:rFonts w:ascii="Times New Roman" w:hAnsi="Times New Roman" w:cs="Times New Roman" w:hint="eastAsia"/>
        </w:rPr>
        <w:t>T</w:t>
      </w:r>
      <w:r w:rsidR="0030697C" w:rsidRPr="0030697C">
        <w:rPr>
          <w:rFonts w:ascii="Times New Roman" w:hAnsi="Times New Roman" w:cs="Times New Roman"/>
        </w:rPr>
        <w:t>heory (CTT), we</w:t>
      </w:r>
      <w:r w:rsidR="0017352D">
        <w:rPr>
          <w:rFonts w:ascii="Times New Roman" w:hAnsi="Times New Roman" w:cs="Times New Roman" w:hint="eastAsia"/>
        </w:rPr>
        <w:t xml:space="preserve"> </w:t>
      </w:r>
      <w:r w:rsidR="0030697C" w:rsidRPr="0030697C">
        <w:rPr>
          <w:rFonts w:ascii="Times New Roman" w:hAnsi="Times New Roman" w:cs="Times New Roman"/>
        </w:rPr>
        <w:t xml:space="preserve">computed per-item difficulty </w:t>
      </w:r>
      <w:r w:rsidR="0017352D" w:rsidRPr="0017352D">
        <w:rPr>
          <w:rFonts w:ascii="Times New Roman" w:hAnsi="Times New Roman" w:cs="Times New Roman"/>
        </w:rPr>
        <w:t xml:space="preserve">(as item easiness, </w:t>
      </w:r>
      <w:r w:rsidR="0017352D" w:rsidRPr="0017352D">
        <w:rPr>
          <w:rFonts w:ascii="Times New Roman" w:hAnsi="Times New Roman" w:cs="Times New Roman"/>
          <w:i/>
          <w:iCs/>
        </w:rPr>
        <w:t>P</w:t>
      </w:r>
      <w:r w:rsidR="0017352D" w:rsidRPr="0017352D">
        <w:rPr>
          <w:rFonts w:ascii="Times New Roman" w:hAnsi="Times New Roman" w:cs="Times New Roman"/>
        </w:rPr>
        <w:t>)</w:t>
      </w:r>
      <w:r w:rsidR="0030697C" w:rsidRPr="0030697C">
        <w:rPr>
          <w:rFonts w:ascii="Times New Roman" w:hAnsi="Times New Roman" w:cs="Times New Roman"/>
        </w:rPr>
        <w:t xml:space="preserve"> and per-item discrimination </w:t>
      </w:r>
      <w:r w:rsidR="0017352D" w:rsidRPr="0017352D">
        <w:rPr>
          <w:rFonts w:ascii="Times New Roman" w:hAnsi="Times New Roman" w:cs="Times New Roman"/>
        </w:rPr>
        <w:t>using the point-biserial correlation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pbs</m:t>
            </m:r>
          </m:sub>
        </m:sSub>
      </m:oMath>
      <w:r w:rsidR="0017352D" w:rsidRPr="0017352D">
        <w:rPr>
          <w:rFonts w:ascii="Times New Roman" w:hAnsi="Times New Roman" w:cs="Times New Roman"/>
        </w:rPr>
        <w:t>)</w:t>
      </w:r>
      <w:r w:rsidR="0017352D">
        <w:rPr>
          <w:rFonts w:ascii="Times New Roman" w:hAnsi="Times New Roman" w:cs="Times New Roman" w:hint="eastAsia"/>
        </w:rPr>
        <w:t xml:space="preserve"> </w:t>
      </w:r>
      <w:r w:rsidR="0017352D" w:rsidRPr="0017352D">
        <w:rPr>
          <w:rFonts w:ascii="Times New Roman" w:hAnsi="Times New Roman" w:cs="Times New Roman"/>
        </w:rPr>
        <w:t>between item correctness and the total score (excluding the item itself)</w:t>
      </w:r>
      <w:r w:rsidR="00E23086" w:rsidRPr="00E23086">
        <w:rPr>
          <w:rFonts w:ascii="Times New Roman" w:hAnsi="Times New Roman" w:cs="Times New Roman"/>
        </w:rPr>
        <w:t>. This dual approach allows us to diagnose whether performance shifts arise from changes in latent ability or item discrimination degradation.</w:t>
      </w:r>
    </w:p>
    <w:p w14:paraId="1322C2CB" w14:textId="72191F85" w:rsidR="00021205" w:rsidRPr="00285421" w:rsidRDefault="00021205" w:rsidP="00E867D0">
      <w:pPr>
        <w:pStyle w:val="a9"/>
        <w:widowControl/>
        <w:numPr>
          <w:ilvl w:val="1"/>
          <w:numId w:val="5"/>
        </w:numPr>
        <w:shd w:val="clear" w:color="auto" w:fill="FFFFFF"/>
        <w:spacing w:after="0" w:line="285" w:lineRule="atLeast"/>
        <w:jc w:val="both"/>
        <w:rPr>
          <w:rFonts w:ascii="Times New Roman" w:eastAsia="宋体" w:hAnsi="Times New Roman" w:cs="Times New Roman"/>
          <w:b/>
          <w:bCs/>
          <w:kern w:val="0"/>
          <w:sz w:val="24"/>
          <w14:ligatures w14:val="none"/>
        </w:rPr>
      </w:pPr>
      <w:r w:rsidRPr="00285421">
        <w:rPr>
          <w:rFonts w:ascii="Times New Roman" w:eastAsia="宋体" w:hAnsi="Times New Roman" w:cs="Times New Roman"/>
          <w:b/>
          <w:bCs/>
          <w:kern w:val="0"/>
          <w:sz w:val="24"/>
          <w14:ligatures w14:val="none"/>
        </w:rPr>
        <w:t>Implementation and reproducibility</w:t>
      </w:r>
    </w:p>
    <w:p w14:paraId="500E7829" w14:textId="2928A84D" w:rsidR="00021205" w:rsidRPr="005E6DA0" w:rsidRDefault="00E867D0" w:rsidP="005E6DA0">
      <w:pPr>
        <w:jc w:val="both"/>
        <w:rPr>
          <w:rFonts w:ascii="Times New Roman" w:hAnsi="Times New Roman" w:cs="Times New Roman"/>
        </w:rPr>
      </w:pPr>
      <w:r w:rsidRPr="00285421">
        <w:rPr>
          <w:rFonts w:ascii="Times New Roman" w:hAnsi="Times New Roman" w:cs="Times New Roman"/>
        </w:rPr>
        <w:t>All experiments were implemented in Python with asynchronous I/O.</w:t>
      </w:r>
      <w:r w:rsidR="00F40EC7" w:rsidRPr="00285421">
        <w:rPr>
          <w:rFonts w:ascii="Times New Roman" w:hAnsi="Times New Roman" w:cs="Times New Roman" w:hint="eastAsia"/>
        </w:rPr>
        <w:t xml:space="preserve"> </w:t>
      </w:r>
      <w:r w:rsidR="00CA344C" w:rsidRPr="00285421">
        <w:rPr>
          <w:rFonts w:ascii="Times New Roman" w:hAnsi="Times New Roman" w:cs="Times New Roman" w:hint="eastAsia"/>
        </w:rPr>
        <w:t xml:space="preserve">All </w:t>
      </w:r>
      <w:r w:rsidR="00125377" w:rsidRPr="00285421">
        <w:rPr>
          <w:rFonts w:ascii="Times New Roman" w:hAnsi="Times New Roman" w:cs="Times New Roman" w:hint="eastAsia"/>
        </w:rPr>
        <w:t xml:space="preserve">source </w:t>
      </w:r>
      <w:r w:rsidR="00CA344C" w:rsidRPr="00285421">
        <w:rPr>
          <w:rFonts w:ascii="Times New Roman" w:hAnsi="Times New Roman" w:cs="Times New Roman" w:hint="eastAsia"/>
        </w:rPr>
        <w:t xml:space="preserve">codes </w:t>
      </w:r>
      <w:r w:rsidR="00125377" w:rsidRPr="00285421">
        <w:rPr>
          <w:rFonts w:ascii="Times New Roman" w:hAnsi="Times New Roman" w:cs="Times New Roman" w:hint="eastAsia"/>
        </w:rPr>
        <w:t xml:space="preserve">have been uploaded </w:t>
      </w:r>
      <w:proofErr w:type="gramStart"/>
      <w:r w:rsidR="00125377" w:rsidRPr="00285421">
        <w:rPr>
          <w:rFonts w:ascii="Times New Roman" w:hAnsi="Times New Roman" w:cs="Times New Roman"/>
        </w:rPr>
        <w:t>to</w:t>
      </w:r>
      <w:r w:rsidR="00125377" w:rsidRPr="00285421">
        <w:rPr>
          <w:rFonts w:ascii="Times New Roman" w:hAnsi="Times New Roman" w:cs="Times New Roman" w:hint="eastAsia"/>
        </w:rPr>
        <w:t xml:space="preserve"> https://github.com/Wanzhe-Liao/LLM-Benchmarks-on-Clinical-Medicine-Examination, which is publicly available.</w:t>
      </w:r>
      <w:proofErr w:type="gramEnd"/>
      <w:r w:rsidR="00CA344C" w:rsidRPr="00285421">
        <w:rPr>
          <w:rFonts w:ascii="Times New Roman" w:hAnsi="Times New Roman" w:cs="Times New Roman" w:hint="eastAsia"/>
        </w:rPr>
        <w:t xml:space="preserve"> </w:t>
      </w:r>
      <w:r w:rsidRPr="00285421">
        <w:rPr>
          <w:rFonts w:ascii="Times New Roman" w:hAnsi="Times New Roman" w:cs="Times New Roman"/>
        </w:rPr>
        <w:t>The benchmark contains no patient-identifiable data and therefore does not constitute human-subject research.</w:t>
      </w:r>
    </w:p>
    <w:p w14:paraId="619FF288" w14:textId="289BADAA" w:rsidR="005E6DA0" w:rsidRPr="005E6DA0" w:rsidRDefault="00285421" w:rsidP="005E6DA0">
      <w:pPr>
        <w:pStyle w:val="a9"/>
        <w:numPr>
          <w:ilvl w:val="0"/>
          <w:numId w:val="5"/>
        </w:numPr>
        <w:jc w:val="both"/>
        <w:rPr>
          <w:rFonts w:ascii="Times New Roman" w:hAnsi="Times New Roman" w:cs="Times New Roman"/>
          <w:b/>
          <w:bCs/>
          <w:sz w:val="28"/>
          <w:szCs w:val="32"/>
        </w:rPr>
      </w:pPr>
      <w:r>
        <w:rPr>
          <w:rFonts w:ascii="Times New Roman" w:hAnsi="Times New Roman" w:cs="Times New Roman" w:hint="eastAsia"/>
          <w:b/>
          <w:bCs/>
          <w:sz w:val="28"/>
          <w:szCs w:val="32"/>
        </w:rPr>
        <w:t>Results</w:t>
      </w:r>
    </w:p>
    <w:p w14:paraId="2F6330F9" w14:textId="446845D4" w:rsidR="005E6DA0" w:rsidRPr="005E6DA0" w:rsidRDefault="005E6DA0" w:rsidP="005E6DA0">
      <w:pPr>
        <w:jc w:val="both"/>
        <w:rPr>
          <w:rFonts w:ascii="Times New Roman" w:hAnsi="Times New Roman" w:cs="Times New Roman"/>
        </w:rPr>
      </w:pPr>
      <w:r w:rsidRPr="005E6DA0">
        <w:rPr>
          <w:rFonts w:ascii="Times New Roman" w:hAnsi="Times New Roman" w:cs="Times New Roman"/>
        </w:rPr>
        <w:t xml:space="preserve">We evaluated 11 LLMs on the </w:t>
      </w:r>
      <w:r>
        <w:rPr>
          <w:rFonts w:ascii="Times New Roman" w:hAnsi="Times New Roman" w:cs="Times New Roman" w:hint="eastAsia"/>
        </w:rPr>
        <w:t>CMCA</w:t>
      </w:r>
      <w:r w:rsidRPr="005E6DA0">
        <w:rPr>
          <w:rFonts w:ascii="Times New Roman" w:hAnsi="Times New Roman" w:cs="Times New Roman"/>
        </w:rPr>
        <w:t xml:space="preserve"> 165-item benchmark under two protocols: Baseline </w:t>
      </w:r>
      <w:r w:rsidRPr="005E6DA0">
        <w:rPr>
          <w:rFonts w:ascii="Times New Roman" w:hAnsi="Times New Roman" w:cs="Times New Roman"/>
        </w:rPr>
        <w:lastRenderedPageBreak/>
        <w:t xml:space="preserve">(direct prompting) and Agentic (Planner–Reasoner–Critic). For each model–protocol pair, we conducted five independent inference trials covering all 165 items, yielding 18,150 model–question evaluations (11 models × 165 items × 5 trials × 2 protocols). </w:t>
      </w:r>
      <w:r w:rsidR="009075C7" w:rsidRPr="009075C7">
        <w:rPr>
          <w:rFonts w:ascii="Times New Roman" w:hAnsi="Times New Roman" w:cs="Times New Roman"/>
        </w:rPr>
        <w:t>We first characterize the baseline performance profile, followed by the agentic profile, and finally quantify the net clinical impact of the agentic intervention.</w:t>
      </w:r>
    </w:p>
    <w:p w14:paraId="0B5A9428" w14:textId="29E67553" w:rsidR="005E6DA0" w:rsidRPr="005E6DA0" w:rsidRDefault="005E6DA0" w:rsidP="005E6DA0">
      <w:pPr>
        <w:pStyle w:val="a9"/>
        <w:widowControl/>
        <w:numPr>
          <w:ilvl w:val="1"/>
          <w:numId w:val="5"/>
        </w:numPr>
        <w:shd w:val="clear" w:color="auto" w:fill="FFFFFF"/>
        <w:spacing w:after="0" w:line="285" w:lineRule="atLeast"/>
        <w:jc w:val="both"/>
        <w:rPr>
          <w:rFonts w:ascii="Times New Roman" w:eastAsia="宋体" w:hAnsi="Times New Roman" w:cs="Times New Roman"/>
          <w:b/>
          <w:bCs/>
          <w:kern w:val="0"/>
          <w:sz w:val="24"/>
          <w14:ligatures w14:val="none"/>
        </w:rPr>
      </w:pPr>
      <w:r>
        <w:rPr>
          <w:rFonts w:ascii="Times New Roman" w:eastAsia="宋体" w:hAnsi="Times New Roman" w:cs="Times New Roman" w:hint="eastAsia"/>
          <w:b/>
          <w:bCs/>
          <w:kern w:val="0"/>
          <w:sz w:val="24"/>
          <w14:ligatures w14:val="none"/>
        </w:rPr>
        <w:t xml:space="preserve"> </w:t>
      </w:r>
      <w:r w:rsidRPr="005E6DA0">
        <w:rPr>
          <w:rFonts w:ascii="Times New Roman" w:eastAsia="宋体" w:hAnsi="Times New Roman" w:cs="Times New Roman"/>
          <w:b/>
          <w:bCs/>
          <w:kern w:val="0"/>
          <w:sz w:val="24"/>
          <w14:ligatures w14:val="none"/>
        </w:rPr>
        <w:t>Baseline benchmark profil</w:t>
      </w:r>
      <w:r w:rsidR="008631D9">
        <w:rPr>
          <w:rFonts w:ascii="Times New Roman" w:eastAsia="宋体" w:hAnsi="Times New Roman" w:cs="Times New Roman" w:hint="eastAsia"/>
          <w:b/>
          <w:bCs/>
          <w:kern w:val="0"/>
          <w:sz w:val="24"/>
          <w14:ligatures w14:val="none"/>
        </w:rPr>
        <w:t>e</w:t>
      </w:r>
    </w:p>
    <w:p w14:paraId="24521A18" w14:textId="3FF24305" w:rsidR="007173CA" w:rsidRDefault="005E6DA0" w:rsidP="009075C7">
      <w:pPr>
        <w:jc w:val="both"/>
        <w:rPr>
          <w:rFonts w:ascii="Times New Roman" w:hAnsi="Times New Roman" w:cs="Times New Roman"/>
        </w:rPr>
      </w:pPr>
      <w:r w:rsidRPr="005E6DA0">
        <w:rPr>
          <w:rFonts w:ascii="Times New Roman" w:hAnsi="Times New Roman" w:cs="Times New Roman"/>
        </w:rPr>
        <w:t>Performance stratification</w:t>
      </w:r>
      <w:r>
        <w:rPr>
          <w:rFonts w:ascii="Times New Roman" w:hAnsi="Times New Roman" w:cs="Times New Roman" w:hint="eastAsia"/>
        </w:rPr>
        <w:t>:</w:t>
      </w:r>
      <w:r w:rsidRPr="005E6DA0">
        <w:rPr>
          <w:rFonts w:ascii="Times New Roman" w:hAnsi="Times New Roman" w:cs="Times New Roman"/>
        </w:rPr>
        <w:t xml:space="preserve"> </w:t>
      </w:r>
      <w:r w:rsidR="009075C7" w:rsidRPr="009075C7">
        <w:rPr>
          <w:rFonts w:ascii="Times New Roman" w:hAnsi="Times New Roman" w:cs="Times New Roman"/>
        </w:rPr>
        <w:t>Across the 11 models, baseline mean accuracy (averaged over five trials) ranged from 75.64% to 93.94% (Fig. 1</w:t>
      </w:r>
      <w:r w:rsidR="00844540">
        <w:rPr>
          <w:rFonts w:ascii="Times New Roman" w:hAnsi="Times New Roman" w:cs="Times New Roman" w:hint="eastAsia"/>
        </w:rPr>
        <w:t>A</w:t>
      </w:r>
      <w:r w:rsidR="009075C7" w:rsidRPr="009075C7">
        <w:rPr>
          <w:rFonts w:ascii="Times New Roman" w:hAnsi="Times New Roman" w:cs="Times New Roman"/>
        </w:rPr>
        <w:t>; Table 1)</w:t>
      </w:r>
      <w:r w:rsidRPr="005E6DA0">
        <w:rPr>
          <w:rFonts w:ascii="Times New Roman" w:hAnsi="Times New Roman" w:cs="Times New Roman"/>
        </w:rPr>
        <w:t xml:space="preserve">. Gemini 3 Pro Preview achieved the highest accuracy (93.94%) with </w:t>
      </w:r>
      <w:r w:rsidR="009075C7">
        <w:rPr>
          <w:rFonts w:ascii="Times New Roman" w:hAnsi="Times New Roman" w:cs="Times New Roman" w:hint="eastAsia"/>
        </w:rPr>
        <w:t>perfect stability</w:t>
      </w:r>
      <w:r w:rsidRPr="005E6DA0">
        <w:rPr>
          <w:rFonts w:ascii="Times New Roman" w:hAnsi="Times New Roman" w:cs="Times New Roman"/>
        </w:rPr>
        <w:t xml:space="preserve"> (95% CI half-width = 0.00%), whereas GPT OSS 120B achieved the lowest accuracy</w:t>
      </w:r>
      <w:r w:rsidR="009075C7">
        <w:rPr>
          <w:rFonts w:ascii="Times New Roman" w:hAnsi="Times New Roman" w:cs="Times New Roman" w:hint="eastAsia"/>
        </w:rPr>
        <w:t xml:space="preserve"> (</w:t>
      </w:r>
      <w:r w:rsidR="009075C7" w:rsidRPr="005E6DA0">
        <w:rPr>
          <w:rFonts w:ascii="Times New Roman" w:hAnsi="Times New Roman" w:cs="Times New Roman"/>
        </w:rPr>
        <w:t>75.64%</w:t>
      </w:r>
      <w:r w:rsidR="009075C7">
        <w:rPr>
          <w:rFonts w:ascii="Times New Roman" w:hAnsi="Times New Roman" w:cs="Times New Roman" w:hint="eastAsia"/>
        </w:rPr>
        <w:t>)</w:t>
      </w:r>
      <w:r w:rsidRPr="005E6DA0">
        <w:rPr>
          <w:rFonts w:ascii="Times New Roman" w:hAnsi="Times New Roman" w:cs="Times New Roman"/>
        </w:rPr>
        <w:t xml:space="preserve"> </w:t>
      </w:r>
      <w:r w:rsidR="009075C7">
        <w:rPr>
          <w:rFonts w:ascii="Times New Roman" w:hAnsi="Times New Roman" w:cs="Times New Roman" w:hint="eastAsia"/>
        </w:rPr>
        <w:t xml:space="preserve">with observable variability </w:t>
      </w:r>
      <w:r w:rsidRPr="005E6DA0">
        <w:rPr>
          <w:rFonts w:ascii="Times New Roman" w:hAnsi="Times New Roman" w:cs="Times New Roman"/>
        </w:rPr>
        <w:t>(95% CI half-width = 0.63%).</w:t>
      </w:r>
      <w:r w:rsidRPr="0046763D">
        <w:rPr>
          <w:rFonts w:ascii="Times New Roman" w:hAnsi="Times New Roman" w:cs="Times New Roman"/>
        </w:rPr>
        <w:t xml:space="preserve"> </w:t>
      </w:r>
      <w:r w:rsidR="009075C7" w:rsidRPr="009075C7">
        <w:rPr>
          <w:rFonts w:ascii="Times New Roman" w:hAnsi="Times New Roman" w:cs="Times New Roman"/>
        </w:rPr>
        <w:t>Friedman’s test confirmed that performance differences among models were statistically significant</w:t>
      </w:r>
      <w:r w:rsidRPr="0046763D">
        <w:rPr>
          <w:rFonts w:ascii="Times New Roman" w:hAnsi="Times New Roman" w:cs="Times New Roman"/>
        </w:rPr>
        <w:t xml:space="preserve"> (χ</w:t>
      </w:r>
      <w:proofErr w:type="gramStart"/>
      <w:r w:rsidRPr="0046763D">
        <w:rPr>
          <w:rFonts w:ascii="Times New Roman" w:hAnsi="Times New Roman" w:cs="Times New Roman"/>
        </w:rPr>
        <w:t>²(</w:t>
      </w:r>
      <w:proofErr w:type="gramEnd"/>
      <w:r w:rsidRPr="0046763D">
        <w:rPr>
          <w:rFonts w:ascii="Times New Roman" w:hAnsi="Times New Roman" w:cs="Times New Roman"/>
        </w:rPr>
        <w:t xml:space="preserve">10) = 100.566, </w:t>
      </w:r>
      <w:r w:rsidR="00320AEA" w:rsidRPr="009075C7">
        <w:rPr>
          <w:rFonts w:ascii="Times New Roman" w:hAnsi="Times New Roman" w:cs="Times New Roman" w:hint="eastAsia"/>
          <w:i/>
          <w:iCs/>
        </w:rPr>
        <w:t>P</w:t>
      </w:r>
      <w:r w:rsidRPr="0046763D">
        <w:rPr>
          <w:rFonts w:ascii="Times New Roman" w:hAnsi="Times New Roman" w:cs="Times New Roman"/>
        </w:rPr>
        <w:t xml:space="preserve"> = 4.2×10</w:t>
      </w:r>
      <w:r w:rsidRPr="00320AEA">
        <w:rPr>
          <w:rFonts w:ascii="Times New Roman" w:hAnsi="Times New Roman" w:cs="Times New Roman"/>
          <w:vertAlign w:val="superscript"/>
        </w:rPr>
        <w:t>-17</w:t>
      </w:r>
      <w:r w:rsidRPr="0046763D">
        <w:rPr>
          <w:rFonts w:ascii="Times New Roman" w:hAnsi="Times New Roman" w:cs="Times New Roman"/>
        </w:rPr>
        <w:t xml:space="preserve">). </w:t>
      </w:r>
      <w:proofErr w:type="spellStart"/>
      <w:r w:rsidRPr="0046763D">
        <w:rPr>
          <w:rFonts w:ascii="Times New Roman" w:hAnsi="Times New Roman" w:cs="Times New Roman"/>
        </w:rPr>
        <w:t>Nemenyi</w:t>
      </w:r>
      <w:proofErr w:type="spellEnd"/>
      <w:r w:rsidRPr="0046763D">
        <w:rPr>
          <w:rFonts w:ascii="Times New Roman" w:hAnsi="Times New Roman" w:cs="Times New Roman"/>
        </w:rPr>
        <w:t xml:space="preserve"> post-hoc analysis yielded a critical difference of 1.175, supporting </w:t>
      </w:r>
      <w:r w:rsidR="00A950BB">
        <w:rPr>
          <w:rFonts w:ascii="Times New Roman" w:hAnsi="Times New Roman" w:cs="Times New Roman" w:hint="eastAsia"/>
        </w:rPr>
        <w:t xml:space="preserve">clear </w:t>
      </w:r>
      <w:r w:rsidRPr="0046763D">
        <w:rPr>
          <w:rFonts w:ascii="Times New Roman" w:hAnsi="Times New Roman" w:cs="Times New Roman"/>
        </w:rPr>
        <w:t xml:space="preserve">tier separation beyond </w:t>
      </w:r>
      <w:r w:rsidR="00A950BB">
        <w:rPr>
          <w:rFonts w:ascii="Times New Roman" w:hAnsi="Times New Roman" w:cs="Times New Roman" w:hint="eastAsia"/>
        </w:rPr>
        <w:t xml:space="preserve">simple </w:t>
      </w:r>
      <w:r w:rsidRPr="0046763D">
        <w:rPr>
          <w:rFonts w:ascii="Times New Roman" w:hAnsi="Times New Roman" w:cs="Times New Roman"/>
        </w:rPr>
        <w:t>mean ranking (Supplementary Fig. S1).</w:t>
      </w:r>
    </w:p>
    <w:p w14:paraId="00C14FA1" w14:textId="2A319F3C" w:rsidR="006858BB" w:rsidRDefault="006858BB" w:rsidP="009075C7">
      <w:pPr>
        <w:jc w:val="both"/>
        <w:rPr>
          <w:rFonts w:ascii="Times New Roman" w:hAnsi="Times New Roman" w:cs="Times New Roman"/>
        </w:rPr>
      </w:pPr>
      <w:r>
        <w:rPr>
          <w:rFonts w:ascii="Times New Roman" w:hAnsi="Times New Roman" w:cs="Times New Roman"/>
          <w:noProof/>
        </w:rPr>
        <w:drawing>
          <wp:inline distT="0" distB="0" distL="0" distR="0" wp14:anchorId="1276CD90" wp14:editId="07871EAB">
            <wp:extent cx="5118970" cy="4158046"/>
            <wp:effectExtent l="0" t="0" r="5715" b="0"/>
            <wp:docPr id="8340570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19851" cy="4158762"/>
                    </a:xfrm>
                    <a:prstGeom prst="rect">
                      <a:avLst/>
                    </a:prstGeom>
                    <a:noFill/>
                    <a:ln>
                      <a:noFill/>
                    </a:ln>
                  </pic:spPr>
                </pic:pic>
              </a:graphicData>
            </a:graphic>
          </wp:inline>
        </w:drawing>
      </w:r>
    </w:p>
    <w:p w14:paraId="4D68A634" w14:textId="60064239" w:rsidR="006D3CA3" w:rsidRPr="006858BB" w:rsidRDefault="006858BB" w:rsidP="009075C7">
      <w:pPr>
        <w:jc w:val="both"/>
        <w:rPr>
          <w:rFonts w:ascii="Times New Roman" w:hAnsi="Times New Roman" w:cs="Times New Roman"/>
          <w:sz w:val="15"/>
          <w:szCs w:val="16"/>
        </w:rPr>
      </w:pPr>
      <w:r w:rsidRPr="006858BB">
        <w:rPr>
          <w:rFonts w:ascii="Times New Roman" w:hAnsi="Times New Roman" w:cs="Times New Roman"/>
          <w:b/>
          <w:bCs/>
          <w:sz w:val="15"/>
          <w:szCs w:val="16"/>
        </w:rPr>
        <w:t>Fig. 1. Baseline benchmark profile.</w:t>
      </w:r>
      <w:r>
        <w:rPr>
          <w:rFonts w:ascii="Times New Roman" w:hAnsi="Times New Roman" w:cs="Times New Roman" w:hint="eastAsia"/>
          <w:sz w:val="15"/>
          <w:szCs w:val="16"/>
        </w:rPr>
        <w:t xml:space="preserve"> </w:t>
      </w:r>
      <w:r w:rsidRPr="006858BB">
        <w:rPr>
          <w:rFonts w:ascii="Times New Roman" w:hAnsi="Times New Roman" w:cs="Times New Roman"/>
          <w:sz w:val="15"/>
          <w:szCs w:val="16"/>
        </w:rPr>
        <w:t>(A) Overall accuracy by model (mean +</w:t>
      </w:r>
      <w:r>
        <w:rPr>
          <w:rFonts w:ascii="Times New Roman" w:hAnsi="Times New Roman" w:cs="Times New Roman" w:hint="eastAsia"/>
          <w:sz w:val="15"/>
          <w:szCs w:val="16"/>
        </w:rPr>
        <w:t>/</w:t>
      </w:r>
      <w:r w:rsidRPr="006858BB">
        <w:rPr>
          <w:rFonts w:ascii="Times New Roman" w:hAnsi="Times New Roman" w:cs="Times New Roman"/>
          <w:sz w:val="15"/>
          <w:szCs w:val="16"/>
        </w:rPr>
        <w:t xml:space="preserve">- 95% CI across 5 trials; 165 items per trial). Bars are colored by model availability (proprietary vs </w:t>
      </w:r>
      <w:proofErr w:type="gramStart"/>
      <w:r w:rsidRPr="006858BB">
        <w:rPr>
          <w:rFonts w:ascii="Times New Roman" w:hAnsi="Times New Roman" w:cs="Times New Roman"/>
          <w:sz w:val="15"/>
          <w:szCs w:val="16"/>
        </w:rPr>
        <w:t>open-weight</w:t>
      </w:r>
      <w:proofErr w:type="gramEnd"/>
      <w:r w:rsidRPr="006858BB">
        <w:rPr>
          <w:rFonts w:ascii="Times New Roman" w:hAnsi="Times New Roman" w:cs="Times New Roman"/>
          <w:sz w:val="15"/>
          <w:szCs w:val="16"/>
        </w:rPr>
        <w:t xml:space="preserve">), and models are ordered by mean accuracy. </w:t>
      </w:r>
      <w:r>
        <w:rPr>
          <w:rFonts w:ascii="Times New Roman" w:hAnsi="Times New Roman" w:cs="Times New Roman" w:hint="eastAsia"/>
          <w:sz w:val="15"/>
          <w:szCs w:val="16"/>
        </w:rPr>
        <w:t xml:space="preserve"> </w:t>
      </w:r>
      <w:r w:rsidRPr="006858BB">
        <w:rPr>
          <w:rFonts w:ascii="Times New Roman" w:hAnsi="Times New Roman" w:cs="Times New Roman"/>
          <w:sz w:val="15"/>
          <w:szCs w:val="16"/>
        </w:rPr>
        <w:t>(B) Model-item stability map under the baseline protocol. Each cell summarizes the number of correct trials for a given model-question pair (0-5) using four discrete categories: robust correct (5/5), probabilistic (3-4/5), guessing/ambiguous (1-2/5), and robust wrong (0/5). Questions are grouped by discipline and sorted within each discipline from easier to harder based on the across-model mean correct count.</w:t>
      </w:r>
    </w:p>
    <w:tbl>
      <w:tblPr>
        <w:tblW w:w="10206" w:type="dxa"/>
        <w:tblInd w:w="-1134" w:type="dxa"/>
        <w:tblLook w:val="04A0" w:firstRow="1" w:lastRow="0" w:firstColumn="1" w:lastColumn="0" w:noHBand="0" w:noVBand="1"/>
      </w:tblPr>
      <w:tblGrid>
        <w:gridCol w:w="2828"/>
        <w:gridCol w:w="1672"/>
        <w:gridCol w:w="909"/>
        <w:gridCol w:w="925"/>
        <w:gridCol w:w="1292"/>
        <w:gridCol w:w="909"/>
        <w:gridCol w:w="1671"/>
      </w:tblGrid>
      <w:tr w:rsidR="007C67F4" w:rsidRPr="007C67F4" w14:paraId="30D8F24D" w14:textId="77777777" w:rsidTr="007C67F4">
        <w:trPr>
          <w:trHeight w:val="249"/>
        </w:trPr>
        <w:tc>
          <w:tcPr>
            <w:tcW w:w="2828" w:type="dxa"/>
            <w:tcBorders>
              <w:top w:val="nil"/>
              <w:left w:val="nil"/>
              <w:bottom w:val="nil"/>
              <w:right w:val="nil"/>
            </w:tcBorders>
            <w:noWrap/>
            <w:vAlign w:val="center"/>
            <w:hideMark/>
          </w:tcPr>
          <w:p w14:paraId="37F044CC"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lastRenderedPageBreak/>
              <w:t>Model</w:t>
            </w:r>
          </w:p>
        </w:tc>
        <w:tc>
          <w:tcPr>
            <w:tcW w:w="1672" w:type="dxa"/>
            <w:tcBorders>
              <w:top w:val="nil"/>
              <w:left w:val="nil"/>
              <w:bottom w:val="nil"/>
              <w:right w:val="nil"/>
            </w:tcBorders>
            <w:noWrap/>
            <w:vAlign w:val="center"/>
            <w:hideMark/>
          </w:tcPr>
          <w:p w14:paraId="178C2559" w14:textId="34D5F004"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Acc</w:t>
            </w:r>
            <w:r>
              <w:rPr>
                <w:rFonts w:ascii="Times New Roman" w:eastAsia="等线" w:hAnsi="Times New Roman" w:cs="Times New Roman" w:hint="eastAsia"/>
                <w:color w:val="000000"/>
                <w:kern w:val="0"/>
                <w:szCs w:val="22"/>
                <w14:ligatures w14:val="none"/>
              </w:rPr>
              <w:t>uracy</w:t>
            </w:r>
            <w:r w:rsidRPr="007C67F4">
              <w:rPr>
                <w:rFonts w:ascii="Times New Roman" w:eastAsia="等线" w:hAnsi="Times New Roman" w:cs="Times New Roman"/>
                <w:color w:val="000000"/>
                <w:kern w:val="0"/>
                <w:szCs w:val="22"/>
                <w14:ligatures w14:val="none"/>
              </w:rPr>
              <w:t xml:space="preserve"> (%, mean±95% CI)</w:t>
            </w:r>
          </w:p>
        </w:tc>
        <w:tc>
          <w:tcPr>
            <w:tcW w:w="909" w:type="dxa"/>
            <w:tcBorders>
              <w:top w:val="nil"/>
              <w:left w:val="nil"/>
              <w:bottom w:val="nil"/>
              <w:right w:val="nil"/>
            </w:tcBorders>
            <w:noWrap/>
            <w:vAlign w:val="center"/>
            <w:hideMark/>
          </w:tcPr>
          <w:p w14:paraId="768175A2" w14:textId="645B875A"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Pr>
                <w:rFonts w:ascii="Times New Roman" w:hAnsi="Times New Roman" w:cs="Times New Roman" w:hint="eastAsia"/>
              </w:rPr>
              <w:t>Fleiss</w:t>
            </w:r>
            <w:r>
              <w:rPr>
                <w:rFonts w:ascii="Times New Roman" w:hAnsi="Times New Roman" w:cs="Times New Roman"/>
              </w:rPr>
              <w:t>’</w:t>
            </w:r>
            <w:r>
              <w:rPr>
                <w:rFonts w:ascii="Times New Roman" w:hAnsi="Times New Roman" w:cs="Times New Roman" w:hint="eastAsia"/>
              </w:rPr>
              <w:t xml:space="preserve">s </w:t>
            </w:r>
            <w:r w:rsidRPr="003C3315">
              <w:rPr>
                <w:rFonts w:ascii="Times New Roman" w:hAnsi="Times New Roman" w:cs="Times New Roman"/>
              </w:rPr>
              <w:t>κ</w:t>
            </w:r>
          </w:p>
        </w:tc>
        <w:tc>
          <w:tcPr>
            <w:tcW w:w="925" w:type="dxa"/>
            <w:tcBorders>
              <w:top w:val="nil"/>
              <w:left w:val="nil"/>
              <w:bottom w:val="nil"/>
              <w:right w:val="nil"/>
            </w:tcBorders>
            <w:noWrap/>
            <w:vAlign w:val="center"/>
            <w:hideMark/>
          </w:tcPr>
          <w:p w14:paraId="5F8AD1CB"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Entropy (bits)</w:t>
            </w:r>
          </w:p>
        </w:tc>
        <w:tc>
          <w:tcPr>
            <w:tcW w:w="1292" w:type="dxa"/>
            <w:tcBorders>
              <w:top w:val="nil"/>
              <w:left w:val="nil"/>
              <w:bottom w:val="nil"/>
              <w:right w:val="nil"/>
            </w:tcBorders>
            <w:noWrap/>
            <w:vAlign w:val="center"/>
            <w:hideMark/>
          </w:tcPr>
          <w:p w14:paraId="6B9F4205"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Consistency (%)</w:t>
            </w:r>
          </w:p>
        </w:tc>
        <w:tc>
          <w:tcPr>
            <w:tcW w:w="909" w:type="dxa"/>
            <w:tcBorders>
              <w:top w:val="nil"/>
              <w:left w:val="nil"/>
              <w:bottom w:val="nil"/>
              <w:right w:val="nil"/>
            </w:tcBorders>
            <w:noWrap/>
            <w:vAlign w:val="center"/>
            <w:hideMark/>
          </w:tcPr>
          <w:p w14:paraId="57B49B86"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Wrong 0/5 (n)</w:t>
            </w:r>
          </w:p>
        </w:tc>
        <w:tc>
          <w:tcPr>
            <w:tcW w:w="1671" w:type="dxa"/>
            <w:tcBorders>
              <w:top w:val="nil"/>
              <w:left w:val="nil"/>
              <w:bottom w:val="nil"/>
              <w:right w:val="nil"/>
            </w:tcBorders>
            <w:noWrap/>
            <w:vAlign w:val="center"/>
            <w:hideMark/>
          </w:tcPr>
          <w:p w14:paraId="46BF3820"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Clin-Basic (pp)</w:t>
            </w:r>
          </w:p>
        </w:tc>
      </w:tr>
      <w:tr w:rsidR="007C67F4" w:rsidRPr="007C67F4" w14:paraId="15ABD464" w14:textId="77777777" w:rsidTr="007C67F4">
        <w:trPr>
          <w:trHeight w:val="249"/>
        </w:trPr>
        <w:tc>
          <w:tcPr>
            <w:tcW w:w="2828" w:type="dxa"/>
            <w:tcBorders>
              <w:top w:val="nil"/>
              <w:left w:val="nil"/>
              <w:bottom w:val="nil"/>
              <w:right w:val="nil"/>
            </w:tcBorders>
            <w:noWrap/>
            <w:vAlign w:val="center"/>
            <w:hideMark/>
          </w:tcPr>
          <w:p w14:paraId="0DD4432D"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Gemini 3 Pro Preview</w:t>
            </w:r>
          </w:p>
        </w:tc>
        <w:tc>
          <w:tcPr>
            <w:tcW w:w="1672" w:type="dxa"/>
            <w:tcBorders>
              <w:top w:val="nil"/>
              <w:left w:val="nil"/>
              <w:bottom w:val="nil"/>
              <w:right w:val="nil"/>
            </w:tcBorders>
            <w:noWrap/>
            <w:vAlign w:val="center"/>
            <w:hideMark/>
          </w:tcPr>
          <w:p w14:paraId="2321C89A"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93.94±0.00</w:t>
            </w:r>
          </w:p>
        </w:tc>
        <w:tc>
          <w:tcPr>
            <w:tcW w:w="909" w:type="dxa"/>
            <w:tcBorders>
              <w:top w:val="nil"/>
              <w:left w:val="nil"/>
              <w:bottom w:val="nil"/>
              <w:right w:val="nil"/>
            </w:tcBorders>
            <w:noWrap/>
            <w:vAlign w:val="center"/>
            <w:hideMark/>
          </w:tcPr>
          <w:p w14:paraId="621978B6"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1</w:t>
            </w:r>
          </w:p>
        </w:tc>
        <w:tc>
          <w:tcPr>
            <w:tcW w:w="925" w:type="dxa"/>
            <w:tcBorders>
              <w:top w:val="nil"/>
              <w:left w:val="nil"/>
              <w:bottom w:val="nil"/>
              <w:right w:val="nil"/>
            </w:tcBorders>
            <w:noWrap/>
            <w:vAlign w:val="center"/>
            <w:hideMark/>
          </w:tcPr>
          <w:p w14:paraId="0638C3E0"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w:t>
            </w:r>
          </w:p>
        </w:tc>
        <w:tc>
          <w:tcPr>
            <w:tcW w:w="1292" w:type="dxa"/>
            <w:tcBorders>
              <w:top w:val="nil"/>
              <w:left w:val="nil"/>
              <w:bottom w:val="nil"/>
              <w:right w:val="nil"/>
            </w:tcBorders>
            <w:noWrap/>
            <w:vAlign w:val="center"/>
            <w:hideMark/>
          </w:tcPr>
          <w:p w14:paraId="4ABF0F1D"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100</w:t>
            </w:r>
          </w:p>
        </w:tc>
        <w:tc>
          <w:tcPr>
            <w:tcW w:w="909" w:type="dxa"/>
            <w:tcBorders>
              <w:top w:val="nil"/>
              <w:left w:val="nil"/>
              <w:bottom w:val="nil"/>
              <w:right w:val="nil"/>
            </w:tcBorders>
            <w:noWrap/>
            <w:vAlign w:val="center"/>
            <w:hideMark/>
          </w:tcPr>
          <w:p w14:paraId="1EB3A1DB"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10</w:t>
            </w:r>
          </w:p>
        </w:tc>
        <w:tc>
          <w:tcPr>
            <w:tcW w:w="1671" w:type="dxa"/>
            <w:tcBorders>
              <w:top w:val="nil"/>
              <w:left w:val="nil"/>
              <w:bottom w:val="nil"/>
              <w:right w:val="nil"/>
            </w:tcBorders>
            <w:noWrap/>
            <w:vAlign w:val="center"/>
            <w:hideMark/>
          </w:tcPr>
          <w:p w14:paraId="6C550B9F"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4.8</w:t>
            </w:r>
          </w:p>
        </w:tc>
      </w:tr>
      <w:tr w:rsidR="007C67F4" w:rsidRPr="007C67F4" w14:paraId="2E113CFA" w14:textId="77777777" w:rsidTr="007C67F4">
        <w:trPr>
          <w:trHeight w:val="249"/>
        </w:trPr>
        <w:tc>
          <w:tcPr>
            <w:tcW w:w="2828" w:type="dxa"/>
            <w:tcBorders>
              <w:top w:val="nil"/>
              <w:left w:val="nil"/>
              <w:bottom w:val="nil"/>
              <w:right w:val="nil"/>
            </w:tcBorders>
            <w:noWrap/>
            <w:vAlign w:val="center"/>
            <w:hideMark/>
          </w:tcPr>
          <w:p w14:paraId="7BFFBD17"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Qwen3 Max</w:t>
            </w:r>
          </w:p>
        </w:tc>
        <w:tc>
          <w:tcPr>
            <w:tcW w:w="1672" w:type="dxa"/>
            <w:tcBorders>
              <w:top w:val="nil"/>
              <w:left w:val="nil"/>
              <w:bottom w:val="nil"/>
              <w:right w:val="nil"/>
            </w:tcBorders>
            <w:noWrap/>
            <w:vAlign w:val="center"/>
            <w:hideMark/>
          </w:tcPr>
          <w:p w14:paraId="1D062779"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85.94±0.63</w:t>
            </w:r>
          </w:p>
        </w:tc>
        <w:tc>
          <w:tcPr>
            <w:tcW w:w="909" w:type="dxa"/>
            <w:tcBorders>
              <w:top w:val="nil"/>
              <w:left w:val="nil"/>
              <w:bottom w:val="nil"/>
              <w:right w:val="nil"/>
            </w:tcBorders>
            <w:noWrap/>
            <w:vAlign w:val="center"/>
            <w:hideMark/>
          </w:tcPr>
          <w:p w14:paraId="10251A36"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0.953</w:t>
            </w:r>
          </w:p>
        </w:tc>
        <w:tc>
          <w:tcPr>
            <w:tcW w:w="925" w:type="dxa"/>
            <w:tcBorders>
              <w:top w:val="nil"/>
              <w:left w:val="nil"/>
              <w:bottom w:val="nil"/>
              <w:right w:val="nil"/>
            </w:tcBorders>
            <w:noWrap/>
            <w:vAlign w:val="center"/>
            <w:hideMark/>
          </w:tcPr>
          <w:p w14:paraId="7A6B4781"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0.069</w:t>
            </w:r>
          </w:p>
        </w:tc>
        <w:tc>
          <w:tcPr>
            <w:tcW w:w="1292" w:type="dxa"/>
            <w:tcBorders>
              <w:top w:val="nil"/>
              <w:left w:val="nil"/>
              <w:bottom w:val="nil"/>
              <w:right w:val="nil"/>
            </w:tcBorders>
            <w:noWrap/>
            <w:vAlign w:val="center"/>
            <w:hideMark/>
          </w:tcPr>
          <w:p w14:paraId="00A3216B"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92.73</w:t>
            </w:r>
          </w:p>
        </w:tc>
        <w:tc>
          <w:tcPr>
            <w:tcW w:w="909" w:type="dxa"/>
            <w:tcBorders>
              <w:top w:val="nil"/>
              <w:left w:val="nil"/>
              <w:bottom w:val="nil"/>
              <w:right w:val="nil"/>
            </w:tcBorders>
            <w:noWrap/>
            <w:vAlign w:val="center"/>
            <w:hideMark/>
          </w:tcPr>
          <w:p w14:paraId="0D45BB99"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19</w:t>
            </w:r>
          </w:p>
        </w:tc>
        <w:tc>
          <w:tcPr>
            <w:tcW w:w="1671" w:type="dxa"/>
            <w:tcBorders>
              <w:top w:val="nil"/>
              <w:left w:val="nil"/>
              <w:bottom w:val="nil"/>
              <w:right w:val="nil"/>
            </w:tcBorders>
            <w:noWrap/>
            <w:vAlign w:val="center"/>
            <w:hideMark/>
          </w:tcPr>
          <w:p w14:paraId="473A9920"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-6.77</w:t>
            </w:r>
          </w:p>
        </w:tc>
      </w:tr>
      <w:tr w:rsidR="007C67F4" w:rsidRPr="007C67F4" w14:paraId="1ED0ADBD" w14:textId="77777777" w:rsidTr="007C67F4">
        <w:trPr>
          <w:trHeight w:val="249"/>
        </w:trPr>
        <w:tc>
          <w:tcPr>
            <w:tcW w:w="2828" w:type="dxa"/>
            <w:tcBorders>
              <w:top w:val="nil"/>
              <w:left w:val="nil"/>
              <w:bottom w:val="nil"/>
              <w:right w:val="nil"/>
            </w:tcBorders>
            <w:noWrap/>
            <w:vAlign w:val="center"/>
            <w:hideMark/>
          </w:tcPr>
          <w:p w14:paraId="665D049B"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DeepSeek V3.2 Thinking</w:t>
            </w:r>
          </w:p>
        </w:tc>
        <w:tc>
          <w:tcPr>
            <w:tcW w:w="1672" w:type="dxa"/>
            <w:tcBorders>
              <w:top w:val="nil"/>
              <w:left w:val="nil"/>
              <w:bottom w:val="nil"/>
              <w:right w:val="nil"/>
            </w:tcBorders>
            <w:noWrap/>
            <w:vAlign w:val="center"/>
            <w:hideMark/>
          </w:tcPr>
          <w:p w14:paraId="19869A95"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85.33±1.24</w:t>
            </w:r>
          </w:p>
        </w:tc>
        <w:tc>
          <w:tcPr>
            <w:tcW w:w="909" w:type="dxa"/>
            <w:tcBorders>
              <w:top w:val="nil"/>
              <w:left w:val="nil"/>
              <w:bottom w:val="nil"/>
              <w:right w:val="nil"/>
            </w:tcBorders>
            <w:noWrap/>
            <w:vAlign w:val="center"/>
            <w:hideMark/>
          </w:tcPr>
          <w:p w14:paraId="5BE50BA9"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0.932</w:t>
            </w:r>
          </w:p>
        </w:tc>
        <w:tc>
          <w:tcPr>
            <w:tcW w:w="925" w:type="dxa"/>
            <w:tcBorders>
              <w:top w:val="nil"/>
              <w:left w:val="nil"/>
              <w:bottom w:val="nil"/>
              <w:right w:val="nil"/>
            </w:tcBorders>
            <w:noWrap/>
            <w:vAlign w:val="center"/>
            <w:hideMark/>
          </w:tcPr>
          <w:p w14:paraId="7CFD41CF"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0.099</w:t>
            </w:r>
          </w:p>
        </w:tc>
        <w:tc>
          <w:tcPr>
            <w:tcW w:w="1292" w:type="dxa"/>
            <w:tcBorders>
              <w:top w:val="nil"/>
              <w:left w:val="nil"/>
              <w:bottom w:val="nil"/>
              <w:right w:val="nil"/>
            </w:tcBorders>
            <w:noWrap/>
            <w:vAlign w:val="center"/>
            <w:hideMark/>
          </w:tcPr>
          <w:p w14:paraId="1AD2A63A"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89.09</w:t>
            </w:r>
          </w:p>
        </w:tc>
        <w:tc>
          <w:tcPr>
            <w:tcW w:w="909" w:type="dxa"/>
            <w:tcBorders>
              <w:top w:val="nil"/>
              <w:left w:val="nil"/>
              <w:bottom w:val="nil"/>
              <w:right w:val="nil"/>
            </w:tcBorders>
            <w:noWrap/>
            <w:vAlign w:val="center"/>
            <w:hideMark/>
          </w:tcPr>
          <w:p w14:paraId="1E3FB4A5"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16</w:t>
            </w:r>
          </w:p>
        </w:tc>
        <w:tc>
          <w:tcPr>
            <w:tcW w:w="1671" w:type="dxa"/>
            <w:tcBorders>
              <w:top w:val="nil"/>
              <w:left w:val="nil"/>
              <w:bottom w:val="nil"/>
              <w:right w:val="nil"/>
            </w:tcBorders>
            <w:noWrap/>
            <w:vAlign w:val="center"/>
            <w:hideMark/>
          </w:tcPr>
          <w:p w14:paraId="0D01F2EA"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-3.42</w:t>
            </w:r>
          </w:p>
        </w:tc>
      </w:tr>
      <w:tr w:rsidR="007C67F4" w:rsidRPr="007C67F4" w14:paraId="1F4876A3" w14:textId="77777777" w:rsidTr="007C67F4">
        <w:trPr>
          <w:trHeight w:val="249"/>
        </w:trPr>
        <w:tc>
          <w:tcPr>
            <w:tcW w:w="2828" w:type="dxa"/>
            <w:tcBorders>
              <w:top w:val="nil"/>
              <w:left w:val="nil"/>
              <w:bottom w:val="nil"/>
              <w:right w:val="nil"/>
            </w:tcBorders>
            <w:noWrap/>
            <w:vAlign w:val="center"/>
            <w:hideMark/>
          </w:tcPr>
          <w:p w14:paraId="46A5DE03"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proofErr w:type="spellStart"/>
            <w:r w:rsidRPr="007C67F4">
              <w:rPr>
                <w:rFonts w:ascii="Times New Roman" w:eastAsia="等线" w:hAnsi="Times New Roman" w:cs="Times New Roman"/>
                <w:color w:val="000000"/>
                <w:kern w:val="0"/>
                <w:szCs w:val="22"/>
                <w14:ligatures w14:val="none"/>
              </w:rPr>
              <w:t>MiniMax</w:t>
            </w:r>
            <w:proofErr w:type="spellEnd"/>
            <w:r w:rsidRPr="007C67F4">
              <w:rPr>
                <w:rFonts w:ascii="Times New Roman" w:eastAsia="等线" w:hAnsi="Times New Roman" w:cs="Times New Roman"/>
                <w:color w:val="000000"/>
                <w:kern w:val="0"/>
                <w:szCs w:val="22"/>
                <w14:ligatures w14:val="none"/>
              </w:rPr>
              <w:t xml:space="preserve"> M2.1</w:t>
            </w:r>
          </w:p>
        </w:tc>
        <w:tc>
          <w:tcPr>
            <w:tcW w:w="1672" w:type="dxa"/>
            <w:tcBorders>
              <w:top w:val="nil"/>
              <w:left w:val="nil"/>
              <w:bottom w:val="nil"/>
              <w:right w:val="nil"/>
            </w:tcBorders>
            <w:noWrap/>
            <w:vAlign w:val="center"/>
            <w:hideMark/>
          </w:tcPr>
          <w:p w14:paraId="6442F553"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84.36±2.57</w:t>
            </w:r>
          </w:p>
        </w:tc>
        <w:tc>
          <w:tcPr>
            <w:tcW w:w="909" w:type="dxa"/>
            <w:tcBorders>
              <w:top w:val="nil"/>
              <w:left w:val="nil"/>
              <w:bottom w:val="nil"/>
              <w:right w:val="nil"/>
            </w:tcBorders>
            <w:noWrap/>
            <w:vAlign w:val="center"/>
            <w:hideMark/>
          </w:tcPr>
          <w:p w14:paraId="77CA61FE"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0.845</w:t>
            </w:r>
          </w:p>
        </w:tc>
        <w:tc>
          <w:tcPr>
            <w:tcW w:w="925" w:type="dxa"/>
            <w:tcBorders>
              <w:top w:val="nil"/>
              <w:left w:val="nil"/>
              <w:bottom w:val="nil"/>
              <w:right w:val="nil"/>
            </w:tcBorders>
            <w:noWrap/>
            <w:vAlign w:val="center"/>
            <w:hideMark/>
          </w:tcPr>
          <w:p w14:paraId="2A1E3C3E"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0.22</w:t>
            </w:r>
          </w:p>
        </w:tc>
        <w:tc>
          <w:tcPr>
            <w:tcW w:w="1292" w:type="dxa"/>
            <w:tcBorders>
              <w:top w:val="nil"/>
              <w:left w:val="nil"/>
              <w:bottom w:val="nil"/>
              <w:right w:val="nil"/>
            </w:tcBorders>
            <w:noWrap/>
            <w:vAlign w:val="center"/>
            <w:hideMark/>
          </w:tcPr>
          <w:p w14:paraId="64F9F0CF"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75.15</w:t>
            </w:r>
          </w:p>
        </w:tc>
        <w:tc>
          <w:tcPr>
            <w:tcW w:w="909" w:type="dxa"/>
            <w:tcBorders>
              <w:top w:val="nil"/>
              <w:left w:val="nil"/>
              <w:bottom w:val="nil"/>
              <w:right w:val="nil"/>
            </w:tcBorders>
            <w:noWrap/>
            <w:vAlign w:val="center"/>
            <w:hideMark/>
          </w:tcPr>
          <w:p w14:paraId="639830AE"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12</w:t>
            </w:r>
          </w:p>
        </w:tc>
        <w:tc>
          <w:tcPr>
            <w:tcW w:w="1671" w:type="dxa"/>
            <w:tcBorders>
              <w:top w:val="nil"/>
              <w:left w:val="nil"/>
              <w:bottom w:val="nil"/>
              <w:right w:val="nil"/>
            </w:tcBorders>
            <w:noWrap/>
            <w:vAlign w:val="center"/>
            <w:hideMark/>
          </w:tcPr>
          <w:p w14:paraId="60906A3C"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-3.99</w:t>
            </w:r>
          </w:p>
        </w:tc>
      </w:tr>
      <w:tr w:rsidR="007C67F4" w:rsidRPr="007C67F4" w14:paraId="67DFB019" w14:textId="77777777" w:rsidTr="007C67F4">
        <w:trPr>
          <w:trHeight w:val="249"/>
        </w:trPr>
        <w:tc>
          <w:tcPr>
            <w:tcW w:w="2828" w:type="dxa"/>
            <w:tcBorders>
              <w:top w:val="nil"/>
              <w:left w:val="nil"/>
              <w:bottom w:val="nil"/>
              <w:right w:val="nil"/>
            </w:tcBorders>
            <w:noWrap/>
            <w:vAlign w:val="center"/>
            <w:hideMark/>
          </w:tcPr>
          <w:p w14:paraId="39FC01D7"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Kimi K2 Thinking</w:t>
            </w:r>
          </w:p>
        </w:tc>
        <w:tc>
          <w:tcPr>
            <w:tcW w:w="1672" w:type="dxa"/>
            <w:tcBorders>
              <w:top w:val="nil"/>
              <w:left w:val="nil"/>
              <w:bottom w:val="nil"/>
              <w:right w:val="nil"/>
            </w:tcBorders>
            <w:noWrap/>
            <w:vAlign w:val="center"/>
            <w:hideMark/>
          </w:tcPr>
          <w:p w14:paraId="13DF588B"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83.76±1.45</w:t>
            </w:r>
          </w:p>
        </w:tc>
        <w:tc>
          <w:tcPr>
            <w:tcW w:w="909" w:type="dxa"/>
            <w:tcBorders>
              <w:top w:val="nil"/>
              <w:left w:val="nil"/>
              <w:bottom w:val="nil"/>
              <w:right w:val="nil"/>
            </w:tcBorders>
            <w:noWrap/>
            <w:vAlign w:val="center"/>
            <w:hideMark/>
          </w:tcPr>
          <w:p w14:paraId="7A549240"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0.879</w:t>
            </w:r>
          </w:p>
        </w:tc>
        <w:tc>
          <w:tcPr>
            <w:tcW w:w="925" w:type="dxa"/>
            <w:tcBorders>
              <w:top w:val="nil"/>
              <w:left w:val="nil"/>
              <w:bottom w:val="nil"/>
              <w:right w:val="nil"/>
            </w:tcBorders>
            <w:noWrap/>
            <w:vAlign w:val="center"/>
            <w:hideMark/>
          </w:tcPr>
          <w:p w14:paraId="197BA593"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0.182</w:t>
            </w:r>
          </w:p>
        </w:tc>
        <w:tc>
          <w:tcPr>
            <w:tcW w:w="1292" w:type="dxa"/>
            <w:tcBorders>
              <w:top w:val="nil"/>
              <w:left w:val="nil"/>
              <w:bottom w:val="nil"/>
              <w:right w:val="nil"/>
            </w:tcBorders>
            <w:noWrap/>
            <w:vAlign w:val="center"/>
            <w:hideMark/>
          </w:tcPr>
          <w:p w14:paraId="378BC9DA"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81.82</w:t>
            </w:r>
          </w:p>
        </w:tc>
        <w:tc>
          <w:tcPr>
            <w:tcW w:w="909" w:type="dxa"/>
            <w:tcBorders>
              <w:top w:val="nil"/>
              <w:left w:val="nil"/>
              <w:bottom w:val="nil"/>
              <w:right w:val="nil"/>
            </w:tcBorders>
            <w:noWrap/>
            <w:vAlign w:val="center"/>
            <w:hideMark/>
          </w:tcPr>
          <w:p w14:paraId="08CB74AF"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14</w:t>
            </w:r>
          </w:p>
        </w:tc>
        <w:tc>
          <w:tcPr>
            <w:tcW w:w="1671" w:type="dxa"/>
            <w:tcBorders>
              <w:top w:val="nil"/>
              <w:left w:val="nil"/>
              <w:bottom w:val="nil"/>
              <w:right w:val="nil"/>
            </w:tcBorders>
            <w:noWrap/>
            <w:vAlign w:val="center"/>
            <w:hideMark/>
          </w:tcPr>
          <w:p w14:paraId="004811CE"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-4.85</w:t>
            </w:r>
          </w:p>
        </w:tc>
      </w:tr>
      <w:tr w:rsidR="007C67F4" w:rsidRPr="007C67F4" w14:paraId="34170BE6" w14:textId="77777777" w:rsidTr="007C67F4">
        <w:trPr>
          <w:trHeight w:val="249"/>
        </w:trPr>
        <w:tc>
          <w:tcPr>
            <w:tcW w:w="2828" w:type="dxa"/>
            <w:tcBorders>
              <w:top w:val="nil"/>
              <w:left w:val="nil"/>
              <w:bottom w:val="nil"/>
              <w:right w:val="nil"/>
            </w:tcBorders>
            <w:noWrap/>
            <w:vAlign w:val="center"/>
            <w:hideMark/>
          </w:tcPr>
          <w:p w14:paraId="0B73ABFE"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GPT-5.2</w:t>
            </w:r>
          </w:p>
        </w:tc>
        <w:tc>
          <w:tcPr>
            <w:tcW w:w="1672" w:type="dxa"/>
            <w:tcBorders>
              <w:top w:val="nil"/>
              <w:left w:val="nil"/>
              <w:bottom w:val="nil"/>
              <w:right w:val="nil"/>
            </w:tcBorders>
            <w:noWrap/>
            <w:vAlign w:val="center"/>
            <w:hideMark/>
          </w:tcPr>
          <w:p w14:paraId="6F99E944"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81.70±1.87</w:t>
            </w:r>
          </w:p>
        </w:tc>
        <w:tc>
          <w:tcPr>
            <w:tcW w:w="909" w:type="dxa"/>
            <w:tcBorders>
              <w:top w:val="nil"/>
              <w:left w:val="nil"/>
              <w:bottom w:val="nil"/>
              <w:right w:val="nil"/>
            </w:tcBorders>
            <w:noWrap/>
            <w:vAlign w:val="center"/>
            <w:hideMark/>
          </w:tcPr>
          <w:p w14:paraId="7E96C62B"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0.924</w:t>
            </w:r>
          </w:p>
        </w:tc>
        <w:tc>
          <w:tcPr>
            <w:tcW w:w="925" w:type="dxa"/>
            <w:tcBorders>
              <w:top w:val="nil"/>
              <w:left w:val="nil"/>
              <w:bottom w:val="nil"/>
              <w:right w:val="nil"/>
            </w:tcBorders>
            <w:noWrap/>
            <w:vAlign w:val="center"/>
            <w:hideMark/>
          </w:tcPr>
          <w:p w14:paraId="793D522F"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0.109</w:t>
            </w:r>
          </w:p>
        </w:tc>
        <w:tc>
          <w:tcPr>
            <w:tcW w:w="1292" w:type="dxa"/>
            <w:tcBorders>
              <w:top w:val="nil"/>
              <w:left w:val="nil"/>
              <w:bottom w:val="nil"/>
              <w:right w:val="nil"/>
            </w:tcBorders>
            <w:noWrap/>
            <w:vAlign w:val="center"/>
            <w:hideMark/>
          </w:tcPr>
          <w:p w14:paraId="4086CAF0"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87.88</w:t>
            </w:r>
          </w:p>
        </w:tc>
        <w:tc>
          <w:tcPr>
            <w:tcW w:w="909" w:type="dxa"/>
            <w:tcBorders>
              <w:top w:val="nil"/>
              <w:left w:val="nil"/>
              <w:bottom w:val="nil"/>
              <w:right w:val="nil"/>
            </w:tcBorders>
            <w:noWrap/>
            <w:vAlign w:val="center"/>
            <w:hideMark/>
          </w:tcPr>
          <w:p w14:paraId="0E242864"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21</w:t>
            </w:r>
          </w:p>
        </w:tc>
        <w:tc>
          <w:tcPr>
            <w:tcW w:w="1671" w:type="dxa"/>
            <w:tcBorders>
              <w:top w:val="nil"/>
              <w:left w:val="nil"/>
              <w:bottom w:val="nil"/>
              <w:right w:val="nil"/>
            </w:tcBorders>
            <w:noWrap/>
            <w:vAlign w:val="center"/>
            <w:hideMark/>
          </w:tcPr>
          <w:p w14:paraId="1C2E3795"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-3.72</w:t>
            </w:r>
          </w:p>
        </w:tc>
      </w:tr>
      <w:tr w:rsidR="007C67F4" w:rsidRPr="007C67F4" w14:paraId="5CFEC1D1" w14:textId="77777777" w:rsidTr="007C67F4">
        <w:trPr>
          <w:trHeight w:val="249"/>
        </w:trPr>
        <w:tc>
          <w:tcPr>
            <w:tcW w:w="2828" w:type="dxa"/>
            <w:tcBorders>
              <w:top w:val="nil"/>
              <w:left w:val="nil"/>
              <w:bottom w:val="nil"/>
              <w:right w:val="nil"/>
            </w:tcBorders>
            <w:noWrap/>
            <w:vAlign w:val="center"/>
            <w:hideMark/>
          </w:tcPr>
          <w:p w14:paraId="733035F1"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Claude Opus 4.5</w:t>
            </w:r>
          </w:p>
        </w:tc>
        <w:tc>
          <w:tcPr>
            <w:tcW w:w="1672" w:type="dxa"/>
            <w:tcBorders>
              <w:top w:val="nil"/>
              <w:left w:val="nil"/>
              <w:bottom w:val="nil"/>
              <w:right w:val="nil"/>
            </w:tcBorders>
            <w:noWrap/>
            <w:vAlign w:val="center"/>
            <w:hideMark/>
          </w:tcPr>
          <w:p w14:paraId="1B925205"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81.45±0.41</w:t>
            </w:r>
          </w:p>
        </w:tc>
        <w:tc>
          <w:tcPr>
            <w:tcW w:w="909" w:type="dxa"/>
            <w:tcBorders>
              <w:top w:val="nil"/>
              <w:left w:val="nil"/>
              <w:bottom w:val="nil"/>
              <w:right w:val="nil"/>
            </w:tcBorders>
            <w:noWrap/>
            <w:vAlign w:val="center"/>
            <w:hideMark/>
          </w:tcPr>
          <w:p w14:paraId="576139D8"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0.987</w:t>
            </w:r>
          </w:p>
        </w:tc>
        <w:tc>
          <w:tcPr>
            <w:tcW w:w="925" w:type="dxa"/>
            <w:tcBorders>
              <w:top w:val="nil"/>
              <w:left w:val="nil"/>
              <w:bottom w:val="nil"/>
              <w:right w:val="nil"/>
            </w:tcBorders>
            <w:noWrap/>
            <w:vAlign w:val="center"/>
            <w:hideMark/>
          </w:tcPr>
          <w:p w14:paraId="47F4FDDE"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0.018</w:t>
            </w:r>
          </w:p>
        </w:tc>
        <w:tc>
          <w:tcPr>
            <w:tcW w:w="1292" w:type="dxa"/>
            <w:tcBorders>
              <w:top w:val="nil"/>
              <w:left w:val="nil"/>
              <w:bottom w:val="nil"/>
              <w:right w:val="nil"/>
            </w:tcBorders>
            <w:noWrap/>
            <w:vAlign w:val="center"/>
            <w:hideMark/>
          </w:tcPr>
          <w:p w14:paraId="1CBC04CB"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98.18</w:t>
            </w:r>
          </w:p>
        </w:tc>
        <w:tc>
          <w:tcPr>
            <w:tcW w:w="909" w:type="dxa"/>
            <w:tcBorders>
              <w:top w:val="nil"/>
              <w:left w:val="nil"/>
              <w:bottom w:val="nil"/>
              <w:right w:val="nil"/>
            </w:tcBorders>
            <w:noWrap/>
            <w:vAlign w:val="center"/>
            <w:hideMark/>
          </w:tcPr>
          <w:p w14:paraId="74109CBC"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29</w:t>
            </w:r>
          </w:p>
        </w:tc>
        <w:tc>
          <w:tcPr>
            <w:tcW w:w="1671" w:type="dxa"/>
            <w:tcBorders>
              <w:top w:val="nil"/>
              <w:left w:val="nil"/>
              <w:bottom w:val="nil"/>
              <w:right w:val="nil"/>
            </w:tcBorders>
            <w:noWrap/>
            <w:vAlign w:val="center"/>
            <w:hideMark/>
          </w:tcPr>
          <w:p w14:paraId="3C59D2F4"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-2.5</w:t>
            </w:r>
          </w:p>
        </w:tc>
      </w:tr>
      <w:tr w:rsidR="007C67F4" w:rsidRPr="007C67F4" w14:paraId="586F8FE3" w14:textId="77777777" w:rsidTr="007C67F4">
        <w:trPr>
          <w:trHeight w:val="249"/>
        </w:trPr>
        <w:tc>
          <w:tcPr>
            <w:tcW w:w="2828" w:type="dxa"/>
            <w:tcBorders>
              <w:top w:val="nil"/>
              <w:left w:val="nil"/>
              <w:bottom w:val="nil"/>
              <w:right w:val="nil"/>
            </w:tcBorders>
            <w:noWrap/>
            <w:vAlign w:val="center"/>
            <w:hideMark/>
          </w:tcPr>
          <w:p w14:paraId="345E4D56"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Qwen3 235B A22B Thinking</w:t>
            </w:r>
          </w:p>
        </w:tc>
        <w:tc>
          <w:tcPr>
            <w:tcW w:w="1672" w:type="dxa"/>
            <w:tcBorders>
              <w:top w:val="nil"/>
              <w:left w:val="nil"/>
              <w:bottom w:val="nil"/>
              <w:right w:val="nil"/>
            </w:tcBorders>
            <w:noWrap/>
            <w:vAlign w:val="center"/>
            <w:hideMark/>
          </w:tcPr>
          <w:p w14:paraId="20C9B0FD"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80.48±0.98</w:t>
            </w:r>
          </w:p>
        </w:tc>
        <w:tc>
          <w:tcPr>
            <w:tcW w:w="909" w:type="dxa"/>
            <w:tcBorders>
              <w:top w:val="nil"/>
              <w:left w:val="nil"/>
              <w:bottom w:val="nil"/>
              <w:right w:val="nil"/>
            </w:tcBorders>
            <w:noWrap/>
            <w:vAlign w:val="center"/>
            <w:hideMark/>
          </w:tcPr>
          <w:p w14:paraId="74979E18"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0.932</w:t>
            </w:r>
          </w:p>
        </w:tc>
        <w:tc>
          <w:tcPr>
            <w:tcW w:w="925" w:type="dxa"/>
            <w:tcBorders>
              <w:top w:val="nil"/>
              <w:left w:val="nil"/>
              <w:bottom w:val="nil"/>
              <w:right w:val="nil"/>
            </w:tcBorders>
            <w:noWrap/>
            <w:vAlign w:val="center"/>
            <w:hideMark/>
          </w:tcPr>
          <w:p w14:paraId="7798E3CB"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0.095</w:t>
            </w:r>
          </w:p>
        </w:tc>
        <w:tc>
          <w:tcPr>
            <w:tcW w:w="1292" w:type="dxa"/>
            <w:tcBorders>
              <w:top w:val="nil"/>
              <w:left w:val="nil"/>
              <w:bottom w:val="nil"/>
              <w:right w:val="nil"/>
            </w:tcBorders>
            <w:noWrap/>
            <w:vAlign w:val="center"/>
            <w:hideMark/>
          </w:tcPr>
          <w:p w14:paraId="3F67E44C"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88.48</w:t>
            </w:r>
          </w:p>
        </w:tc>
        <w:tc>
          <w:tcPr>
            <w:tcW w:w="909" w:type="dxa"/>
            <w:tcBorders>
              <w:top w:val="nil"/>
              <w:left w:val="nil"/>
              <w:bottom w:val="nil"/>
              <w:right w:val="nil"/>
            </w:tcBorders>
            <w:noWrap/>
            <w:vAlign w:val="center"/>
            <w:hideMark/>
          </w:tcPr>
          <w:p w14:paraId="0FAE13B3"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25</w:t>
            </w:r>
          </w:p>
        </w:tc>
        <w:tc>
          <w:tcPr>
            <w:tcW w:w="1671" w:type="dxa"/>
            <w:tcBorders>
              <w:top w:val="nil"/>
              <w:left w:val="nil"/>
              <w:bottom w:val="nil"/>
              <w:right w:val="nil"/>
            </w:tcBorders>
            <w:noWrap/>
            <w:vAlign w:val="center"/>
            <w:hideMark/>
          </w:tcPr>
          <w:p w14:paraId="24367692"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-4.06</w:t>
            </w:r>
          </w:p>
        </w:tc>
      </w:tr>
      <w:tr w:rsidR="007C67F4" w:rsidRPr="007C67F4" w14:paraId="2EE50A31" w14:textId="77777777" w:rsidTr="007C67F4">
        <w:trPr>
          <w:trHeight w:val="249"/>
        </w:trPr>
        <w:tc>
          <w:tcPr>
            <w:tcW w:w="2828" w:type="dxa"/>
            <w:tcBorders>
              <w:top w:val="nil"/>
              <w:left w:val="nil"/>
              <w:bottom w:val="nil"/>
              <w:right w:val="nil"/>
            </w:tcBorders>
            <w:noWrap/>
            <w:vAlign w:val="center"/>
            <w:hideMark/>
          </w:tcPr>
          <w:p w14:paraId="4AEFD0EE"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Qwen3 30B A3B Thinking</w:t>
            </w:r>
          </w:p>
        </w:tc>
        <w:tc>
          <w:tcPr>
            <w:tcW w:w="1672" w:type="dxa"/>
            <w:tcBorders>
              <w:top w:val="nil"/>
              <w:left w:val="nil"/>
              <w:bottom w:val="nil"/>
              <w:right w:val="nil"/>
            </w:tcBorders>
            <w:noWrap/>
            <w:vAlign w:val="center"/>
            <w:hideMark/>
          </w:tcPr>
          <w:p w14:paraId="6D2F0FA7"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79.15±1.37</w:t>
            </w:r>
          </w:p>
        </w:tc>
        <w:tc>
          <w:tcPr>
            <w:tcW w:w="909" w:type="dxa"/>
            <w:tcBorders>
              <w:top w:val="nil"/>
              <w:left w:val="nil"/>
              <w:bottom w:val="nil"/>
              <w:right w:val="nil"/>
            </w:tcBorders>
            <w:noWrap/>
            <w:vAlign w:val="center"/>
            <w:hideMark/>
          </w:tcPr>
          <w:p w14:paraId="417867AA"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0.852</w:t>
            </w:r>
          </w:p>
        </w:tc>
        <w:tc>
          <w:tcPr>
            <w:tcW w:w="925" w:type="dxa"/>
            <w:tcBorders>
              <w:top w:val="nil"/>
              <w:left w:val="nil"/>
              <w:bottom w:val="nil"/>
              <w:right w:val="nil"/>
            </w:tcBorders>
            <w:noWrap/>
            <w:vAlign w:val="center"/>
            <w:hideMark/>
          </w:tcPr>
          <w:p w14:paraId="432DB11C"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0.216</w:t>
            </w:r>
          </w:p>
        </w:tc>
        <w:tc>
          <w:tcPr>
            <w:tcW w:w="1292" w:type="dxa"/>
            <w:tcBorders>
              <w:top w:val="nil"/>
              <w:left w:val="nil"/>
              <w:bottom w:val="nil"/>
              <w:right w:val="nil"/>
            </w:tcBorders>
            <w:noWrap/>
            <w:vAlign w:val="center"/>
            <w:hideMark/>
          </w:tcPr>
          <w:p w14:paraId="4AF05C88"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74.55</w:t>
            </w:r>
          </w:p>
        </w:tc>
        <w:tc>
          <w:tcPr>
            <w:tcW w:w="909" w:type="dxa"/>
            <w:tcBorders>
              <w:top w:val="nil"/>
              <w:left w:val="nil"/>
              <w:bottom w:val="nil"/>
              <w:right w:val="nil"/>
            </w:tcBorders>
            <w:noWrap/>
            <w:vAlign w:val="center"/>
            <w:hideMark/>
          </w:tcPr>
          <w:p w14:paraId="021AB3B0"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22</w:t>
            </w:r>
          </w:p>
        </w:tc>
        <w:tc>
          <w:tcPr>
            <w:tcW w:w="1671" w:type="dxa"/>
            <w:tcBorders>
              <w:top w:val="nil"/>
              <w:left w:val="nil"/>
              <w:bottom w:val="nil"/>
              <w:right w:val="nil"/>
            </w:tcBorders>
            <w:noWrap/>
            <w:vAlign w:val="center"/>
            <w:hideMark/>
          </w:tcPr>
          <w:p w14:paraId="556C1817"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-6.42</w:t>
            </w:r>
          </w:p>
        </w:tc>
      </w:tr>
      <w:tr w:rsidR="007C67F4" w:rsidRPr="007C67F4" w14:paraId="4BD2C717" w14:textId="77777777" w:rsidTr="007C67F4">
        <w:trPr>
          <w:trHeight w:val="249"/>
        </w:trPr>
        <w:tc>
          <w:tcPr>
            <w:tcW w:w="2828" w:type="dxa"/>
            <w:tcBorders>
              <w:top w:val="nil"/>
              <w:left w:val="nil"/>
              <w:bottom w:val="nil"/>
              <w:right w:val="nil"/>
            </w:tcBorders>
            <w:noWrap/>
            <w:vAlign w:val="center"/>
            <w:hideMark/>
          </w:tcPr>
          <w:p w14:paraId="23C4D07F"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GPT OSS 20B</w:t>
            </w:r>
          </w:p>
        </w:tc>
        <w:tc>
          <w:tcPr>
            <w:tcW w:w="1672" w:type="dxa"/>
            <w:tcBorders>
              <w:top w:val="nil"/>
              <w:left w:val="nil"/>
              <w:bottom w:val="nil"/>
              <w:right w:val="nil"/>
            </w:tcBorders>
            <w:noWrap/>
            <w:vAlign w:val="center"/>
            <w:hideMark/>
          </w:tcPr>
          <w:p w14:paraId="507F51AE"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78.42±3.04</w:t>
            </w:r>
          </w:p>
        </w:tc>
        <w:tc>
          <w:tcPr>
            <w:tcW w:w="909" w:type="dxa"/>
            <w:tcBorders>
              <w:top w:val="nil"/>
              <w:left w:val="nil"/>
              <w:bottom w:val="nil"/>
              <w:right w:val="nil"/>
            </w:tcBorders>
            <w:noWrap/>
            <w:vAlign w:val="center"/>
            <w:hideMark/>
          </w:tcPr>
          <w:p w14:paraId="3F6D6D3B"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0.792</w:t>
            </w:r>
          </w:p>
        </w:tc>
        <w:tc>
          <w:tcPr>
            <w:tcW w:w="925" w:type="dxa"/>
            <w:tcBorders>
              <w:top w:val="nil"/>
              <w:left w:val="nil"/>
              <w:bottom w:val="nil"/>
              <w:right w:val="nil"/>
            </w:tcBorders>
            <w:noWrap/>
            <w:vAlign w:val="center"/>
            <w:hideMark/>
          </w:tcPr>
          <w:p w14:paraId="64045549"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0.314</w:t>
            </w:r>
          </w:p>
        </w:tc>
        <w:tc>
          <w:tcPr>
            <w:tcW w:w="1292" w:type="dxa"/>
            <w:tcBorders>
              <w:top w:val="nil"/>
              <w:left w:val="nil"/>
              <w:bottom w:val="nil"/>
              <w:right w:val="nil"/>
            </w:tcBorders>
            <w:noWrap/>
            <w:vAlign w:val="center"/>
            <w:hideMark/>
          </w:tcPr>
          <w:p w14:paraId="1548BE18"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69.7</w:t>
            </w:r>
          </w:p>
        </w:tc>
        <w:tc>
          <w:tcPr>
            <w:tcW w:w="909" w:type="dxa"/>
            <w:tcBorders>
              <w:top w:val="nil"/>
              <w:left w:val="nil"/>
              <w:bottom w:val="nil"/>
              <w:right w:val="nil"/>
            </w:tcBorders>
            <w:noWrap/>
            <w:vAlign w:val="center"/>
            <w:hideMark/>
          </w:tcPr>
          <w:p w14:paraId="22B159C4"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18</w:t>
            </w:r>
          </w:p>
        </w:tc>
        <w:tc>
          <w:tcPr>
            <w:tcW w:w="1671" w:type="dxa"/>
            <w:tcBorders>
              <w:top w:val="nil"/>
              <w:left w:val="nil"/>
              <w:bottom w:val="nil"/>
              <w:right w:val="nil"/>
            </w:tcBorders>
            <w:noWrap/>
            <w:vAlign w:val="center"/>
            <w:hideMark/>
          </w:tcPr>
          <w:p w14:paraId="08CD6CC7"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-0.45</w:t>
            </w:r>
          </w:p>
        </w:tc>
      </w:tr>
      <w:tr w:rsidR="007C67F4" w:rsidRPr="007C67F4" w14:paraId="71F66C55" w14:textId="77777777" w:rsidTr="007C67F4">
        <w:trPr>
          <w:trHeight w:val="249"/>
        </w:trPr>
        <w:tc>
          <w:tcPr>
            <w:tcW w:w="2828" w:type="dxa"/>
            <w:tcBorders>
              <w:top w:val="nil"/>
              <w:left w:val="nil"/>
              <w:bottom w:val="nil"/>
              <w:right w:val="nil"/>
            </w:tcBorders>
            <w:noWrap/>
            <w:vAlign w:val="center"/>
            <w:hideMark/>
          </w:tcPr>
          <w:p w14:paraId="702C8B0E"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GPT OSS 120B</w:t>
            </w:r>
          </w:p>
        </w:tc>
        <w:tc>
          <w:tcPr>
            <w:tcW w:w="1672" w:type="dxa"/>
            <w:tcBorders>
              <w:top w:val="nil"/>
              <w:left w:val="nil"/>
              <w:bottom w:val="nil"/>
              <w:right w:val="nil"/>
            </w:tcBorders>
            <w:noWrap/>
            <w:vAlign w:val="center"/>
            <w:hideMark/>
          </w:tcPr>
          <w:p w14:paraId="77DF7FC9" w14:textId="77777777" w:rsidR="007C67F4" w:rsidRPr="007C67F4" w:rsidRDefault="007C67F4" w:rsidP="007C67F4">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75.64±0.63</w:t>
            </w:r>
          </w:p>
        </w:tc>
        <w:tc>
          <w:tcPr>
            <w:tcW w:w="909" w:type="dxa"/>
            <w:tcBorders>
              <w:top w:val="nil"/>
              <w:left w:val="nil"/>
              <w:bottom w:val="nil"/>
              <w:right w:val="nil"/>
            </w:tcBorders>
            <w:noWrap/>
            <w:vAlign w:val="center"/>
            <w:hideMark/>
          </w:tcPr>
          <w:p w14:paraId="54362AD8"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0.896</w:t>
            </w:r>
          </w:p>
        </w:tc>
        <w:tc>
          <w:tcPr>
            <w:tcW w:w="925" w:type="dxa"/>
            <w:tcBorders>
              <w:top w:val="nil"/>
              <w:left w:val="nil"/>
              <w:bottom w:val="nil"/>
              <w:right w:val="nil"/>
            </w:tcBorders>
            <w:noWrap/>
            <w:vAlign w:val="center"/>
            <w:hideMark/>
          </w:tcPr>
          <w:p w14:paraId="3D167ECE"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0.145</w:t>
            </w:r>
          </w:p>
        </w:tc>
        <w:tc>
          <w:tcPr>
            <w:tcW w:w="1292" w:type="dxa"/>
            <w:tcBorders>
              <w:top w:val="nil"/>
              <w:left w:val="nil"/>
              <w:bottom w:val="nil"/>
              <w:right w:val="nil"/>
            </w:tcBorders>
            <w:noWrap/>
            <w:vAlign w:val="center"/>
            <w:hideMark/>
          </w:tcPr>
          <w:p w14:paraId="230B729D"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83.03</w:t>
            </w:r>
          </w:p>
        </w:tc>
        <w:tc>
          <w:tcPr>
            <w:tcW w:w="909" w:type="dxa"/>
            <w:tcBorders>
              <w:top w:val="nil"/>
              <w:left w:val="nil"/>
              <w:bottom w:val="nil"/>
              <w:right w:val="nil"/>
            </w:tcBorders>
            <w:noWrap/>
            <w:vAlign w:val="center"/>
            <w:hideMark/>
          </w:tcPr>
          <w:p w14:paraId="0938B958"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28</w:t>
            </w:r>
          </w:p>
        </w:tc>
        <w:tc>
          <w:tcPr>
            <w:tcW w:w="1671" w:type="dxa"/>
            <w:tcBorders>
              <w:top w:val="nil"/>
              <w:left w:val="nil"/>
              <w:bottom w:val="nil"/>
              <w:right w:val="nil"/>
            </w:tcBorders>
            <w:noWrap/>
            <w:vAlign w:val="center"/>
            <w:hideMark/>
          </w:tcPr>
          <w:p w14:paraId="602B234F" w14:textId="77777777" w:rsidR="007C67F4" w:rsidRPr="007C67F4" w:rsidRDefault="007C67F4" w:rsidP="007C67F4">
            <w:pPr>
              <w:widowControl/>
              <w:spacing w:after="0" w:line="240" w:lineRule="auto"/>
              <w:jc w:val="right"/>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-9.37</w:t>
            </w:r>
          </w:p>
        </w:tc>
      </w:tr>
    </w:tbl>
    <w:p w14:paraId="5489145F" w14:textId="1944A62A" w:rsidR="006355C0" w:rsidRPr="006B4D0B" w:rsidRDefault="006B4D0B" w:rsidP="00E46B37">
      <w:pPr>
        <w:jc w:val="both"/>
        <w:rPr>
          <w:rFonts w:ascii="Times New Roman" w:hAnsi="Times New Roman" w:cs="Times New Roman" w:hint="eastAsia"/>
          <w:sz w:val="15"/>
          <w:szCs w:val="15"/>
        </w:rPr>
      </w:pPr>
      <w:r w:rsidRPr="006B4D0B">
        <w:rPr>
          <w:rFonts w:ascii="Times New Roman" w:hAnsi="Times New Roman" w:cs="Times New Roman" w:hint="eastAsia"/>
          <w:b/>
          <w:bCs/>
          <w:sz w:val="15"/>
          <w:szCs w:val="15"/>
        </w:rPr>
        <w:t>Table 1. Baseline</w:t>
      </w:r>
      <w:r w:rsidR="00E14CD8" w:rsidRPr="006B4D0B">
        <w:rPr>
          <w:rFonts w:ascii="Times New Roman" w:hAnsi="Times New Roman" w:cs="Times New Roman" w:hint="eastAsia"/>
          <w:b/>
          <w:bCs/>
          <w:sz w:val="15"/>
          <w:szCs w:val="15"/>
        </w:rPr>
        <w:t xml:space="preserve"> model summary metrics on the 165-item CMCA benchmark.</w:t>
      </w:r>
      <w:r w:rsidR="00E14CD8" w:rsidRPr="006B4D0B">
        <w:rPr>
          <w:rFonts w:ascii="Times New Roman" w:hAnsi="Times New Roman" w:cs="Times New Roman" w:hint="eastAsia"/>
          <w:sz w:val="15"/>
          <w:szCs w:val="15"/>
        </w:rPr>
        <w:t xml:space="preserve"> Each model was evaluated under the </w:t>
      </w:r>
      <w:r w:rsidRPr="006B4D0B">
        <w:rPr>
          <w:rFonts w:ascii="Times New Roman" w:hAnsi="Times New Roman" w:cs="Times New Roman" w:hint="eastAsia"/>
          <w:sz w:val="15"/>
          <w:szCs w:val="15"/>
        </w:rPr>
        <w:t>baseline</w:t>
      </w:r>
      <w:r w:rsidR="00E14CD8" w:rsidRPr="006B4D0B">
        <w:rPr>
          <w:rFonts w:ascii="Times New Roman" w:hAnsi="Times New Roman" w:cs="Times New Roman" w:hint="eastAsia"/>
          <w:sz w:val="15"/>
          <w:szCs w:val="15"/>
        </w:rPr>
        <w:t xml:space="preserve"> workflow with five independent repeats covering all 165 items. Models are ordered by </w:t>
      </w:r>
      <w:proofErr w:type="gramStart"/>
      <w:r w:rsidR="00E14CD8" w:rsidRPr="006B4D0B">
        <w:rPr>
          <w:rFonts w:ascii="Times New Roman" w:hAnsi="Times New Roman" w:cs="Times New Roman" w:hint="eastAsia"/>
          <w:sz w:val="15"/>
          <w:szCs w:val="15"/>
        </w:rPr>
        <w:t>mean</w:t>
      </w:r>
      <w:proofErr w:type="gramEnd"/>
      <w:r w:rsidR="00E14CD8" w:rsidRPr="006B4D0B">
        <w:rPr>
          <w:rFonts w:ascii="Times New Roman" w:hAnsi="Times New Roman" w:cs="Times New Roman" w:hint="eastAsia"/>
          <w:sz w:val="15"/>
          <w:szCs w:val="15"/>
        </w:rPr>
        <w:t xml:space="preserve"> accuracy.</w:t>
      </w:r>
    </w:p>
    <w:p w14:paraId="0B8F865B" w14:textId="56E2C414" w:rsidR="005E6DA0" w:rsidRPr="00E46B37" w:rsidRDefault="005E6DA0" w:rsidP="00E46B37">
      <w:pPr>
        <w:jc w:val="both"/>
        <w:rPr>
          <w:rFonts w:ascii="Times New Roman" w:hAnsi="Times New Roman" w:cs="Times New Roman"/>
        </w:rPr>
      </w:pPr>
      <w:r w:rsidRPr="00E46B37">
        <w:rPr>
          <w:rFonts w:ascii="Times New Roman" w:hAnsi="Times New Roman" w:cs="Times New Roman"/>
        </w:rPr>
        <w:t>Reliability and uncertainty</w:t>
      </w:r>
      <w:r w:rsidR="00E46B37">
        <w:rPr>
          <w:rFonts w:ascii="Times New Roman" w:hAnsi="Times New Roman" w:cs="Times New Roman" w:hint="eastAsia"/>
        </w:rPr>
        <w:t>:</w:t>
      </w:r>
      <w:r w:rsidRPr="00E46B37">
        <w:rPr>
          <w:rFonts w:ascii="Times New Roman" w:hAnsi="Times New Roman" w:cs="Times New Roman"/>
        </w:rPr>
        <w:t xml:space="preserve"> Accuracy </w:t>
      </w:r>
      <w:r w:rsidR="00A950BB">
        <w:rPr>
          <w:rFonts w:ascii="Times New Roman" w:hAnsi="Times New Roman" w:cs="Times New Roman" w:hint="eastAsia"/>
        </w:rPr>
        <w:t xml:space="preserve">metrics </w:t>
      </w:r>
      <w:r w:rsidRPr="00E46B37">
        <w:rPr>
          <w:rFonts w:ascii="Times New Roman" w:hAnsi="Times New Roman" w:cs="Times New Roman"/>
        </w:rPr>
        <w:t xml:space="preserve">alone masked substantial instability. </w:t>
      </w:r>
      <w:r w:rsidR="00A950BB">
        <w:rPr>
          <w:rFonts w:ascii="Times New Roman" w:hAnsi="Times New Roman" w:cs="Times New Roman" w:hint="eastAsia"/>
        </w:rPr>
        <w:t xml:space="preserve">While top-tier models were consistent, broader analysis showed </w:t>
      </w:r>
      <w:r w:rsidRPr="00E46B37">
        <w:rPr>
          <w:rFonts w:ascii="Times New Roman" w:hAnsi="Times New Roman" w:cs="Times New Roman"/>
        </w:rPr>
        <w:t>Fleiss’ κ rang</w:t>
      </w:r>
      <w:r w:rsidR="00A950BB">
        <w:rPr>
          <w:rFonts w:ascii="Times New Roman" w:hAnsi="Times New Roman" w:cs="Times New Roman" w:hint="eastAsia"/>
        </w:rPr>
        <w:t>ing</w:t>
      </w:r>
      <w:r w:rsidRPr="00E46B37">
        <w:rPr>
          <w:rFonts w:ascii="Times New Roman" w:hAnsi="Times New Roman" w:cs="Times New Roman"/>
        </w:rPr>
        <w:t xml:space="preserve"> from 0.792 to 1.000</w:t>
      </w:r>
      <w:r w:rsidR="00E46B37">
        <w:rPr>
          <w:rFonts w:ascii="Times New Roman" w:hAnsi="Times New Roman" w:cs="Times New Roman"/>
        </w:rPr>
        <w:t>,</w:t>
      </w:r>
      <w:r w:rsidRPr="00E46B37">
        <w:rPr>
          <w:rFonts w:ascii="Times New Roman" w:hAnsi="Times New Roman" w:cs="Times New Roman"/>
        </w:rPr>
        <w:t xml:space="preserve"> and mean output entropy from 0.000 to 0.314 bits (Supplementary Fig. S2 and S4; Table 1). Across models, 95% CI half-widths ranged from 0.00% to 3.04%, strict answer consistency from 69.70% to 100%, and stable-wrong items (0/5 correct) from 10 to 29 per model (Table 1).</w:t>
      </w:r>
    </w:p>
    <w:p w14:paraId="1B60D22B" w14:textId="3E1498C9" w:rsidR="005E6DA0" w:rsidRPr="003814F4" w:rsidRDefault="005E6DA0" w:rsidP="003814F4">
      <w:pPr>
        <w:jc w:val="both"/>
        <w:rPr>
          <w:rFonts w:ascii="Times New Roman" w:hAnsi="Times New Roman" w:cs="Times New Roman"/>
        </w:rPr>
      </w:pPr>
      <w:r w:rsidRPr="00E46B37">
        <w:rPr>
          <w:rFonts w:ascii="Times New Roman" w:hAnsi="Times New Roman" w:cs="Times New Roman"/>
        </w:rPr>
        <w:t>Domain and item-level diagnosis</w:t>
      </w:r>
      <w:r w:rsidR="00E46B37">
        <w:rPr>
          <w:rFonts w:ascii="Times New Roman" w:hAnsi="Times New Roman" w:cs="Times New Roman" w:hint="eastAsia"/>
        </w:rPr>
        <w:t>:</w:t>
      </w:r>
      <w:r w:rsidRPr="00E46B37">
        <w:rPr>
          <w:rFonts w:ascii="Times New Roman" w:hAnsi="Times New Roman" w:cs="Times New Roman"/>
        </w:rPr>
        <w:t xml:space="preserve"> </w:t>
      </w:r>
      <w:r w:rsidR="00A950BB" w:rsidRPr="00A950BB">
        <w:rPr>
          <w:rFonts w:ascii="Times New Roman" w:hAnsi="Times New Roman" w:cs="Times New Roman"/>
        </w:rPr>
        <w:t>Stratification by medical discipline revealed systematic imbalances. The accuracy gap between Clinical disciplines and Basic Sciences ranged from -9.37 to +4.80 percentage point</w:t>
      </w:r>
      <w:r w:rsidR="00A950BB">
        <w:rPr>
          <w:rFonts w:ascii="Times New Roman" w:hAnsi="Times New Roman" w:cs="Times New Roman" w:hint="eastAsia"/>
        </w:rPr>
        <w:t>s</w:t>
      </w:r>
      <w:r w:rsidRPr="00E46B37">
        <w:rPr>
          <w:rFonts w:ascii="Times New Roman" w:hAnsi="Times New Roman" w:cs="Times New Roman"/>
        </w:rPr>
        <w:t xml:space="preserve"> (Supplementary Fig. S3; Table 1). </w:t>
      </w:r>
      <w:r w:rsidR="00A950BB" w:rsidRPr="00A950BB">
        <w:rPr>
          <w:rFonts w:ascii="Times New Roman" w:hAnsi="Times New Roman" w:cs="Times New Roman"/>
        </w:rPr>
        <w:t>Item-level stability maps identified shared blind spots: five items were universally failed by all models in all trials</w:t>
      </w:r>
      <w:r w:rsidRPr="00E46B37">
        <w:rPr>
          <w:rFonts w:ascii="Times New Roman" w:hAnsi="Times New Roman" w:cs="Times New Roman"/>
        </w:rPr>
        <w:t xml:space="preserve"> (</w:t>
      </w:r>
      <w:r w:rsidR="00A950BB">
        <w:rPr>
          <w:rFonts w:ascii="Times New Roman" w:hAnsi="Times New Roman" w:cs="Times New Roman" w:hint="eastAsia"/>
        </w:rPr>
        <w:t>A</w:t>
      </w:r>
      <w:r w:rsidRPr="00E46B37">
        <w:rPr>
          <w:rFonts w:ascii="Times New Roman" w:hAnsi="Times New Roman" w:cs="Times New Roman"/>
        </w:rPr>
        <w:t xml:space="preserve">bsolute cold spots: </w:t>
      </w:r>
      <w:r w:rsidR="003814F4">
        <w:rPr>
          <w:rFonts w:ascii="Times New Roman" w:hAnsi="Times New Roman" w:cs="Times New Roman" w:hint="eastAsia"/>
        </w:rPr>
        <w:t>item</w:t>
      </w:r>
      <w:r w:rsidR="00A950BB">
        <w:rPr>
          <w:rFonts w:ascii="Times New Roman" w:hAnsi="Times New Roman" w:cs="Times New Roman" w:hint="eastAsia"/>
        </w:rPr>
        <w:t>s</w:t>
      </w:r>
      <w:r w:rsidR="003814F4">
        <w:rPr>
          <w:rFonts w:ascii="Times New Roman" w:hAnsi="Times New Roman" w:cs="Times New Roman" w:hint="eastAsia"/>
        </w:rPr>
        <w:t xml:space="preserve"> </w:t>
      </w:r>
      <w:r w:rsidRPr="00E46B37">
        <w:rPr>
          <w:rFonts w:ascii="Times New Roman" w:hAnsi="Times New Roman" w:cs="Times New Roman"/>
        </w:rPr>
        <w:t xml:space="preserve">7, 9, 35, 39, 42; Fig. </w:t>
      </w:r>
      <w:r w:rsidR="00844540">
        <w:rPr>
          <w:rFonts w:ascii="Times New Roman" w:hAnsi="Times New Roman" w:cs="Times New Roman" w:hint="eastAsia"/>
        </w:rPr>
        <w:t>1B</w:t>
      </w:r>
      <w:r w:rsidRPr="00E46B37">
        <w:rPr>
          <w:rFonts w:ascii="Times New Roman" w:hAnsi="Times New Roman" w:cs="Times New Roman"/>
        </w:rPr>
        <w:t>). Within this set, items 7, 9, and 39 exhibited a “confident failure” pattern across all models (entropy = 0 and 0/5 correct), indicating universal and highly stable misconceptions (Supplementary Fig. S4 and S7).</w:t>
      </w:r>
    </w:p>
    <w:p w14:paraId="72524F94" w14:textId="47B82C55" w:rsidR="005E6DA0" w:rsidRPr="003814F4" w:rsidRDefault="003814F4" w:rsidP="003814F4">
      <w:pPr>
        <w:pStyle w:val="a9"/>
        <w:widowControl/>
        <w:numPr>
          <w:ilvl w:val="1"/>
          <w:numId w:val="5"/>
        </w:numPr>
        <w:shd w:val="clear" w:color="auto" w:fill="FFFFFF"/>
        <w:spacing w:after="0" w:line="285" w:lineRule="atLeast"/>
        <w:jc w:val="both"/>
        <w:rPr>
          <w:rFonts w:ascii="Consolas" w:eastAsia="宋体" w:hAnsi="Consolas" w:cs="宋体"/>
          <w:color w:val="3B3B3B"/>
          <w:kern w:val="0"/>
          <w:sz w:val="21"/>
          <w:szCs w:val="21"/>
          <w14:ligatures w14:val="none"/>
        </w:rPr>
      </w:pPr>
      <w:r>
        <w:rPr>
          <w:rFonts w:ascii="Times New Roman" w:eastAsia="宋体" w:hAnsi="Times New Roman" w:cs="Times New Roman" w:hint="eastAsia"/>
          <w:b/>
          <w:bCs/>
          <w:kern w:val="0"/>
          <w:sz w:val="24"/>
          <w14:ligatures w14:val="none"/>
        </w:rPr>
        <w:t xml:space="preserve"> </w:t>
      </w:r>
      <w:r w:rsidR="005E6DA0" w:rsidRPr="003814F4">
        <w:rPr>
          <w:rFonts w:ascii="Times New Roman" w:eastAsia="宋体" w:hAnsi="Times New Roman" w:cs="Times New Roman"/>
          <w:b/>
          <w:bCs/>
          <w:kern w:val="0"/>
          <w:sz w:val="24"/>
          <w14:ligatures w14:val="none"/>
        </w:rPr>
        <w:t>Agentic benchmark profile</w:t>
      </w:r>
    </w:p>
    <w:p w14:paraId="0BF00254" w14:textId="324C8D6D" w:rsidR="005E6DA0" w:rsidRDefault="005E6DA0" w:rsidP="003B65AE">
      <w:pPr>
        <w:jc w:val="both"/>
        <w:rPr>
          <w:rFonts w:ascii="Times New Roman" w:hAnsi="Times New Roman" w:cs="Times New Roman"/>
        </w:rPr>
      </w:pPr>
      <w:r w:rsidRPr="003814F4">
        <w:rPr>
          <w:rFonts w:ascii="Times New Roman" w:hAnsi="Times New Roman" w:cs="Times New Roman"/>
        </w:rPr>
        <w:t>Performance shifts</w:t>
      </w:r>
      <w:r w:rsidR="003814F4">
        <w:rPr>
          <w:rFonts w:ascii="Times New Roman" w:hAnsi="Times New Roman" w:cs="Times New Roman" w:hint="eastAsia"/>
        </w:rPr>
        <w:t>:</w:t>
      </w:r>
      <w:r w:rsidRPr="003814F4">
        <w:rPr>
          <w:rFonts w:ascii="Times New Roman" w:hAnsi="Times New Roman" w:cs="Times New Roman"/>
        </w:rPr>
        <w:t xml:space="preserve"> Under the agentic workflow, mean accuracy ranged from 70.42% to 90.30% (Fig. </w:t>
      </w:r>
      <w:r w:rsidR="00844540">
        <w:rPr>
          <w:rFonts w:ascii="Times New Roman" w:hAnsi="Times New Roman" w:cs="Times New Roman" w:hint="eastAsia"/>
        </w:rPr>
        <w:t>2A</w:t>
      </w:r>
      <w:r w:rsidRPr="003814F4">
        <w:rPr>
          <w:rFonts w:ascii="Times New Roman" w:hAnsi="Times New Roman" w:cs="Times New Roman"/>
        </w:rPr>
        <w:t xml:space="preserve">; Table 2). Gemini 3 Pro Preview remained top-ranked (90.30%; 95% CI half-width = 0.00%), </w:t>
      </w:r>
      <w:r w:rsidR="003B65AE">
        <w:rPr>
          <w:rFonts w:ascii="Times New Roman" w:hAnsi="Times New Roman" w:cs="Times New Roman" w:hint="eastAsia"/>
        </w:rPr>
        <w:t>while</w:t>
      </w:r>
      <w:r w:rsidRPr="003814F4">
        <w:rPr>
          <w:rFonts w:ascii="Times New Roman" w:hAnsi="Times New Roman" w:cs="Times New Roman"/>
        </w:rPr>
        <w:t xml:space="preserve"> GPT OSS 20B </w:t>
      </w:r>
      <w:r w:rsidR="003B65AE">
        <w:rPr>
          <w:rFonts w:ascii="Times New Roman" w:hAnsi="Times New Roman" w:cs="Times New Roman" w:hint="eastAsia"/>
        </w:rPr>
        <w:t>dropped to</w:t>
      </w:r>
      <w:r w:rsidRPr="003814F4">
        <w:rPr>
          <w:rFonts w:ascii="Times New Roman" w:hAnsi="Times New Roman" w:cs="Times New Roman"/>
        </w:rPr>
        <w:t xml:space="preserve"> the lowest</w:t>
      </w:r>
      <w:r w:rsidR="003B65AE">
        <w:rPr>
          <w:rFonts w:ascii="Times New Roman" w:hAnsi="Times New Roman" w:cs="Times New Roman" w:hint="eastAsia"/>
        </w:rPr>
        <w:t xml:space="preserve"> rank </w:t>
      </w:r>
      <w:r w:rsidRPr="003814F4">
        <w:rPr>
          <w:rFonts w:ascii="Times New Roman" w:hAnsi="Times New Roman" w:cs="Times New Roman"/>
        </w:rPr>
        <w:t>(70.42%</w:t>
      </w:r>
      <w:r w:rsidR="003B65AE">
        <w:rPr>
          <w:rFonts w:ascii="Times New Roman" w:hAnsi="Times New Roman" w:cs="Times New Roman" w:hint="eastAsia"/>
        </w:rPr>
        <w:t>) with increased instability</w:t>
      </w:r>
      <w:r w:rsidRPr="003814F4">
        <w:rPr>
          <w:rFonts w:ascii="Times New Roman" w:hAnsi="Times New Roman" w:cs="Times New Roman"/>
        </w:rPr>
        <w:t xml:space="preserve"> </w:t>
      </w:r>
      <w:r w:rsidR="003B65AE">
        <w:rPr>
          <w:rFonts w:ascii="Times New Roman" w:hAnsi="Times New Roman" w:cs="Times New Roman" w:hint="eastAsia"/>
        </w:rPr>
        <w:t>(</w:t>
      </w:r>
      <w:r w:rsidRPr="003814F4">
        <w:rPr>
          <w:rFonts w:ascii="Times New Roman" w:hAnsi="Times New Roman" w:cs="Times New Roman"/>
        </w:rPr>
        <w:t>95% CI half-width = 1.54%).</w:t>
      </w:r>
      <w:r w:rsidR="003B65AE">
        <w:rPr>
          <w:rFonts w:ascii="Times New Roman" w:hAnsi="Times New Roman" w:cs="Times New Roman" w:hint="eastAsia"/>
        </w:rPr>
        <w:t xml:space="preserve"> </w:t>
      </w:r>
      <w:r w:rsidRPr="003B65AE">
        <w:rPr>
          <w:rFonts w:ascii="Times New Roman" w:hAnsi="Times New Roman" w:cs="Times New Roman"/>
        </w:rPr>
        <w:t xml:space="preserve">Model </w:t>
      </w:r>
      <w:r w:rsidR="003B65AE">
        <w:rPr>
          <w:rFonts w:ascii="Times New Roman" w:hAnsi="Times New Roman" w:cs="Times New Roman" w:hint="eastAsia"/>
        </w:rPr>
        <w:t>distinctions</w:t>
      </w:r>
      <w:r w:rsidRPr="003B65AE">
        <w:rPr>
          <w:rFonts w:ascii="Times New Roman" w:hAnsi="Times New Roman" w:cs="Times New Roman"/>
        </w:rPr>
        <w:t xml:space="preserve"> remained </w:t>
      </w:r>
      <w:r w:rsidR="003B65AE">
        <w:rPr>
          <w:rFonts w:ascii="Times New Roman" w:hAnsi="Times New Roman" w:cs="Times New Roman" w:hint="eastAsia"/>
        </w:rPr>
        <w:t>statistically robust</w:t>
      </w:r>
      <w:r w:rsidRPr="003B65AE">
        <w:rPr>
          <w:rFonts w:ascii="Times New Roman" w:hAnsi="Times New Roman" w:cs="Times New Roman"/>
        </w:rPr>
        <w:t xml:space="preserve"> </w:t>
      </w:r>
      <w:r w:rsidR="008C7252">
        <w:rPr>
          <w:rFonts w:ascii="Times New Roman" w:hAnsi="Times New Roman" w:cs="Times New Roman" w:hint="eastAsia"/>
        </w:rPr>
        <w:t xml:space="preserve">under agentic evaluation </w:t>
      </w:r>
      <w:r w:rsidRPr="003B65AE">
        <w:rPr>
          <w:rFonts w:ascii="Times New Roman" w:hAnsi="Times New Roman" w:cs="Times New Roman"/>
        </w:rPr>
        <w:t>(Friedman χ</w:t>
      </w:r>
      <w:proofErr w:type="gramStart"/>
      <w:r w:rsidRPr="003B65AE">
        <w:rPr>
          <w:rFonts w:ascii="Times New Roman" w:hAnsi="Times New Roman" w:cs="Times New Roman"/>
        </w:rPr>
        <w:t>²(</w:t>
      </w:r>
      <w:proofErr w:type="gramEnd"/>
      <w:r w:rsidRPr="003B65AE">
        <w:rPr>
          <w:rFonts w:ascii="Times New Roman" w:hAnsi="Times New Roman" w:cs="Times New Roman"/>
        </w:rPr>
        <w:t>10) = 111.798, p = 2.31×10</w:t>
      </w:r>
      <w:r w:rsidRPr="008C7252">
        <w:rPr>
          <w:rFonts w:ascii="Times New Roman" w:hAnsi="Times New Roman" w:cs="Times New Roman"/>
          <w:vertAlign w:val="superscript"/>
        </w:rPr>
        <w:t>-19</w:t>
      </w:r>
      <w:r w:rsidRPr="003B65AE">
        <w:rPr>
          <w:rFonts w:ascii="Times New Roman" w:hAnsi="Times New Roman" w:cs="Times New Roman"/>
        </w:rPr>
        <w:t xml:space="preserve">), with the same </w:t>
      </w:r>
      <w:proofErr w:type="spellStart"/>
      <w:r w:rsidRPr="003B65AE">
        <w:rPr>
          <w:rFonts w:ascii="Times New Roman" w:hAnsi="Times New Roman" w:cs="Times New Roman"/>
        </w:rPr>
        <w:t>Nemenyi</w:t>
      </w:r>
      <w:proofErr w:type="spellEnd"/>
      <w:r w:rsidRPr="003B65AE">
        <w:rPr>
          <w:rFonts w:ascii="Times New Roman" w:hAnsi="Times New Roman" w:cs="Times New Roman"/>
        </w:rPr>
        <w:t xml:space="preserve"> CD of 1.175 (k = 11, N = 165, α = 0.05),</w:t>
      </w:r>
      <w:r w:rsidR="008C7252" w:rsidRPr="008C7252">
        <w:rPr>
          <w:rFonts w:ascii="Times New Roman" w:hAnsi="Times New Roman" w:cs="Times New Roman"/>
        </w:rPr>
        <w:t xml:space="preserve"> confirming that the benchmark continues to effectively separate model tiers even after workflow intervention</w:t>
      </w:r>
      <w:r w:rsidRPr="003B65AE">
        <w:rPr>
          <w:rFonts w:ascii="Times New Roman" w:hAnsi="Times New Roman" w:cs="Times New Roman"/>
        </w:rPr>
        <w:t xml:space="preserve"> (Supplementary Fig. S1).</w:t>
      </w:r>
    </w:p>
    <w:p w14:paraId="2C73B9A8" w14:textId="13396D2E" w:rsidR="006858BB" w:rsidRDefault="006858BB" w:rsidP="003B65AE">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8133187" wp14:editId="746CA872">
            <wp:extent cx="4956131" cy="4025775"/>
            <wp:effectExtent l="0" t="0" r="0" b="0"/>
            <wp:docPr id="503132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6514" cy="4034209"/>
                    </a:xfrm>
                    <a:prstGeom prst="rect">
                      <a:avLst/>
                    </a:prstGeom>
                    <a:noFill/>
                    <a:ln>
                      <a:noFill/>
                    </a:ln>
                  </pic:spPr>
                </pic:pic>
              </a:graphicData>
            </a:graphic>
          </wp:inline>
        </w:drawing>
      </w:r>
    </w:p>
    <w:p w14:paraId="33B33F54" w14:textId="7FDA4A98" w:rsidR="006858BB" w:rsidRDefault="006858BB" w:rsidP="003B65AE">
      <w:pPr>
        <w:jc w:val="both"/>
        <w:rPr>
          <w:rFonts w:ascii="Times New Roman" w:hAnsi="Times New Roman" w:cs="Times New Roman"/>
          <w:sz w:val="15"/>
          <w:szCs w:val="16"/>
        </w:rPr>
      </w:pPr>
      <w:r w:rsidRPr="006858BB">
        <w:rPr>
          <w:rFonts w:ascii="Times New Roman" w:hAnsi="Times New Roman" w:cs="Times New Roman"/>
          <w:b/>
          <w:bCs/>
          <w:sz w:val="15"/>
          <w:szCs w:val="16"/>
        </w:rPr>
        <w:t>Fig. 2. Agentic benchmark profile (Planner-Reasoner-Critic workflow).</w:t>
      </w:r>
      <w:r w:rsidRPr="006858BB">
        <w:rPr>
          <w:rFonts w:ascii="Times New Roman" w:hAnsi="Times New Roman" w:cs="Times New Roman" w:hint="eastAsia"/>
          <w:b/>
          <w:bCs/>
          <w:sz w:val="15"/>
          <w:szCs w:val="16"/>
        </w:rPr>
        <w:t xml:space="preserve"> </w:t>
      </w:r>
      <w:r w:rsidRPr="006858BB">
        <w:rPr>
          <w:rFonts w:ascii="Times New Roman" w:hAnsi="Times New Roman" w:cs="Times New Roman"/>
          <w:sz w:val="15"/>
          <w:szCs w:val="16"/>
        </w:rPr>
        <w:t xml:space="preserve">(A) Overall accuracy by model (mean +/- 95% CI across 5 trials; 165 items per trial) under the agentic protocol; colors and ordering follow Fig. 1A.  (B) Model-item stability map under the agentic protocol, using the same four-category encoding as Fig. 1B. Questions are grouped by discipline and sorted within each discipline from easier to harder based on the </w:t>
      </w:r>
      <w:proofErr w:type="gramStart"/>
      <w:r w:rsidRPr="006858BB">
        <w:rPr>
          <w:rFonts w:ascii="Times New Roman" w:hAnsi="Times New Roman" w:cs="Times New Roman"/>
          <w:sz w:val="15"/>
          <w:szCs w:val="16"/>
        </w:rPr>
        <w:t>across</w:t>
      </w:r>
      <w:proofErr w:type="gramEnd"/>
      <w:r w:rsidRPr="006858BB">
        <w:rPr>
          <w:rFonts w:ascii="Times New Roman" w:hAnsi="Times New Roman" w:cs="Times New Roman"/>
          <w:sz w:val="15"/>
          <w:szCs w:val="16"/>
        </w:rPr>
        <w:t>-model mean correct count under the agentic protocol; models are ordered identically to Panel A.</w:t>
      </w:r>
    </w:p>
    <w:tbl>
      <w:tblPr>
        <w:tblW w:w="10065" w:type="dxa"/>
        <w:tblInd w:w="-1134" w:type="dxa"/>
        <w:tblLook w:val="04A0" w:firstRow="1" w:lastRow="0" w:firstColumn="1" w:lastColumn="0" w:noHBand="0" w:noVBand="1"/>
      </w:tblPr>
      <w:tblGrid>
        <w:gridCol w:w="2849"/>
        <w:gridCol w:w="1757"/>
        <w:gridCol w:w="978"/>
        <w:gridCol w:w="978"/>
        <w:gridCol w:w="1292"/>
        <w:gridCol w:w="978"/>
        <w:gridCol w:w="1233"/>
      </w:tblGrid>
      <w:tr w:rsidR="006B4D0B" w:rsidRPr="006B4D0B" w14:paraId="7BD44142" w14:textId="77777777" w:rsidTr="006B4D0B">
        <w:trPr>
          <w:trHeight w:val="256"/>
        </w:trPr>
        <w:tc>
          <w:tcPr>
            <w:tcW w:w="2849" w:type="dxa"/>
            <w:tcBorders>
              <w:top w:val="nil"/>
              <w:left w:val="nil"/>
              <w:bottom w:val="nil"/>
              <w:right w:val="nil"/>
            </w:tcBorders>
            <w:noWrap/>
            <w:vAlign w:val="center"/>
            <w:hideMark/>
          </w:tcPr>
          <w:p w14:paraId="0D650493"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Model</w:t>
            </w:r>
          </w:p>
        </w:tc>
        <w:tc>
          <w:tcPr>
            <w:tcW w:w="1757" w:type="dxa"/>
            <w:tcBorders>
              <w:top w:val="nil"/>
              <w:left w:val="nil"/>
              <w:bottom w:val="nil"/>
              <w:right w:val="nil"/>
            </w:tcBorders>
            <w:noWrap/>
            <w:vAlign w:val="center"/>
            <w:hideMark/>
          </w:tcPr>
          <w:p w14:paraId="776D4175" w14:textId="3DF3D4D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7C67F4">
              <w:rPr>
                <w:rFonts w:ascii="Times New Roman" w:eastAsia="等线" w:hAnsi="Times New Roman" w:cs="Times New Roman"/>
                <w:color w:val="000000"/>
                <w:kern w:val="0"/>
                <w:szCs w:val="22"/>
                <w14:ligatures w14:val="none"/>
              </w:rPr>
              <w:t>Acc</w:t>
            </w:r>
            <w:r>
              <w:rPr>
                <w:rFonts w:ascii="Times New Roman" w:eastAsia="等线" w:hAnsi="Times New Roman" w:cs="Times New Roman" w:hint="eastAsia"/>
                <w:color w:val="000000"/>
                <w:kern w:val="0"/>
                <w:szCs w:val="22"/>
                <w14:ligatures w14:val="none"/>
              </w:rPr>
              <w:t>uracy</w:t>
            </w:r>
            <w:r w:rsidRPr="007C67F4">
              <w:rPr>
                <w:rFonts w:ascii="Times New Roman" w:eastAsia="等线" w:hAnsi="Times New Roman" w:cs="Times New Roman"/>
                <w:color w:val="000000"/>
                <w:kern w:val="0"/>
                <w:szCs w:val="22"/>
                <w14:ligatures w14:val="none"/>
              </w:rPr>
              <w:t xml:space="preserve"> (%, mean±95% CI)</w:t>
            </w:r>
          </w:p>
        </w:tc>
        <w:tc>
          <w:tcPr>
            <w:tcW w:w="978" w:type="dxa"/>
            <w:tcBorders>
              <w:top w:val="nil"/>
              <w:left w:val="nil"/>
              <w:bottom w:val="nil"/>
              <w:right w:val="nil"/>
            </w:tcBorders>
            <w:noWrap/>
            <w:vAlign w:val="center"/>
            <w:hideMark/>
          </w:tcPr>
          <w:p w14:paraId="35751F57" w14:textId="00F6D7E0"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Pr>
                <w:rFonts w:ascii="Times New Roman" w:hAnsi="Times New Roman" w:cs="Times New Roman" w:hint="eastAsia"/>
              </w:rPr>
              <w:t>Fleiss</w:t>
            </w:r>
            <w:r>
              <w:rPr>
                <w:rFonts w:ascii="Times New Roman" w:hAnsi="Times New Roman" w:cs="Times New Roman"/>
              </w:rPr>
              <w:t>’</w:t>
            </w:r>
            <w:r>
              <w:rPr>
                <w:rFonts w:ascii="Times New Roman" w:hAnsi="Times New Roman" w:cs="Times New Roman" w:hint="eastAsia"/>
              </w:rPr>
              <w:t xml:space="preserve">s </w:t>
            </w:r>
            <w:r w:rsidRPr="003C3315">
              <w:rPr>
                <w:rFonts w:ascii="Times New Roman" w:hAnsi="Times New Roman" w:cs="Times New Roman"/>
              </w:rPr>
              <w:t>κ</w:t>
            </w:r>
          </w:p>
        </w:tc>
        <w:tc>
          <w:tcPr>
            <w:tcW w:w="978" w:type="dxa"/>
            <w:tcBorders>
              <w:top w:val="nil"/>
              <w:left w:val="nil"/>
              <w:bottom w:val="nil"/>
              <w:right w:val="nil"/>
            </w:tcBorders>
            <w:noWrap/>
            <w:vAlign w:val="center"/>
            <w:hideMark/>
          </w:tcPr>
          <w:p w14:paraId="69400D91"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Entropy (bits)</w:t>
            </w:r>
          </w:p>
        </w:tc>
        <w:tc>
          <w:tcPr>
            <w:tcW w:w="1292" w:type="dxa"/>
            <w:tcBorders>
              <w:top w:val="nil"/>
              <w:left w:val="nil"/>
              <w:bottom w:val="nil"/>
              <w:right w:val="nil"/>
            </w:tcBorders>
            <w:noWrap/>
            <w:vAlign w:val="center"/>
            <w:hideMark/>
          </w:tcPr>
          <w:p w14:paraId="59556005"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Consistency (%)</w:t>
            </w:r>
          </w:p>
        </w:tc>
        <w:tc>
          <w:tcPr>
            <w:tcW w:w="978" w:type="dxa"/>
            <w:tcBorders>
              <w:top w:val="nil"/>
              <w:left w:val="nil"/>
              <w:bottom w:val="nil"/>
              <w:right w:val="nil"/>
            </w:tcBorders>
            <w:noWrap/>
            <w:vAlign w:val="center"/>
            <w:hideMark/>
          </w:tcPr>
          <w:p w14:paraId="3B5192AF"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Wrong 0/5 (n)</w:t>
            </w:r>
          </w:p>
        </w:tc>
        <w:tc>
          <w:tcPr>
            <w:tcW w:w="1233" w:type="dxa"/>
            <w:tcBorders>
              <w:top w:val="nil"/>
              <w:left w:val="nil"/>
              <w:bottom w:val="nil"/>
              <w:right w:val="nil"/>
            </w:tcBorders>
            <w:noWrap/>
            <w:vAlign w:val="center"/>
            <w:hideMark/>
          </w:tcPr>
          <w:p w14:paraId="43750882"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Clin-Basic (pp)</w:t>
            </w:r>
          </w:p>
        </w:tc>
      </w:tr>
      <w:tr w:rsidR="006B4D0B" w:rsidRPr="006B4D0B" w14:paraId="76704940" w14:textId="77777777" w:rsidTr="006B4D0B">
        <w:trPr>
          <w:trHeight w:val="256"/>
        </w:trPr>
        <w:tc>
          <w:tcPr>
            <w:tcW w:w="2849" w:type="dxa"/>
            <w:tcBorders>
              <w:top w:val="nil"/>
              <w:left w:val="nil"/>
              <w:bottom w:val="nil"/>
              <w:right w:val="nil"/>
            </w:tcBorders>
            <w:noWrap/>
            <w:vAlign w:val="center"/>
            <w:hideMark/>
          </w:tcPr>
          <w:p w14:paraId="18D87F9C"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Gemini 3 Pro Preview</w:t>
            </w:r>
          </w:p>
        </w:tc>
        <w:tc>
          <w:tcPr>
            <w:tcW w:w="1757" w:type="dxa"/>
            <w:tcBorders>
              <w:top w:val="nil"/>
              <w:left w:val="nil"/>
              <w:bottom w:val="nil"/>
              <w:right w:val="nil"/>
            </w:tcBorders>
            <w:noWrap/>
            <w:vAlign w:val="center"/>
            <w:hideMark/>
          </w:tcPr>
          <w:p w14:paraId="44A43640"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90.30±0.00</w:t>
            </w:r>
          </w:p>
        </w:tc>
        <w:tc>
          <w:tcPr>
            <w:tcW w:w="978" w:type="dxa"/>
            <w:tcBorders>
              <w:top w:val="nil"/>
              <w:left w:val="nil"/>
              <w:bottom w:val="nil"/>
              <w:right w:val="nil"/>
            </w:tcBorders>
            <w:noWrap/>
            <w:vAlign w:val="center"/>
            <w:hideMark/>
          </w:tcPr>
          <w:p w14:paraId="6AC20007"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0.997</w:t>
            </w:r>
          </w:p>
        </w:tc>
        <w:tc>
          <w:tcPr>
            <w:tcW w:w="978" w:type="dxa"/>
            <w:tcBorders>
              <w:top w:val="nil"/>
              <w:left w:val="nil"/>
              <w:bottom w:val="nil"/>
              <w:right w:val="nil"/>
            </w:tcBorders>
            <w:noWrap/>
            <w:vAlign w:val="center"/>
            <w:hideMark/>
          </w:tcPr>
          <w:p w14:paraId="2F87F106"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0.004</w:t>
            </w:r>
          </w:p>
        </w:tc>
        <w:tc>
          <w:tcPr>
            <w:tcW w:w="1292" w:type="dxa"/>
            <w:tcBorders>
              <w:top w:val="nil"/>
              <w:left w:val="nil"/>
              <w:bottom w:val="nil"/>
              <w:right w:val="nil"/>
            </w:tcBorders>
            <w:noWrap/>
            <w:vAlign w:val="center"/>
            <w:hideMark/>
          </w:tcPr>
          <w:p w14:paraId="0D363CEA"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99.39</w:t>
            </w:r>
          </w:p>
        </w:tc>
        <w:tc>
          <w:tcPr>
            <w:tcW w:w="978" w:type="dxa"/>
            <w:tcBorders>
              <w:top w:val="nil"/>
              <w:left w:val="nil"/>
              <w:bottom w:val="nil"/>
              <w:right w:val="nil"/>
            </w:tcBorders>
            <w:noWrap/>
            <w:vAlign w:val="center"/>
            <w:hideMark/>
          </w:tcPr>
          <w:p w14:paraId="74CB864A"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16</w:t>
            </w:r>
          </w:p>
        </w:tc>
        <w:tc>
          <w:tcPr>
            <w:tcW w:w="1233" w:type="dxa"/>
            <w:tcBorders>
              <w:top w:val="nil"/>
              <w:left w:val="nil"/>
              <w:bottom w:val="nil"/>
              <w:right w:val="nil"/>
            </w:tcBorders>
            <w:noWrap/>
            <w:vAlign w:val="center"/>
            <w:hideMark/>
          </w:tcPr>
          <w:p w14:paraId="3EEBC84F"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-2.25</w:t>
            </w:r>
          </w:p>
        </w:tc>
      </w:tr>
      <w:tr w:rsidR="006B4D0B" w:rsidRPr="006B4D0B" w14:paraId="3F8344EA" w14:textId="77777777" w:rsidTr="006B4D0B">
        <w:trPr>
          <w:trHeight w:val="256"/>
        </w:trPr>
        <w:tc>
          <w:tcPr>
            <w:tcW w:w="2849" w:type="dxa"/>
            <w:tcBorders>
              <w:top w:val="nil"/>
              <w:left w:val="nil"/>
              <w:bottom w:val="nil"/>
              <w:right w:val="nil"/>
            </w:tcBorders>
            <w:noWrap/>
            <w:vAlign w:val="center"/>
            <w:hideMark/>
          </w:tcPr>
          <w:p w14:paraId="4CB71230"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Claude Opus 4.5</w:t>
            </w:r>
          </w:p>
        </w:tc>
        <w:tc>
          <w:tcPr>
            <w:tcW w:w="1757" w:type="dxa"/>
            <w:tcBorders>
              <w:top w:val="nil"/>
              <w:left w:val="nil"/>
              <w:bottom w:val="nil"/>
              <w:right w:val="nil"/>
            </w:tcBorders>
            <w:noWrap/>
            <w:vAlign w:val="center"/>
            <w:hideMark/>
          </w:tcPr>
          <w:p w14:paraId="264191AF"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85.09±1.65</w:t>
            </w:r>
          </w:p>
        </w:tc>
        <w:tc>
          <w:tcPr>
            <w:tcW w:w="978" w:type="dxa"/>
            <w:tcBorders>
              <w:top w:val="nil"/>
              <w:left w:val="nil"/>
              <w:bottom w:val="nil"/>
              <w:right w:val="nil"/>
            </w:tcBorders>
            <w:noWrap/>
            <w:vAlign w:val="center"/>
            <w:hideMark/>
          </w:tcPr>
          <w:p w14:paraId="3C7E9CAC"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0.925</w:t>
            </w:r>
          </w:p>
        </w:tc>
        <w:tc>
          <w:tcPr>
            <w:tcW w:w="978" w:type="dxa"/>
            <w:tcBorders>
              <w:top w:val="nil"/>
              <w:left w:val="nil"/>
              <w:bottom w:val="nil"/>
              <w:right w:val="nil"/>
            </w:tcBorders>
            <w:noWrap/>
            <w:vAlign w:val="center"/>
            <w:hideMark/>
          </w:tcPr>
          <w:p w14:paraId="604D51DE"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0.104</w:t>
            </w:r>
          </w:p>
        </w:tc>
        <w:tc>
          <w:tcPr>
            <w:tcW w:w="1292" w:type="dxa"/>
            <w:tcBorders>
              <w:top w:val="nil"/>
              <w:left w:val="nil"/>
              <w:bottom w:val="nil"/>
              <w:right w:val="nil"/>
            </w:tcBorders>
            <w:noWrap/>
            <w:vAlign w:val="center"/>
            <w:hideMark/>
          </w:tcPr>
          <w:p w14:paraId="114A9442"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88.48</w:t>
            </w:r>
          </w:p>
        </w:tc>
        <w:tc>
          <w:tcPr>
            <w:tcW w:w="978" w:type="dxa"/>
            <w:tcBorders>
              <w:top w:val="nil"/>
              <w:left w:val="nil"/>
              <w:bottom w:val="nil"/>
              <w:right w:val="nil"/>
            </w:tcBorders>
            <w:noWrap/>
            <w:vAlign w:val="center"/>
            <w:hideMark/>
          </w:tcPr>
          <w:p w14:paraId="75265CF3"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15</w:t>
            </w:r>
          </w:p>
        </w:tc>
        <w:tc>
          <w:tcPr>
            <w:tcW w:w="1233" w:type="dxa"/>
            <w:tcBorders>
              <w:top w:val="nil"/>
              <w:left w:val="nil"/>
              <w:bottom w:val="nil"/>
              <w:right w:val="nil"/>
            </w:tcBorders>
            <w:noWrap/>
            <w:vAlign w:val="center"/>
            <w:hideMark/>
          </w:tcPr>
          <w:p w14:paraId="5BC8C039"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-5.85</w:t>
            </w:r>
          </w:p>
        </w:tc>
      </w:tr>
      <w:tr w:rsidR="006B4D0B" w:rsidRPr="006B4D0B" w14:paraId="4BCAA922" w14:textId="77777777" w:rsidTr="006B4D0B">
        <w:trPr>
          <w:trHeight w:val="256"/>
        </w:trPr>
        <w:tc>
          <w:tcPr>
            <w:tcW w:w="2849" w:type="dxa"/>
            <w:tcBorders>
              <w:top w:val="nil"/>
              <w:left w:val="nil"/>
              <w:bottom w:val="nil"/>
              <w:right w:val="nil"/>
            </w:tcBorders>
            <w:noWrap/>
            <w:vAlign w:val="center"/>
            <w:hideMark/>
          </w:tcPr>
          <w:p w14:paraId="29F7A8AA"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Kimi K2 Thinking</w:t>
            </w:r>
          </w:p>
        </w:tc>
        <w:tc>
          <w:tcPr>
            <w:tcW w:w="1757" w:type="dxa"/>
            <w:tcBorders>
              <w:top w:val="nil"/>
              <w:left w:val="nil"/>
              <w:bottom w:val="nil"/>
              <w:right w:val="nil"/>
            </w:tcBorders>
            <w:noWrap/>
            <w:vAlign w:val="center"/>
            <w:hideMark/>
          </w:tcPr>
          <w:p w14:paraId="1D0E4B91"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81.94±0.98</w:t>
            </w:r>
          </w:p>
        </w:tc>
        <w:tc>
          <w:tcPr>
            <w:tcW w:w="978" w:type="dxa"/>
            <w:tcBorders>
              <w:top w:val="nil"/>
              <w:left w:val="nil"/>
              <w:bottom w:val="nil"/>
              <w:right w:val="nil"/>
            </w:tcBorders>
            <w:noWrap/>
            <w:vAlign w:val="center"/>
            <w:hideMark/>
          </w:tcPr>
          <w:p w14:paraId="4875A9EE"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0.894</w:t>
            </w:r>
          </w:p>
        </w:tc>
        <w:tc>
          <w:tcPr>
            <w:tcW w:w="978" w:type="dxa"/>
            <w:tcBorders>
              <w:top w:val="nil"/>
              <w:left w:val="nil"/>
              <w:bottom w:val="nil"/>
              <w:right w:val="nil"/>
            </w:tcBorders>
            <w:noWrap/>
            <w:vAlign w:val="center"/>
            <w:hideMark/>
          </w:tcPr>
          <w:p w14:paraId="6504E866"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0.153</w:t>
            </w:r>
          </w:p>
        </w:tc>
        <w:tc>
          <w:tcPr>
            <w:tcW w:w="1292" w:type="dxa"/>
            <w:tcBorders>
              <w:top w:val="nil"/>
              <w:left w:val="nil"/>
              <w:bottom w:val="nil"/>
              <w:right w:val="nil"/>
            </w:tcBorders>
            <w:noWrap/>
            <w:vAlign w:val="center"/>
            <w:hideMark/>
          </w:tcPr>
          <w:p w14:paraId="08548233"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83.03</w:t>
            </w:r>
          </w:p>
        </w:tc>
        <w:tc>
          <w:tcPr>
            <w:tcW w:w="978" w:type="dxa"/>
            <w:tcBorders>
              <w:top w:val="nil"/>
              <w:left w:val="nil"/>
              <w:bottom w:val="nil"/>
              <w:right w:val="nil"/>
            </w:tcBorders>
            <w:noWrap/>
            <w:vAlign w:val="center"/>
            <w:hideMark/>
          </w:tcPr>
          <w:p w14:paraId="2D139CA5"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20</w:t>
            </w:r>
          </w:p>
        </w:tc>
        <w:tc>
          <w:tcPr>
            <w:tcW w:w="1233" w:type="dxa"/>
            <w:tcBorders>
              <w:top w:val="nil"/>
              <w:left w:val="nil"/>
              <w:bottom w:val="nil"/>
              <w:right w:val="nil"/>
            </w:tcBorders>
            <w:noWrap/>
            <w:vAlign w:val="center"/>
            <w:hideMark/>
          </w:tcPr>
          <w:p w14:paraId="646D2FAB"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-4.79</w:t>
            </w:r>
          </w:p>
        </w:tc>
      </w:tr>
      <w:tr w:rsidR="006B4D0B" w:rsidRPr="006B4D0B" w14:paraId="13547F1F" w14:textId="77777777" w:rsidTr="006B4D0B">
        <w:trPr>
          <w:trHeight w:val="256"/>
        </w:trPr>
        <w:tc>
          <w:tcPr>
            <w:tcW w:w="2849" w:type="dxa"/>
            <w:tcBorders>
              <w:top w:val="nil"/>
              <w:left w:val="nil"/>
              <w:bottom w:val="nil"/>
              <w:right w:val="nil"/>
            </w:tcBorders>
            <w:noWrap/>
            <w:vAlign w:val="center"/>
            <w:hideMark/>
          </w:tcPr>
          <w:p w14:paraId="38C75A6A"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proofErr w:type="spellStart"/>
            <w:r w:rsidRPr="006B4D0B">
              <w:rPr>
                <w:rFonts w:ascii="Times New Roman" w:eastAsia="等线" w:hAnsi="Times New Roman" w:cs="Times New Roman"/>
                <w:color w:val="000000"/>
                <w:kern w:val="0"/>
                <w:szCs w:val="22"/>
                <w14:ligatures w14:val="none"/>
              </w:rPr>
              <w:t>MiniMax</w:t>
            </w:r>
            <w:proofErr w:type="spellEnd"/>
            <w:r w:rsidRPr="006B4D0B">
              <w:rPr>
                <w:rFonts w:ascii="Times New Roman" w:eastAsia="等线" w:hAnsi="Times New Roman" w:cs="Times New Roman"/>
                <w:color w:val="000000"/>
                <w:kern w:val="0"/>
                <w:szCs w:val="22"/>
                <w14:ligatures w14:val="none"/>
              </w:rPr>
              <w:t xml:space="preserve"> M2.1</w:t>
            </w:r>
          </w:p>
        </w:tc>
        <w:tc>
          <w:tcPr>
            <w:tcW w:w="1757" w:type="dxa"/>
            <w:tcBorders>
              <w:top w:val="nil"/>
              <w:left w:val="nil"/>
              <w:bottom w:val="nil"/>
              <w:right w:val="nil"/>
            </w:tcBorders>
            <w:noWrap/>
            <w:vAlign w:val="center"/>
            <w:hideMark/>
          </w:tcPr>
          <w:p w14:paraId="52E45EE9"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81.82±3.10</w:t>
            </w:r>
          </w:p>
        </w:tc>
        <w:tc>
          <w:tcPr>
            <w:tcW w:w="978" w:type="dxa"/>
            <w:tcBorders>
              <w:top w:val="nil"/>
              <w:left w:val="nil"/>
              <w:bottom w:val="nil"/>
              <w:right w:val="nil"/>
            </w:tcBorders>
            <w:noWrap/>
            <w:vAlign w:val="center"/>
            <w:hideMark/>
          </w:tcPr>
          <w:p w14:paraId="1E19F8A6"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0.8</w:t>
            </w:r>
          </w:p>
        </w:tc>
        <w:tc>
          <w:tcPr>
            <w:tcW w:w="978" w:type="dxa"/>
            <w:tcBorders>
              <w:top w:val="nil"/>
              <w:left w:val="nil"/>
              <w:bottom w:val="nil"/>
              <w:right w:val="nil"/>
            </w:tcBorders>
            <w:noWrap/>
            <w:vAlign w:val="center"/>
            <w:hideMark/>
          </w:tcPr>
          <w:p w14:paraId="6564B046"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0.304</w:t>
            </w:r>
          </w:p>
        </w:tc>
        <w:tc>
          <w:tcPr>
            <w:tcW w:w="1292" w:type="dxa"/>
            <w:tcBorders>
              <w:top w:val="nil"/>
              <w:left w:val="nil"/>
              <w:bottom w:val="nil"/>
              <w:right w:val="nil"/>
            </w:tcBorders>
            <w:noWrap/>
            <w:vAlign w:val="center"/>
            <w:hideMark/>
          </w:tcPr>
          <w:p w14:paraId="62CB6191"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70.91</w:t>
            </w:r>
          </w:p>
        </w:tc>
        <w:tc>
          <w:tcPr>
            <w:tcW w:w="978" w:type="dxa"/>
            <w:tcBorders>
              <w:top w:val="nil"/>
              <w:left w:val="nil"/>
              <w:bottom w:val="nil"/>
              <w:right w:val="nil"/>
            </w:tcBorders>
            <w:noWrap/>
            <w:vAlign w:val="center"/>
            <w:hideMark/>
          </w:tcPr>
          <w:p w14:paraId="2F6AE659"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12</w:t>
            </w:r>
          </w:p>
        </w:tc>
        <w:tc>
          <w:tcPr>
            <w:tcW w:w="1233" w:type="dxa"/>
            <w:tcBorders>
              <w:top w:val="nil"/>
              <w:left w:val="nil"/>
              <w:bottom w:val="nil"/>
              <w:right w:val="nil"/>
            </w:tcBorders>
            <w:noWrap/>
            <w:vAlign w:val="center"/>
            <w:hideMark/>
          </w:tcPr>
          <w:p w14:paraId="3313A2AC"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-5.9</w:t>
            </w:r>
          </w:p>
        </w:tc>
      </w:tr>
      <w:tr w:rsidR="006B4D0B" w:rsidRPr="006B4D0B" w14:paraId="08762DB0" w14:textId="77777777" w:rsidTr="006B4D0B">
        <w:trPr>
          <w:trHeight w:val="256"/>
        </w:trPr>
        <w:tc>
          <w:tcPr>
            <w:tcW w:w="2849" w:type="dxa"/>
            <w:tcBorders>
              <w:top w:val="nil"/>
              <w:left w:val="nil"/>
              <w:bottom w:val="nil"/>
              <w:right w:val="nil"/>
            </w:tcBorders>
            <w:noWrap/>
            <w:vAlign w:val="center"/>
            <w:hideMark/>
          </w:tcPr>
          <w:p w14:paraId="2B9D8B8D"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GPT-5.2</w:t>
            </w:r>
          </w:p>
        </w:tc>
        <w:tc>
          <w:tcPr>
            <w:tcW w:w="1757" w:type="dxa"/>
            <w:tcBorders>
              <w:top w:val="nil"/>
              <w:left w:val="nil"/>
              <w:bottom w:val="nil"/>
              <w:right w:val="nil"/>
            </w:tcBorders>
            <w:noWrap/>
            <w:vAlign w:val="center"/>
            <w:hideMark/>
          </w:tcPr>
          <w:p w14:paraId="55FF580B"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81.21±1.19</w:t>
            </w:r>
          </w:p>
        </w:tc>
        <w:tc>
          <w:tcPr>
            <w:tcW w:w="978" w:type="dxa"/>
            <w:tcBorders>
              <w:top w:val="nil"/>
              <w:left w:val="nil"/>
              <w:bottom w:val="nil"/>
              <w:right w:val="nil"/>
            </w:tcBorders>
            <w:noWrap/>
            <w:vAlign w:val="center"/>
            <w:hideMark/>
          </w:tcPr>
          <w:p w14:paraId="3FE18433"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0.889</w:t>
            </w:r>
          </w:p>
        </w:tc>
        <w:tc>
          <w:tcPr>
            <w:tcW w:w="978" w:type="dxa"/>
            <w:tcBorders>
              <w:top w:val="nil"/>
              <w:left w:val="nil"/>
              <w:bottom w:val="nil"/>
              <w:right w:val="nil"/>
            </w:tcBorders>
            <w:noWrap/>
            <w:vAlign w:val="center"/>
            <w:hideMark/>
          </w:tcPr>
          <w:p w14:paraId="49996913"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0.16</w:t>
            </w:r>
          </w:p>
        </w:tc>
        <w:tc>
          <w:tcPr>
            <w:tcW w:w="1292" w:type="dxa"/>
            <w:tcBorders>
              <w:top w:val="nil"/>
              <w:left w:val="nil"/>
              <w:bottom w:val="nil"/>
              <w:right w:val="nil"/>
            </w:tcBorders>
            <w:noWrap/>
            <w:vAlign w:val="center"/>
            <w:hideMark/>
          </w:tcPr>
          <w:p w14:paraId="1D60E1DC"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83.03</w:t>
            </w:r>
          </w:p>
        </w:tc>
        <w:tc>
          <w:tcPr>
            <w:tcW w:w="978" w:type="dxa"/>
            <w:tcBorders>
              <w:top w:val="nil"/>
              <w:left w:val="nil"/>
              <w:bottom w:val="nil"/>
              <w:right w:val="nil"/>
            </w:tcBorders>
            <w:noWrap/>
            <w:vAlign w:val="center"/>
            <w:hideMark/>
          </w:tcPr>
          <w:p w14:paraId="28C5743D"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20</w:t>
            </w:r>
          </w:p>
        </w:tc>
        <w:tc>
          <w:tcPr>
            <w:tcW w:w="1233" w:type="dxa"/>
            <w:tcBorders>
              <w:top w:val="nil"/>
              <w:left w:val="nil"/>
              <w:bottom w:val="nil"/>
              <w:right w:val="nil"/>
            </w:tcBorders>
            <w:noWrap/>
            <w:vAlign w:val="center"/>
            <w:hideMark/>
          </w:tcPr>
          <w:p w14:paraId="3A090E4B"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-2.93</w:t>
            </w:r>
          </w:p>
        </w:tc>
      </w:tr>
      <w:tr w:rsidR="006B4D0B" w:rsidRPr="006B4D0B" w14:paraId="0FF7BD84" w14:textId="77777777" w:rsidTr="006B4D0B">
        <w:trPr>
          <w:trHeight w:val="256"/>
        </w:trPr>
        <w:tc>
          <w:tcPr>
            <w:tcW w:w="2849" w:type="dxa"/>
            <w:tcBorders>
              <w:top w:val="nil"/>
              <w:left w:val="nil"/>
              <w:bottom w:val="nil"/>
              <w:right w:val="nil"/>
            </w:tcBorders>
            <w:noWrap/>
            <w:vAlign w:val="center"/>
            <w:hideMark/>
          </w:tcPr>
          <w:p w14:paraId="38C375A1"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DeepSeek V3.2 Thinking</w:t>
            </w:r>
          </w:p>
        </w:tc>
        <w:tc>
          <w:tcPr>
            <w:tcW w:w="1757" w:type="dxa"/>
            <w:tcBorders>
              <w:top w:val="nil"/>
              <w:left w:val="nil"/>
              <w:bottom w:val="nil"/>
              <w:right w:val="nil"/>
            </w:tcBorders>
            <w:noWrap/>
            <w:vAlign w:val="center"/>
            <w:hideMark/>
          </w:tcPr>
          <w:p w14:paraId="3D848046"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81.09±2.28</w:t>
            </w:r>
          </w:p>
        </w:tc>
        <w:tc>
          <w:tcPr>
            <w:tcW w:w="978" w:type="dxa"/>
            <w:tcBorders>
              <w:top w:val="nil"/>
              <w:left w:val="nil"/>
              <w:bottom w:val="nil"/>
              <w:right w:val="nil"/>
            </w:tcBorders>
            <w:noWrap/>
            <w:vAlign w:val="center"/>
            <w:hideMark/>
          </w:tcPr>
          <w:p w14:paraId="1F39CEA7"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0.879</w:t>
            </w:r>
          </w:p>
        </w:tc>
        <w:tc>
          <w:tcPr>
            <w:tcW w:w="978" w:type="dxa"/>
            <w:tcBorders>
              <w:top w:val="nil"/>
              <w:left w:val="nil"/>
              <w:bottom w:val="nil"/>
              <w:right w:val="nil"/>
            </w:tcBorders>
            <w:noWrap/>
            <w:vAlign w:val="center"/>
            <w:hideMark/>
          </w:tcPr>
          <w:p w14:paraId="07B9B29D"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0.177</w:t>
            </w:r>
          </w:p>
        </w:tc>
        <w:tc>
          <w:tcPr>
            <w:tcW w:w="1292" w:type="dxa"/>
            <w:tcBorders>
              <w:top w:val="nil"/>
              <w:left w:val="nil"/>
              <w:bottom w:val="nil"/>
              <w:right w:val="nil"/>
            </w:tcBorders>
            <w:noWrap/>
            <w:vAlign w:val="center"/>
            <w:hideMark/>
          </w:tcPr>
          <w:p w14:paraId="7A05F19F"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80.61</w:t>
            </w:r>
          </w:p>
        </w:tc>
        <w:tc>
          <w:tcPr>
            <w:tcW w:w="978" w:type="dxa"/>
            <w:tcBorders>
              <w:top w:val="nil"/>
              <w:left w:val="nil"/>
              <w:bottom w:val="nil"/>
              <w:right w:val="nil"/>
            </w:tcBorders>
            <w:noWrap/>
            <w:vAlign w:val="center"/>
            <w:hideMark/>
          </w:tcPr>
          <w:p w14:paraId="511350A1"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21</w:t>
            </w:r>
          </w:p>
        </w:tc>
        <w:tc>
          <w:tcPr>
            <w:tcW w:w="1233" w:type="dxa"/>
            <w:tcBorders>
              <w:top w:val="nil"/>
              <w:left w:val="nil"/>
              <w:bottom w:val="nil"/>
              <w:right w:val="nil"/>
            </w:tcBorders>
            <w:noWrap/>
            <w:vAlign w:val="center"/>
            <w:hideMark/>
          </w:tcPr>
          <w:p w14:paraId="6D0911AB"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-7.55</w:t>
            </w:r>
          </w:p>
        </w:tc>
      </w:tr>
      <w:tr w:rsidR="006B4D0B" w:rsidRPr="006B4D0B" w14:paraId="6BDCFE94" w14:textId="77777777" w:rsidTr="006B4D0B">
        <w:trPr>
          <w:trHeight w:val="256"/>
        </w:trPr>
        <w:tc>
          <w:tcPr>
            <w:tcW w:w="2849" w:type="dxa"/>
            <w:tcBorders>
              <w:top w:val="nil"/>
              <w:left w:val="nil"/>
              <w:bottom w:val="nil"/>
              <w:right w:val="nil"/>
            </w:tcBorders>
            <w:noWrap/>
            <w:vAlign w:val="center"/>
            <w:hideMark/>
          </w:tcPr>
          <w:p w14:paraId="2E2E361D"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Qwen3 30B A3B Thinking</w:t>
            </w:r>
          </w:p>
        </w:tc>
        <w:tc>
          <w:tcPr>
            <w:tcW w:w="1757" w:type="dxa"/>
            <w:tcBorders>
              <w:top w:val="nil"/>
              <w:left w:val="nil"/>
              <w:bottom w:val="nil"/>
              <w:right w:val="nil"/>
            </w:tcBorders>
            <w:noWrap/>
            <w:vAlign w:val="center"/>
            <w:hideMark/>
          </w:tcPr>
          <w:p w14:paraId="3DDEC31D"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80.73±1.95</w:t>
            </w:r>
          </w:p>
        </w:tc>
        <w:tc>
          <w:tcPr>
            <w:tcW w:w="978" w:type="dxa"/>
            <w:tcBorders>
              <w:top w:val="nil"/>
              <w:left w:val="nil"/>
              <w:bottom w:val="nil"/>
              <w:right w:val="nil"/>
            </w:tcBorders>
            <w:noWrap/>
            <w:vAlign w:val="center"/>
            <w:hideMark/>
          </w:tcPr>
          <w:p w14:paraId="25EFFB70"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0.833</w:t>
            </w:r>
          </w:p>
        </w:tc>
        <w:tc>
          <w:tcPr>
            <w:tcW w:w="978" w:type="dxa"/>
            <w:tcBorders>
              <w:top w:val="nil"/>
              <w:left w:val="nil"/>
              <w:bottom w:val="nil"/>
              <w:right w:val="nil"/>
            </w:tcBorders>
            <w:noWrap/>
            <w:vAlign w:val="center"/>
            <w:hideMark/>
          </w:tcPr>
          <w:p w14:paraId="028DD19B"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0.244</w:t>
            </w:r>
          </w:p>
        </w:tc>
        <w:tc>
          <w:tcPr>
            <w:tcW w:w="1292" w:type="dxa"/>
            <w:tcBorders>
              <w:top w:val="nil"/>
              <w:left w:val="nil"/>
              <w:bottom w:val="nil"/>
              <w:right w:val="nil"/>
            </w:tcBorders>
            <w:noWrap/>
            <w:vAlign w:val="center"/>
            <w:hideMark/>
          </w:tcPr>
          <w:p w14:paraId="15AED997"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73.33</w:t>
            </w:r>
          </w:p>
        </w:tc>
        <w:tc>
          <w:tcPr>
            <w:tcW w:w="978" w:type="dxa"/>
            <w:tcBorders>
              <w:top w:val="nil"/>
              <w:left w:val="nil"/>
              <w:bottom w:val="nil"/>
              <w:right w:val="nil"/>
            </w:tcBorders>
            <w:noWrap/>
            <w:vAlign w:val="center"/>
            <w:hideMark/>
          </w:tcPr>
          <w:p w14:paraId="6FDE24C3"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15</w:t>
            </w:r>
          </w:p>
        </w:tc>
        <w:tc>
          <w:tcPr>
            <w:tcW w:w="1233" w:type="dxa"/>
            <w:tcBorders>
              <w:top w:val="nil"/>
              <w:left w:val="nil"/>
              <w:bottom w:val="nil"/>
              <w:right w:val="nil"/>
            </w:tcBorders>
            <w:noWrap/>
            <w:vAlign w:val="center"/>
            <w:hideMark/>
          </w:tcPr>
          <w:p w14:paraId="38353272"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2.33</w:t>
            </w:r>
          </w:p>
        </w:tc>
      </w:tr>
      <w:tr w:rsidR="006B4D0B" w:rsidRPr="006B4D0B" w14:paraId="1045BECB" w14:textId="77777777" w:rsidTr="006B4D0B">
        <w:trPr>
          <w:trHeight w:val="256"/>
        </w:trPr>
        <w:tc>
          <w:tcPr>
            <w:tcW w:w="2849" w:type="dxa"/>
            <w:tcBorders>
              <w:top w:val="nil"/>
              <w:left w:val="nil"/>
              <w:bottom w:val="nil"/>
              <w:right w:val="nil"/>
            </w:tcBorders>
            <w:noWrap/>
            <w:vAlign w:val="center"/>
            <w:hideMark/>
          </w:tcPr>
          <w:p w14:paraId="181F5254"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Qwen3 235B A22B Thinking</w:t>
            </w:r>
          </w:p>
        </w:tc>
        <w:tc>
          <w:tcPr>
            <w:tcW w:w="1757" w:type="dxa"/>
            <w:tcBorders>
              <w:top w:val="nil"/>
              <w:left w:val="nil"/>
              <w:bottom w:val="nil"/>
              <w:right w:val="nil"/>
            </w:tcBorders>
            <w:noWrap/>
            <w:vAlign w:val="center"/>
            <w:hideMark/>
          </w:tcPr>
          <w:p w14:paraId="04A61CFD"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77.70±3.30</w:t>
            </w:r>
          </w:p>
        </w:tc>
        <w:tc>
          <w:tcPr>
            <w:tcW w:w="978" w:type="dxa"/>
            <w:tcBorders>
              <w:top w:val="nil"/>
              <w:left w:val="nil"/>
              <w:bottom w:val="nil"/>
              <w:right w:val="nil"/>
            </w:tcBorders>
            <w:noWrap/>
            <w:vAlign w:val="center"/>
            <w:hideMark/>
          </w:tcPr>
          <w:p w14:paraId="73B2B96C"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0.855</w:t>
            </w:r>
          </w:p>
        </w:tc>
        <w:tc>
          <w:tcPr>
            <w:tcW w:w="978" w:type="dxa"/>
            <w:tcBorders>
              <w:top w:val="nil"/>
              <w:left w:val="nil"/>
              <w:bottom w:val="nil"/>
              <w:right w:val="nil"/>
            </w:tcBorders>
            <w:noWrap/>
            <w:vAlign w:val="center"/>
            <w:hideMark/>
          </w:tcPr>
          <w:p w14:paraId="2A80682F"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0.214</w:t>
            </w:r>
          </w:p>
        </w:tc>
        <w:tc>
          <w:tcPr>
            <w:tcW w:w="1292" w:type="dxa"/>
            <w:tcBorders>
              <w:top w:val="nil"/>
              <w:left w:val="nil"/>
              <w:bottom w:val="nil"/>
              <w:right w:val="nil"/>
            </w:tcBorders>
            <w:noWrap/>
            <w:vAlign w:val="center"/>
            <w:hideMark/>
          </w:tcPr>
          <w:p w14:paraId="1B29A7F8"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76.36</w:t>
            </w:r>
          </w:p>
        </w:tc>
        <w:tc>
          <w:tcPr>
            <w:tcW w:w="978" w:type="dxa"/>
            <w:tcBorders>
              <w:top w:val="nil"/>
              <w:left w:val="nil"/>
              <w:bottom w:val="nil"/>
              <w:right w:val="nil"/>
            </w:tcBorders>
            <w:noWrap/>
            <w:vAlign w:val="center"/>
            <w:hideMark/>
          </w:tcPr>
          <w:p w14:paraId="281DA738"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21</w:t>
            </w:r>
          </w:p>
        </w:tc>
        <w:tc>
          <w:tcPr>
            <w:tcW w:w="1233" w:type="dxa"/>
            <w:tcBorders>
              <w:top w:val="nil"/>
              <w:left w:val="nil"/>
              <w:bottom w:val="nil"/>
              <w:right w:val="nil"/>
            </w:tcBorders>
            <w:noWrap/>
            <w:vAlign w:val="center"/>
            <w:hideMark/>
          </w:tcPr>
          <w:p w14:paraId="14A4C5D2"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-6.91</w:t>
            </w:r>
          </w:p>
        </w:tc>
      </w:tr>
      <w:tr w:rsidR="006B4D0B" w:rsidRPr="006B4D0B" w14:paraId="6F1C183B" w14:textId="77777777" w:rsidTr="006B4D0B">
        <w:trPr>
          <w:trHeight w:val="256"/>
        </w:trPr>
        <w:tc>
          <w:tcPr>
            <w:tcW w:w="2849" w:type="dxa"/>
            <w:tcBorders>
              <w:top w:val="nil"/>
              <w:left w:val="nil"/>
              <w:bottom w:val="nil"/>
              <w:right w:val="nil"/>
            </w:tcBorders>
            <w:noWrap/>
            <w:vAlign w:val="center"/>
            <w:hideMark/>
          </w:tcPr>
          <w:p w14:paraId="5EB51962"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Qwen3 Max</w:t>
            </w:r>
          </w:p>
        </w:tc>
        <w:tc>
          <w:tcPr>
            <w:tcW w:w="1757" w:type="dxa"/>
            <w:tcBorders>
              <w:top w:val="nil"/>
              <w:left w:val="nil"/>
              <w:bottom w:val="nil"/>
              <w:right w:val="nil"/>
            </w:tcBorders>
            <w:noWrap/>
            <w:vAlign w:val="center"/>
            <w:hideMark/>
          </w:tcPr>
          <w:p w14:paraId="649BA1CF"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76.61±1.47</w:t>
            </w:r>
          </w:p>
        </w:tc>
        <w:tc>
          <w:tcPr>
            <w:tcW w:w="978" w:type="dxa"/>
            <w:tcBorders>
              <w:top w:val="nil"/>
              <w:left w:val="nil"/>
              <w:bottom w:val="nil"/>
              <w:right w:val="nil"/>
            </w:tcBorders>
            <w:noWrap/>
            <w:vAlign w:val="center"/>
            <w:hideMark/>
          </w:tcPr>
          <w:p w14:paraId="419B80E7"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0.798</w:t>
            </w:r>
          </w:p>
        </w:tc>
        <w:tc>
          <w:tcPr>
            <w:tcW w:w="978" w:type="dxa"/>
            <w:tcBorders>
              <w:top w:val="nil"/>
              <w:left w:val="nil"/>
              <w:bottom w:val="nil"/>
              <w:right w:val="nil"/>
            </w:tcBorders>
            <w:noWrap/>
            <w:vAlign w:val="center"/>
            <w:hideMark/>
          </w:tcPr>
          <w:p w14:paraId="05ACFDAE"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0.303</w:t>
            </w:r>
          </w:p>
        </w:tc>
        <w:tc>
          <w:tcPr>
            <w:tcW w:w="1292" w:type="dxa"/>
            <w:tcBorders>
              <w:top w:val="nil"/>
              <w:left w:val="nil"/>
              <w:bottom w:val="nil"/>
              <w:right w:val="nil"/>
            </w:tcBorders>
            <w:noWrap/>
            <w:vAlign w:val="center"/>
            <w:hideMark/>
          </w:tcPr>
          <w:p w14:paraId="588CB4EE"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66.67</w:t>
            </w:r>
          </w:p>
        </w:tc>
        <w:tc>
          <w:tcPr>
            <w:tcW w:w="978" w:type="dxa"/>
            <w:tcBorders>
              <w:top w:val="nil"/>
              <w:left w:val="nil"/>
              <w:bottom w:val="nil"/>
              <w:right w:val="nil"/>
            </w:tcBorders>
            <w:noWrap/>
            <w:vAlign w:val="center"/>
            <w:hideMark/>
          </w:tcPr>
          <w:p w14:paraId="2905FB8F"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20</w:t>
            </w:r>
          </w:p>
        </w:tc>
        <w:tc>
          <w:tcPr>
            <w:tcW w:w="1233" w:type="dxa"/>
            <w:tcBorders>
              <w:top w:val="nil"/>
              <w:left w:val="nil"/>
              <w:bottom w:val="nil"/>
              <w:right w:val="nil"/>
            </w:tcBorders>
            <w:noWrap/>
            <w:vAlign w:val="center"/>
            <w:hideMark/>
          </w:tcPr>
          <w:p w14:paraId="65906268"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-8.79</w:t>
            </w:r>
          </w:p>
        </w:tc>
      </w:tr>
      <w:tr w:rsidR="006B4D0B" w:rsidRPr="006B4D0B" w14:paraId="19E9C427" w14:textId="77777777" w:rsidTr="006B4D0B">
        <w:trPr>
          <w:trHeight w:val="256"/>
        </w:trPr>
        <w:tc>
          <w:tcPr>
            <w:tcW w:w="2849" w:type="dxa"/>
            <w:tcBorders>
              <w:top w:val="nil"/>
              <w:left w:val="nil"/>
              <w:bottom w:val="nil"/>
              <w:right w:val="nil"/>
            </w:tcBorders>
            <w:noWrap/>
            <w:vAlign w:val="center"/>
            <w:hideMark/>
          </w:tcPr>
          <w:p w14:paraId="23DA7138"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GPT OSS 120B</w:t>
            </w:r>
          </w:p>
        </w:tc>
        <w:tc>
          <w:tcPr>
            <w:tcW w:w="1757" w:type="dxa"/>
            <w:tcBorders>
              <w:top w:val="nil"/>
              <w:left w:val="nil"/>
              <w:bottom w:val="nil"/>
              <w:right w:val="nil"/>
            </w:tcBorders>
            <w:noWrap/>
            <w:vAlign w:val="center"/>
            <w:hideMark/>
          </w:tcPr>
          <w:p w14:paraId="0E362679"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75.39±2.23</w:t>
            </w:r>
          </w:p>
        </w:tc>
        <w:tc>
          <w:tcPr>
            <w:tcW w:w="978" w:type="dxa"/>
            <w:tcBorders>
              <w:top w:val="nil"/>
              <w:left w:val="nil"/>
              <w:bottom w:val="nil"/>
              <w:right w:val="nil"/>
            </w:tcBorders>
            <w:noWrap/>
            <w:vAlign w:val="center"/>
            <w:hideMark/>
          </w:tcPr>
          <w:p w14:paraId="4E6E9B1D"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0.853</w:t>
            </w:r>
          </w:p>
        </w:tc>
        <w:tc>
          <w:tcPr>
            <w:tcW w:w="978" w:type="dxa"/>
            <w:tcBorders>
              <w:top w:val="nil"/>
              <w:left w:val="nil"/>
              <w:bottom w:val="nil"/>
              <w:right w:val="nil"/>
            </w:tcBorders>
            <w:noWrap/>
            <w:vAlign w:val="center"/>
            <w:hideMark/>
          </w:tcPr>
          <w:p w14:paraId="0441995B"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0.213</w:t>
            </w:r>
          </w:p>
        </w:tc>
        <w:tc>
          <w:tcPr>
            <w:tcW w:w="1292" w:type="dxa"/>
            <w:tcBorders>
              <w:top w:val="nil"/>
              <w:left w:val="nil"/>
              <w:bottom w:val="nil"/>
              <w:right w:val="nil"/>
            </w:tcBorders>
            <w:noWrap/>
            <w:vAlign w:val="center"/>
            <w:hideMark/>
          </w:tcPr>
          <w:p w14:paraId="63A4E829"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76.97</w:t>
            </w:r>
          </w:p>
        </w:tc>
        <w:tc>
          <w:tcPr>
            <w:tcW w:w="978" w:type="dxa"/>
            <w:tcBorders>
              <w:top w:val="nil"/>
              <w:left w:val="nil"/>
              <w:bottom w:val="nil"/>
              <w:right w:val="nil"/>
            </w:tcBorders>
            <w:noWrap/>
            <w:vAlign w:val="center"/>
            <w:hideMark/>
          </w:tcPr>
          <w:p w14:paraId="486B5E43"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30</w:t>
            </w:r>
          </w:p>
        </w:tc>
        <w:tc>
          <w:tcPr>
            <w:tcW w:w="1233" w:type="dxa"/>
            <w:tcBorders>
              <w:top w:val="nil"/>
              <w:left w:val="nil"/>
              <w:bottom w:val="nil"/>
              <w:right w:val="nil"/>
            </w:tcBorders>
            <w:noWrap/>
            <w:vAlign w:val="center"/>
            <w:hideMark/>
          </w:tcPr>
          <w:p w14:paraId="5A0C035C"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-10.12</w:t>
            </w:r>
          </w:p>
        </w:tc>
      </w:tr>
      <w:tr w:rsidR="006B4D0B" w:rsidRPr="006B4D0B" w14:paraId="39F2A187" w14:textId="77777777" w:rsidTr="006B4D0B">
        <w:trPr>
          <w:trHeight w:val="256"/>
        </w:trPr>
        <w:tc>
          <w:tcPr>
            <w:tcW w:w="2849" w:type="dxa"/>
            <w:tcBorders>
              <w:top w:val="nil"/>
              <w:left w:val="nil"/>
              <w:bottom w:val="nil"/>
              <w:right w:val="nil"/>
            </w:tcBorders>
            <w:noWrap/>
            <w:vAlign w:val="center"/>
            <w:hideMark/>
          </w:tcPr>
          <w:p w14:paraId="3816DCF1"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GPT OSS 20B</w:t>
            </w:r>
          </w:p>
        </w:tc>
        <w:tc>
          <w:tcPr>
            <w:tcW w:w="1757" w:type="dxa"/>
            <w:tcBorders>
              <w:top w:val="nil"/>
              <w:left w:val="nil"/>
              <w:bottom w:val="nil"/>
              <w:right w:val="nil"/>
            </w:tcBorders>
            <w:noWrap/>
            <w:vAlign w:val="center"/>
            <w:hideMark/>
          </w:tcPr>
          <w:p w14:paraId="6026DC0C" w14:textId="77777777" w:rsidR="006B4D0B" w:rsidRPr="006B4D0B" w:rsidRDefault="006B4D0B" w:rsidP="006B4D0B">
            <w:pPr>
              <w:widowControl/>
              <w:spacing w:after="0" w:line="240" w:lineRule="auto"/>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70.42±1.54</w:t>
            </w:r>
          </w:p>
        </w:tc>
        <w:tc>
          <w:tcPr>
            <w:tcW w:w="978" w:type="dxa"/>
            <w:tcBorders>
              <w:top w:val="nil"/>
              <w:left w:val="nil"/>
              <w:bottom w:val="nil"/>
              <w:right w:val="nil"/>
            </w:tcBorders>
            <w:noWrap/>
            <w:vAlign w:val="center"/>
            <w:hideMark/>
          </w:tcPr>
          <w:p w14:paraId="4DD491AC"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0.739</w:t>
            </w:r>
          </w:p>
        </w:tc>
        <w:tc>
          <w:tcPr>
            <w:tcW w:w="978" w:type="dxa"/>
            <w:tcBorders>
              <w:top w:val="nil"/>
              <w:left w:val="nil"/>
              <w:bottom w:val="nil"/>
              <w:right w:val="nil"/>
            </w:tcBorders>
            <w:noWrap/>
            <w:vAlign w:val="center"/>
            <w:hideMark/>
          </w:tcPr>
          <w:p w14:paraId="6EE5611A"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0.383</w:t>
            </w:r>
          </w:p>
        </w:tc>
        <w:tc>
          <w:tcPr>
            <w:tcW w:w="1292" w:type="dxa"/>
            <w:tcBorders>
              <w:top w:val="nil"/>
              <w:left w:val="nil"/>
              <w:bottom w:val="nil"/>
              <w:right w:val="nil"/>
            </w:tcBorders>
            <w:noWrap/>
            <w:vAlign w:val="center"/>
            <w:hideMark/>
          </w:tcPr>
          <w:p w14:paraId="70CB18AE"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61.82</w:t>
            </w:r>
          </w:p>
        </w:tc>
        <w:tc>
          <w:tcPr>
            <w:tcW w:w="978" w:type="dxa"/>
            <w:tcBorders>
              <w:top w:val="nil"/>
              <w:left w:val="nil"/>
              <w:bottom w:val="nil"/>
              <w:right w:val="nil"/>
            </w:tcBorders>
            <w:noWrap/>
            <w:vAlign w:val="center"/>
            <w:hideMark/>
          </w:tcPr>
          <w:p w14:paraId="3A7EBD54"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26</w:t>
            </w:r>
          </w:p>
        </w:tc>
        <w:tc>
          <w:tcPr>
            <w:tcW w:w="1233" w:type="dxa"/>
            <w:tcBorders>
              <w:top w:val="nil"/>
              <w:left w:val="nil"/>
              <w:bottom w:val="nil"/>
              <w:right w:val="nil"/>
            </w:tcBorders>
            <w:noWrap/>
            <w:vAlign w:val="center"/>
            <w:hideMark/>
          </w:tcPr>
          <w:p w14:paraId="2B320B92" w14:textId="77777777" w:rsidR="006B4D0B" w:rsidRPr="006B4D0B" w:rsidRDefault="006B4D0B" w:rsidP="006B4D0B">
            <w:pPr>
              <w:widowControl/>
              <w:spacing w:after="0" w:line="240" w:lineRule="auto"/>
              <w:jc w:val="right"/>
              <w:rPr>
                <w:rFonts w:ascii="Times New Roman" w:eastAsia="等线" w:hAnsi="Times New Roman" w:cs="Times New Roman"/>
                <w:color w:val="000000"/>
                <w:kern w:val="0"/>
                <w:szCs w:val="22"/>
                <w14:ligatures w14:val="none"/>
              </w:rPr>
            </w:pPr>
            <w:r w:rsidRPr="006B4D0B">
              <w:rPr>
                <w:rFonts w:ascii="Times New Roman" w:eastAsia="等线" w:hAnsi="Times New Roman" w:cs="Times New Roman"/>
                <w:color w:val="000000"/>
                <w:kern w:val="0"/>
                <w:szCs w:val="22"/>
                <w14:ligatures w14:val="none"/>
              </w:rPr>
              <w:t>-5.95</w:t>
            </w:r>
          </w:p>
        </w:tc>
      </w:tr>
    </w:tbl>
    <w:p w14:paraId="39E95D26" w14:textId="12CBA276" w:rsidR="006B4D0B" w:rsidRPr="006B4D0B" w:rsidRDefault="006B4D0B" w:rsidP="003B65AE">
      <w:pPr>
        <w:jc w:val="both"/>
        <w:rPr>
          <w:rFonts w:ascii="Times New Roman" w:hAnsi="Times New Roman" w:cs="Times New Roman" w:hint="eastAsia"/>
          <w:sz w:val="15"/>
          <w:szCs w:val="15"/>
        </w:rPr>
      </w:pPr>
      <w:r w:rsidRPr="006B4D0B">
        <w:rPr>
          <w:rFonts w:ascii="Times New Roman" w:hAnsi="Times New Roman" w:cs="Times New Roman" w:hint="eastAsia"/>
          <w:b/>
          <w:bCs/>
          <w:sz w:val="15"/>
          <w:szCs w:val="15"/>
        </w:rPr>
        <w:t xml:space="preserve">Table </w:t>
      </w:r>
      <w:r>
        <w:rPr>
          <w:rFonts w:ascii="Times New Roman" w:hAnsi="Times New Roman" w:cs="Times New Roman" w:hint="eastAsia"/>
          <w:b/>
          <w:bCs/>
          <w:sz w:val="15"/>
          <w:szCs w:val="15"/>
        </w:rPr>
        <w:t>2</w:t>
      </w:r>
      <w:r w:rsidRPr="006B4D0B">
        <w:rPr>
          <w:rFonts w:ascii="Times New Roman" w:hAnsi="Times New Roman" w:cs="Times New Roman" w:hint="eastAsia"/>
          <w:b/>
          <w:bCs/>
          <w:sz w:val="15"/>
          <w:szCs w:val="15"/>
        </w:rPr>
        <w:t xml:space="preserve">. </w:t>
      </w:r>
      <w:r w:rsidR="00677D31">
        <w:rPr>
          <w:rFonts w:ascii="Times New Roman" w:hAnsi="Times New Roman" w:cs="Times New Roman" w:hint="eastAsia"/>
          <w:b/>
          <w:bCs/>
          <w:sz w:val="15"/>
          <w:szCs w:val="15"/>
        </w:rPr>
        <w:t>Agentic</w:t>
      </w:r>
      <w:r w:rsidRPr="006B4D0B">
        <w:rPr>
          <w:rFonts w:ascii="Times New Roman" w:hAnsi="Times New Roman" w:cs="Times New Roman" w:hint="eastAsia"/>
          <w:b/>
          <w:bCs/>
          <w:sz w:val="15"/>
          <w:szCs w:val="15"/>
        </w:rPr>
        <w:t xml:space="preserve"> model summary metrics on the 165-item CMCA benchmark.</w:t>
      </w:r>
      <w:r w:rsidRPr="006B4D0B">
        <w:rPr>
          <w:rFonts w:ascii="Times New Roman" w:hAnsi="Times New Roman" w:cs="Times New Roman" w:hint="eastAsia"/>
          <w:sz w:val="15"/>
          <w:szCs w:val="15"/>
        </w:rPr>
        <w:t xml:space="preserve"> Each model was evaluated under the </w:t>
      </w:r>
      <w:r>
        <w:rPr>
          <w:rFonts w:ascii="Times New Roman" w:hAnsi="Times New Roman" w:cs="Times New Roman" w:hint="eastAsia"/>
          <w:sz w:val="15"/>
          <w:szCs w:val="15"/>
        </w:rPr>
        <w:t>agentic</w:t>
      </w:r>
      <w:r w:rsidRPr="006B4D0B">
        <w:rPr>
          <w:rFonts w:ascii="Times New Roman" w:hAnsi="Times New Roman" w:cs="Times New Roman" w:hint="eastAsia"/>
          <w:sz w:val="15"/>
          <w:szCs w:val="15"/>
        </w:rPr>
        <w:t xml:space="preserve"> workflow </w:t>
      </w:r>
      <w:r>
        <w:rPr>
          <w:rFonts w:ascii="Times New Roman" w:hAnsi="Times New Roman" w:cs="Times New Roman" w:hint="eastAsia"/>
          <w:sz w:val="15"/>
          <w:szCs w:val="15"/>
        </w:rPr>
        <w:t xml:space="preserve">(Planner-Reasoner-Critic) </w:t>
      </w:r>
      <w:r w:rsidRPr="006B4D0B">
        <w:rPr>
          <w:rFonts w:ascii="Times New Roman" w:hAnsi="Times New Roman" w:cs="Times New Roman" w:hint="eastAsia"/>
          <w:sz w:val="15"/>
          <w:szCs w:val="15"/>
        </w:rPr>
        <w:t xml:space="preserve">with five independent repeats covering all 165 items. Models are ordered by </w:t>
      </w:r>
      <w:proofErr w:type="gramStart"/>
      <w:r w:rsidRPr="006B4D0B">
        <w:rPr>
          <w:rFonts w:ascii="Times New Roman" w:hAnsi="Times New Roman" w:cs="Times New Roman" w:hint="eastAsia"/>
          <w:sz w:val="15"/>
          <w:szCs w:val="15"/>
        </w:rPr>
        <w:t>mean</w:t>
      </w:r>
      <w:proofErr w:type="gramEnd"/>
      <w:r w:rsidRPr="006B4D0B">
        <w:rPr>
          <w:rFonts w:ascii="Times New Roman" w:hAnsi="Times New Roman" w:cs="Times New Roman" w:hint="eastAsia"/>
          <w:sz w:val="15"/>
          <w:szCs w:val="15"/>
        </w:rPr>
        <w:t xml:space="preserve"> accuracy.</w:t>
      </w:r>
    </w:p>
    <w:p w14:paraId="41C548B9" w14:textId="44472002" w:rsidR="005E6DA0" w:rsidRPr="008C7252" w:rsidRDefault="005E6DA0" w:rsidP="008C7252">
      <w:pPr>
        <w:jc w:val="both"/>
        <w:rPr>
          <w:rFonts w:ascii="Times New Roman" w:hAnsi="Times New Roman" w:cs="Times New Roman"/>
        </w:rPr>
      </w:pPr>
      <w:r w:rsidRPr="008C7252">
        <w:rPr>
          <w:rFonts w:ascii="Times New Roman" w:hAnsi="Times New Roman" w:cs="Times New Roman"/>
        </w:rPr>
        <w:t>Instability amplification</w:t>
      </w:r>
      <w:r w:rsidR="008C7252">
        <w:rPr>
          <w:rFonts w:ascii="Times New Roman" w:hAnsi="Times New Roman" w:cs="Times New Roman" w:hint="eastAsia"/>
        </w:rPr>
        <w:t>:</w:t>
      </w:r>
      <w:r w:rsidRPr="008C7252">
        <w:rPr>
          <w:rFonts w:ascii="Times New Roman" w:hAnsi="Times New Roman" w:cs="Times New Roman"/>
        </w:rPr>
        <w:t xml:space="preserve"> </w:t>
      </w:r>
      <w:r w:rsidR="00A34135" w:rsidRPr="00A34135">
        <w:rPr>
          <w:rFonts w:ascii="Times New Roman" w:hAnsi="Times New Roman" w:cs="Times New Roman"/>
        </w:rPr>
        <w:t>Contrary to the expectation that reasoning stabilizes output, the agentic workflow degraded reliability for multiple models.</w:t>
      </w:r>
      <w:r w:rsidR="00A34135">
        <w:rPr>
          <w:rFonts w:ascii="Times New Roman" w:hAnsi="Times New Roman" w:cs="Times New Roman" w:hint="eastAsia"/>
        </w:rPr>
        <w:t xml:space="preserve"> </w:t>
      </w:r>
      <w:r w:rsidRPr="008C7252">
        <w:rPr>
          <w:rFonts w:ascii="Times New Roman" w:hAnsi="Times New Roman" w:cs="Times New Roman"/>
        </w:rPr>
        <w:t xml:space="preserve">Fleiss’ κ </w:t>
      </w:r>
      <w:r w:rsidR="00A34135" w:rsidRPr="00A34135">
        <w:rPr>
          <w:rFonts w:ascii="Times New Roman" w:hAnsi="Times New Roman" w:cs="Times New Roman"/>
        </w:rPr>
        <w:t xml:space="preserve">values dispersed to a range </w:t>
      </w:r>
      <w:r w:rsidR="00A34135" w:rsidRPr="00A34135">
        <w:rPr>
          <w:rFonts w:ascii="Times New Roman" w:hAnsi="Times New Roman" w:cs="Times New Roman"/>
        </w:rPr>
        <w:lastRenderedPageBreak/>
        <w:t>of</w:t>
      </w:r>
      <w:r w:rsidRPr="008C7252">
        <w:rPr>
          <w:rFonts w:ascii="Times New Roman" w:hAnsi="Times New Roman" w:cs="Times New Roman"/>
        </w:rPr>
        <w:t xml:space="preserve"> 0.739 to 0.997 and mean entropy from 0.004 to 0.383 bits (Supplementary Fig. S2 and S4; Table 2). </w:t>
      </w:r>
      <w:r w:rsidR="0028035E" w:rsidRPr="0028035E">
        <w:rPr>
          <w:rFonts w:ascii="Times New Roman" w:hAnsi="Times New Roman" w:cs="Times New Roman"/>
        </w:rPr>
        <w:t>At the cohort level, the agentic intervention was associated with a median decrease in self-consistency</w:t>
      </w:r>
      <w:r w:rsidRPr="008C7252">
        <w:rPr>
          <w:rFonts w:ascii="Times New Roman" w:hAnsi="Times New Roman" w:cs="Times New Roman"/>
        </w:rPr>
        <w:t xml:space="preserve"> (</w:t>
      </w:r>
      <w:proofErr w:type="spellStart"/>
      <w:r w:rsidRPr="008C7252">
        <w:rPr>
          <w:rFonts w:ascii="Times New Roman" w:hAnsi="Times New Roman" w:cs="Times New Roman"/>
        </w:rPr>
        <w:t>Δκ</w:t>
      </w:r>
      <w:proofErr w:type="spellEnd"/>
      <w:r w:rsidRPr="008C7252">
        <w:rPr>
          <w:rFonts w:ascii="Times New Roman" w:hAnsi="Times New Roman" w:cs="Times New Roman"/>
        </w:rPr>
        <w:t xml:space="preserve"> = -0.045</w:t>
      </w:r>
      <w:r w:rsidR="0004097D">
        <w:rPr>
          <w:rFonts w:ascii="Times New Roman" w:hAnsi="Times New Roman" w:cs="Times New Roman" w:hint="eastAsia"/>
        </w:rPr>
        <w:t>) and a</w:t>
      </w:r>
      <w:r w:rsidRPr="008C7252">
        <w:rPr>
          <w:rFonts w:ascii="Times New Roman" w:hAnsi="Times New Roman" w:cs="Times New Roman"/>
        </w:rPr>
        <w:t xml:space="preserve"> median</w:t>
      </w:r>
      <w:r w:rsidR="0004097D">
        <w:rPr>
          <w:rFonts w:ascii="Times New Roman" w:hAnsi="Times New Roman" w:cs="Times New Roman" w:hint="eastAsia"/>
        </w:rPr>
        <w:t xml:space="preserve"> increase in uncertainty</w:t>
      </w:r>
      <w:r w:rsidRPr="008C7252">
        <w:rPr>
          <w:rFonts w:ascii="Times New Roman" w:hAnsi="Times New Roman" w:cs="Times New Roman"/>
        </w:rPr>
        <w:t xml:space="preserve"> </w:t>
      </w:r>
      <w:r w:rsidR="0004097D">
        <w:rPr>
          <w:rFonts w:ascii="Times New Roman" w:hAnsi="Times New Roman" w:cs="Times New Roman" w:hint="eastAsia"/>
        </w:rPr>
        <w:t>(</w:t>
      </w:r>
      <w:proofErr w:type="spellStart"/>
      <w:r w:rsidRPr="008C7252">
        <w:rPr>
          <w:rFonts w:ascii="Times New Roman" w:hAnsi="Times New Roman" w:cs="Times New Roman"/>
        </w:rPr>
        <w:t>Δ</w:t>
      </w:r>
      <w:r w:rsidR="0004097D">
        <w:rPr>
          <w:rFonts w:ascii="Times New Roman" w:hAnsi="Times New Roman" w:cs="Times New Roman" w:hint="eastAsia"/>
        </w:rPr>
        <w:t>E</w:t>
      </w:r>
      <w:r w:rsidRPr="008C7252">
        <w:rPr>
          <w:rFonts w:ascii="Times New Roman" w:hAnsi="Times New Roman" w:cs="Times New Roman"/>
        </w:rPr>
        <w:t>ntropy</w:t>
      </w:r>
      <w:proofErr w:type="spellEnd"/>
      <w:r w:rsidRPr="008C7252">
        <w:rPr>
          <w:rFonts w:ascii="Times New Roman" w:hAnsi="Times New Roman" w:cs="Times New Roman"/>
        </w:rPr>
        <w:t xml:space="preserve"> = +0.069 bits).</w:t>
      </w:r>
      <w:r w:rsidR="0004097D">
        <w:rPr>
          <w:rFonts w:ascii="Times New Roman" w:hAnsi="Times New Roman" w:cs="Times New Roman" w:hint="eastAsia"/>
        </w:rPr>
        <w:t xml:space="preserve"> S</w:t>
      </w:r>
      <w:r w:rsidR="0004097D" w:rsidRPr="008C7252">
        <w:rPr>
          <w:rFonts w:ascii="Times New Roman" w:hAnsi="Times New Roman" w:cs="Times New Roman"/>
        </w:rPr>
        <w:t xml:space="preserve">trict answer consistency dropped as low as 61.82%, </w:t>
      </w:r>
      <w:r w:rsidR="00FA49FA">
        <w:rPr>
          <w:rFonts w:ascii="Times New Roman" w:hAnsi="Times New Roman" w:cs="Times New Roman" w:hint="eastAsia"/>
        </w:rPr>
        <w:t xml:space="preserve">reflecting </w:t>
      </w:r>
      <w:r w:rsidR="00FA49FA" w:rsidRPr="00FA49FA">
        <w:rPr>
          <w:rFonts w:ascii="Times New Roman" w:hAnsi="Times New Roman" w:cs="Times New Roman"/>
        </w:rPr>
        <w:t>the accumulation of stochasticity across multi-step reasoning chains</w:t>
      </w:r>
      <w:r w:rsidR="0004097D" w:rsidRPr="008C7252">
        <w:rPr>
          <w:rFonts w:ascii="Times New Roman" w:hAnsi="Times New Roman" w:cs="Times New Roman"/>
        </w:rPr>
        <w:t xml:space="preserve"> (Table 2)</w:t>
      </w:r>
    </w:p>
    <w:p w14:paraId="19CA44C0" w14:textId="330F6ED5" w:rsidR="005E6DA0" w:rsidRPr="008631D9" w:rsidRDefault="005E6DA0" w:rsidP="008631D9">
      <w:pPr>
        <w:jc w:val="both"/>
        <w:rPr>
          <w:rFonts w:ascii="Times New Roman" w:hAnsi="Times New Roman" w:cs="Times New Roman"/>
        </w:rPr>
      </w:pPr>
      <w:r w:rsidRPr="00FA49FA">
        <w:rPr>
          <w:rFonts w:ascii="Times New Roman" w:hAnsi="Times New Roman" w:cs="Times New Roman"/>
        </w:rPr>
        <w:t>Emergent blind spots</w:t>
      </w:r>
      <w:r w:rsidR="00FA49FA">
        <w:rPr>
          <w:rFonts w:ascii="Times New Roman" w:hAnsi="Times New Roman" w:cs="Times New Roman" w:hint="eastAsia"/>
        </w:rPr>
        <w:t>:</w:t>
      </w:r>
      <w:r w:rsidRPr="00FA49FA">
        <w:rPr>
          <w:rFonts w:ascii="Times New Roman" w:hAnsi="Times New Roman" w:cs="Times New Roman"/>
        </w:rPr>
        <w:t xml:space="preserve"> </w:t>
      </w:r>
      <w:r w:rsidR="00A70560">
        <w:rPr>
          <w:rFonts w:ascii="Times New Roman" w:hAnsi="Times New Roman" w:cs="Times New Roman" w:hint="eastAsia"/>
        </w:rPr>
        <w:t>I</w:t>
      </w:r>
      <w:r w:rsidR="00A70560" w:rsidRPr="00A70560">
        <w:rPr>
          <w:rFonts w:ascii="Times New Roman" w:hAnsi="Times New Roman" w:cs="Times New Roman"/>
        </w:rPr>
        <w:t>tem-level diagnosis revealed that while three Absolute Cold Spots</w:t>
      </w:r>
      <w:r w:rsidRPr="00FA49FA">
        <w:rPr>
          <w:rFonts w:ascii="Times New Roman" w:hAnsi="Times New Roman" w:cs="Times New Roman"/>
        </w:rPr>
        <w:t xml:space="preserve"> (</w:t>
      </w:r>
      <w:r w:rsidR="00A70560">
        <w:rPr>
          <w:rFonts w:ascii="Times New Roman" w:hAnsi="Times New Roman" w:cs="Times New Roman" w:hint="eastAsia"/>
        </w:rPr>
        <w:t xml:space="preserve">Items </w:t>
      </w:r>
      <w:r w:rsidR="00A70560" w:rsidRPr="00FA49FA">
        <w:rPr>
          <w:rFonts w:ascii="Times New Roman" w:hAnsi="Times New Roman" w:cs="Times New Roman"/>
        </w:rPr>
        <w:t>9, 35, 42</w:t>
      </w:r>
      <w:r w:rsidRPr="00FA49FA">
        <w:rPr>
          <w:rFonts w:ascii="Times New Roman" w:hAnsi="Times New Roman" w:cs="Times New Roman"/>
        </w:rPr>
        <w:t>)</w:t>
      </w:r>
      <w:r w:rsidR="00A70560">
        <w:rPr>
          <w:rFonts w:ascii="Times New Roman" w:hAnsi="Times New Roman" w:cs="Times New Roman" w:hint="eastAsia"/>
        </w:rPr>
        <w:t xml:space="preserve"> persisted from the baseline, item 137 emerged as new, agentic specific absolute blind spot (</w:t>
      </w:r>
      <w:r w:rsidR="00A70560" w:rsidRPr="00FA49FA">
        <w:rPr>
          <w:rFonts w:ascii="Times New Roman" w:hAnsi="Times New Roman" w:cs="Times New Roman"/>
        </w:rPr>
        <w:t xml:space="preserve">Fig. </w:t>
      </w:r>
      <w:r w:rsidR="00844540">
        <w:rPr>
          <w:rFonts w:ascii="Times New Roman" w:hAnsi="Times New Roman" w:cs="Times New Roman" w:hint="eastAsia"/>
        </w:rPr>
        <w:t>2B</w:t>
      </w:r>
      <w:r w:rsidR="00A70560">
        <w:rPr>
          <w:rFonts w:ascii="Times New Roman" w:hAnsi="Times New Roman" w:cs="Times New Roman" w:hint="eastAsia"/>
        </w:rPr>
        <w:t xml:space="preserve">, </w:t>
      </w:r>
      <w:r w:rsidR="00A70560" w:rsidRPr="00FA49FA">
        <w:rPr>
          <w:rFonts w:ascii="Times New Roman" w:hAnsi="Times New Roman" w:cs="Times New Roman"/>
        </w:rPr>
        <w:t>Supplementary Fig. S7</w:t>
      </w:r>
      <w:r w:rsidR="00A70560">
        <w:rPr>
          <w:rFonts w:ascii="Times New Roman" w:hAnsi="Times New Roman" w:cs="Times New Roman" w:hint="eastAsia"/>
        </w:rPr>
        <w:t>)</w:t>
      </w:r>
      <w:r w:rsidRPr="00FA49FA">
        <w:rPr>
          <w:rFonts w:ascii="Times New Roman" w:hAnsi="Times New Roman" w:cs="Times New Roman"/>
        </w:rPr>
        <w:t xml:space="preserve">. </w:t>
      </w:r>
      <w:r w:rsidR="00A70560">
        <w:rPr>
          <w:rFonts w:ascii="Times New Roman" w:hAnsi="Times New Roman" w:cs="Times New Roman" w:hint="eastAsia"/>
        </w:rPr>
        <w:t>Crucially</w:t>
      </w:r>
      <w:r w:rsidRPr="00FA49FA">
        <w:rPr>
          <w:rFonts w:ascii="Times New Roman" w:hAnsi="Times New Roman" w:cs="Times New Roman"/>
        </w:rPr>
        <w:t xml:space="preserve">, item 137 </w:t>
      </w:r>
      <w:r w:rsidR="00A70560" w:rsidRPr="00A70560">
        <w:rPr>
          <w:rFonts w:ascii="Times New Roman" w:hAnsi="Times New Roman" w:cs="Times New Roman"/>
        </w:rPr>
        <w:t>transitioned to a "Confident Failure" mode (0/5 correct, entropy = 0) under the agentic protocol, suggesting that the workflow actively reinforced an incorrect reasoning path for this specific case</w:t>
      </w:r>
      <w:r w:rsidRPr="00FA49FA">
        <w:rPr>
          <w:rFonts w:ascii="Times New Roman" w:hAnsi="Times New Roman" w:cs="Times New Roman"/>
        </w:rPr>
        <w:t xml:space="preserve"> (Supplementary Fig. S4).</w:t>
      </w:r>
    </w:p>
    <w:p w14:paraId="7FBC26B4" w14:textId="7D4AD20C" w:rsidR="005E6DA0" w:rsidRPr="008631D9" w:rsidRDefault="005E6DA0" w:rsidP="008631D9">
      <w:pPr>
        <w:pStyle w:val="a9"/>
        <w:widowControl/>
        <w:numPr>
          <w:ilvl w:val="1"/>
          <w:numId w:val="5"/>
        </w:numPr>
        <w:shd w:val="clear" w:color="auto" w:fill="FFFFFF"/>
        <w:spacing w:after="0" w:line="285" w:lineRule="atLeast"/>
        <w:jc w:val="both"/>
        <w:rPr>
          <w:rFonts w:ascii="Times New Roman" w:eastAsia="宋体" w:hAnsi="Times New Roman" w:cs="Times New Roman"/>
          <w:b/>
          <w:bCs/>
          <w:kern w:val="0"/>
          <w:sz w:val="24"/>
          <w14:ligatures w14:val="none"/>
        </w:rPr>
      </w:pPr>
      <w:r w:rsidRPr="008631D9">
        <w:rPr>
          <w:rFonts w:ascii="Times New Roman" w:eastAsia="宋体" w:hAnsi="Times New Roman" w:cs="Times New Roman"/>
          <w:b/>
          <w:bCs/>
          <w:kern w:val="0"/>
          <w:sz w:val="24"/>
          <w14:ligatures w14:val="none"/>
        </w:rPr>
        <w:t xml:space="preserve"> Impact of the agentic workflow</w:t>
      </w:r>
    </w:p>
    <w:p w14:paraId="38110C0A" w14:textId="5A9A6A92" w:rsidR="005E6DA0" w:rsidRDefault="00392F23" w:rsidP="00392F23">
      <w:pPr>
        <w:jc w:val="both"/>
        <w:rPr>
          <w:rFonts w:ascii="Times New Roman" w:hAnsi="Times New Roman" w:cs="Times New Roman"/>
        </w:rPr>
      </w:pPr>
      <w:r w:rsidRPr="00392F23">
        <w:rPr>
          <w:rFonts w:ascii="Times New Roman" w:hAnsi="Times New Roman" w:cs="Times New Roman"/>
        </w:rPr>
        <w:t xml:space="preserve">We quantified the net clinical impact of the agentic workflow by treating it as an intervention and analyzing paired outcomes (Fig. </w:t>
      </w:r>
      <w:r w:rsidR="00844540">
        <w:rPr>
          <w:rFonts w:ascii="Times New Roman" w:hAnsi="Times New Roman" w:cs="Times New Roman" w:hint="eastAsia"/>
        </w:rPr>
        <w:t>3</w:t>
      </w:r>
      <w:r w:rsidRPr="00392F23">
        <w:rPr>
          <w:rFonts w:ascii="Times New Roman" w:hAnsi="Times New Roman" w:cs="Times New Roman"/>
        </w:rPr>
        <w:t>)</w:t>
      </w:r>
    </w:p>
    <w:p w14:paraId="55E5D841" w14:textId="7D523229" w:rsidR="00AF69EA" w:rsidRDefault="00AF69EA" w:rsidP="00392F23">
      <w:pPr>
        <w:jc w:val="both"/>
        <w:rPr>
          <w:rFonts w:ascii="Times New Roman" w:hAnsi="Times New Roman" w:cs="Times New Roman"/>
        </w:rPr>
      </w:pPr>
      <w:r>
        <w:rPr>
          <w:rFonts w:ascii="Times New Roman" w:hAnsi="Times New Roman" w:cs="Times New Roman"/>
          <w:noProof/>
        </w:rPr>
        <w:drawing>
          <wp:inline distT="0" distB="0" distL="0" distR="0" wp14:anchorId="3D3267D9" wp14:editId="3BE7D698">
            <wp:extent cx="4872624" cy="3344832"/>
            <wp:effectExtent l="0" t="0" r="4445" b="8255"/>
            <wp:docPr id="14753582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74541" cy="3346148"/>
                    </a:xfrm>
                    <a:prstGeom prst="rect">
                      <a:avLst/>
                    </a:prstGeom>
                    <a:noFill/>
                    <a:ln>
                      <a:noFill/>
                    </a:ln>
                  </pic:spPr>
                </pic:pic>
              </a:graphicData>
            </a:graphic>
          </wp:inline>
        </w:drawing>
      </w:r>
    </w:p>
    <w:p w14:paraId="07C9ADB3" w14:textId="2825DDAB" w:rsidR="00AF69EA" w:rsidRPr="00622FAE" w:rsidRDefault="00AF69EA" w:rsidP="00392F23">
      <w:pPr>
        <w:jc w:val="both"/>
        <w:rPr>
          <w:rFonts w:ascii="Times New Roman" w:hAnsi="Times New Roman" w:cs="Times New Roman"/>
          <w:sz w:val="15"/>
          <w:szCs w:val="16"/>
        </w:rPr>
      </w:pPr>
      <w:r w:rsidRPr="00AF69EA">
        <w:rPr>
          <w:rFonts w:ascii="Times New Roman" w:hAnsi="Times New Roman" w:cs="Times New Roman"/>
          <w:b/>
          <w:bCs/>
          <w:sz w:val="15"/>
          <w:szCs w:val="16"/>
        </w:rPr>
        <w:t xml:space="preserve">Fig. 3. Overall performance </w:t>
      </w:r>
      <w:proofErr w:type="gramStart"/>
      <w:r w:rsidRPr="00AF69EA">
        <w:rPr>
          <w:rFonts w:ascii="Times New Roman" w:hAnsi="Times New Roman" w:cs="Times New Roman"/>
          <w:b/>
          <w:bCs/>
          <w:sz w:val="15"/>
          <w:szCs w:val="16"/>
        </w:rPr>
        <w:t>change</w:t>
      </w:r>
      <w:proofErr w:type="gramEnd"/>
      <w:r w:rsidRPr="00AF69EA">
        <w:rPr>
          <w:rFonts w:ascii="Times New Roman" w:hAnsi="Times New Roman" w:cs="Times New Roman"/>
          <w:b/>
          <w:bCs/>
          <w:sz w:val="15"/>
          <w:szCs w:val="16"/>
        </w:rPr>
        <w:t xml:space="preserve"> from baseline to agentic evaluation.</w:t>
      </w:r>
      <w:r>
        <w:rPr>
          <w:rFonts w:ascii="Times New Roman" w:hAnsi="Times New Roman" w:cs="Times New Roman" w:hint="eastAsia"/>
          <w:sz w:val="15"/>
          <w:szCs w:val="16"/>
        </w:rPr>
        <w:t xml:space="preserve"> </w:t>
      </w:r>
      <w:r w:rsidRPr="00AF69EA">
        <w:rPr>
          <w:rFonts w:ascii="Times New Roman" w:hAnsi="Times New Roman" w:cs="Times New Roman"/>
          <w:sz w:val="15"/>
          <w:szCs w:val="16"/>
        </w:rPr>
        <w:t>For each model, mean accuracy (+/- 95% CI across 5 trials) is shown for baseline (gray) and agentic (blue) protocols. Right-side annotations report the paired difference (agentic - baseline) in percentage points.</w:t>
      </w:r>
    </w:p>
    <w:p w14:paraId="1E0948CE" w14:textId="0CECD0E3" w:rsidR="005E6DA0" w:rsidRPr="00392F23" w:rsidRDefault="00CC40B8" w:rsidP="007058DD">
      <w:pPr>
        <w:jc w:val="both"/>
        <w:rPr>
          <w:rFonts w:ascii="Times New Roman" w:hAnsi="Times New Roman" w:cs="Times New Roman" w:hint="eastAsia"/>
        </w:rPr>
      </w:pPr>
      <w:r w:rsidRPr="00CC40B8">
        <w:rPr>
          <w:rFonts w:ascii="Times New Roman" w:hAnsi="Times New Roman" w:cs="Times New Roman" w:hint="eastAsia"/>
        </w:rPr>
        <w:t xml:space="preserve">The impact of the agentic workflow was highly heterogeneous and predominantly deleterious. </w:t>
      </w:r>
      <w:proofErr w:type="gramStart"/>
      <w:r w:rsidRPr="00CC40B8">
        <w:rPr>
          <w:rFonts w:ascii="Times New Roman" w:hAnsi="Times New Roman" w:cs="Times New Roman" w:hint="eastAsia"/>
        </w:rPr>
        <w:t>Averaged</w:t>
      </w:r>
      <w:proofErr w:type="gramEnd"/>
      <w:r w:rsidRPr="00CC40B8">
        <w:rPr>
          <w:rFonts w:ascii="Times New Roman" w:hAnsi="Times New Roman" w:cs="Times New Roman" w:hint="eastAsia"/>
        </w:rPr>
        <w:t xml:space="preserve"> across the cohort, global mean accuracy declined from 82.74% (Baseline) to 80.21% (Agentic)</w:t>
      </w:r>
      <w:r w:rsidR="005E6DA0" w:rsidRPr="00392F23">
        <w:rPr>
          <w:rFonts w:ascii="Times New Roman" w:hAnsi="Times New Roman" w:cs="Times New Roman"/>
        </w:rPr>
        <w:t xml:space="preserve">, a net shift of </w:t>
      </w:r>
      <w:r w:rsidR="00265474">
        <w:rPr>
          <w:rFonts w:ascii="Times New Roman" w:hAnsi="Times New Roman" w:cs="Times New Roman" w:hint="eastAsia"/>
        </w:rPr>
        <w:t>-</w:t>
      </w:r>
      <w:r w:rsidR="005E6DA0" w:rsidRPr="00392F23">
        <w:rPr>
          <w:rFonts w:ascii="Times New Roman" w:hAnsi="Times New Roman" w:cs="Times New Roman"/>
        </w:rPr>
        <w:t xml:space="preserve">2.53 percentage points. </w:t>
      </w:r>
      <w:r w:rsidRPr="00CC40B8">
        <w:rPr>
          <w:rFonts w:ascii="Times New Roman" w:hAnsi="Times New Roman" w:cs="Times New Roman" w:hint="eastAsia"/>
        </w:rPr>
        <w:t>Only 2 of 11 models achieved performance gains</w:t>
      </w:r>
      <w:r>
        <w:rPr>
          <w:rFonts w:ascii="Times New Roman" w:hAnsi="Times New Roman" w:cs="Times New Roman" w:hint="eastAsia"/>
        </w:rPr>
        <w:t>,</w:t>
      </w:r>
      <w:r w:rsidR="005E6DA0" w:rsidRPr="00392F23">
        <w:rPr>
          <w:rFonts w:ascii="Times New Roman" w:hAnsi="Times New Roman" w:cs="Times New Roman"/>
        </w:rPr>
        <w:t xml:space="preserve"> </w:t>
      </w:r>
      <w:r>
        <w:rPr>
          <w:rFonts w:ascii="Times New Roman" w:hAnsi="Times New Roman" w:cs="Times New Roman" w:hint="eastAsia"/>
        </w:rPr>
        <w:t>(</w:t>
      </w:r>
      <w:r w:rsidR="005E6DA0" w:rsidRPr="00392F23">
        <w:rPr>
          <w:rFonts w:ascii="Times New Roman" w:hAnsi="Times New Roman" w:cs="Times New Roman"/>
        </w:rPr>
        <w:t>Claude Opus 4.5</w:t>
      </w:r>
      <w:r>
        <w:rPr>
          <w:rFonts w:ascii="Times New Roman" w:hAnsi="Times New Roman" w:cs="Times New Roman" w:hint="eastAsia"/>
        </w:rPr>
        <w:t>:</w:t>
      </w:r>
      <w:r w:rsidR="005E6DA0" w:rsidRPr="00392F23">
        <w:rPr>
          <w:rFonts w:ascii="Times New Roman" w:hAnsi="Times New Roman" w:cs="Times New Roman"/>
        </w:rPr>
        <w:t xml:space="preserve"> </w:t>
      </w:r>
      <w:r w:rsidR="00265474">
        <w:rPr>
          <w:rFonts w:ascii="Times New Roman" w:hAnsi="Times New Roman" w:cs="Times New Roman" w:hint="eastAsia"/>
        </w:rPr>
        <w:t>+</w:t>
      </w:r>
      <w:r w:rsidR="005E6DA0" w:rsidRPr="00392F23">
        <w:rPr>
          <w:rFonts w:ascii="Times New Roman" w:hAnsi="Times New Roman" w:cs="Times New Roman"/>
        </w:rPr>
        <w:t>3.64 percentage points</w:t>
      </w:r>
      <w:r>
        <w:rPr>
          <w:rFonts w:ascii="Times New Roman" w:hAnsi="Times New Roman" w:cs="Times New Roman" w:hint="eastAsia"/>
        </w:rPr>
        <w:t xml:space="preserve">(pp); </w:t>
      </w:r>
      <w:r w:rsidRPr="00392F23">
        <w:rPr>
          <w:rFonts w:ascii="Times New Roman" w:hAnsi="Times New Roman" w:cs="Times New Roman"/>
        </w:rPr>
        <w:t>Qwen3 30B A3B Thinking</w:t>
      </w:r>
      <w:r>
        <w:rPr>
          <w:rFonts w:ascii="Times New Roman" w:hAnsi="Times New Roman" w:cs="Times New Roman" w:hint="eastAsia"/>
        </w:rPr>
        <w:t xml:space="preserve">: </w:t>
      </w:r>
      <w:r w:rsidRPr="00392F23">
        <w:rPr>
          <w:rFonts w:ascii="Times New Roman" w:hAnsi="Times New Roman" w:cs="Times New Roman"/>
        </w:rPr>
        <w:t xml:space="preserve">+1.58 </w:t>
      </w:r>
      <w:r>
        <w:rPr>
          <w:rFonts w:ascii="Times New Roman" w:hAnsi="Times New Roman" w:cs="Times New Roman" w:hint="eastAsia"/>
        </w:rPr>
        <w:t>pp</w:t>
      </w:r>
      <w:r w:rsidR="005E6DA0" w:rsidRPr="00392F23">
        <w:rPr>
          <w:rFonts w:ascii="Times New Roman" w:hAnsi="Times New Roman" w:cs="Times New Roman"/>
        </w:rPr>
        <w:t xml:space="preserve">), while </w:t>
      </w:r>
      <w:r w:rsidR="00265474">
        <w:rPr>
          <w:rFonts w:ascii="Times New Roman" w:hAnsi="Times New Roman" w:cs="Times New Roman" w:hint="eastAsia"/>
        </w:rPr>
        <w:t>9 models suffered regression. T</w:t>
      </w:r>
      <w:r w:rsidR="005E6DA0" w:rsidRPr="00392F23">
        <w:rPr>
          <w:rFonts w:ascii="Times New Roman" w:hAnsi="Times New Roman" w:cs="Times New Roman"/>
        </w:rPr>
        <w:t>he largest degradations were observed for Qwen3 Max (-</w:t>
      </w:r>
      <w:r w:rsidR="005E6DA0" w:rsidRPr="00392F23">
        <w:rPr>
          <w:rFonts w:ascii="Times New Roman" w:hAnsi="Times New Roman" w:cs="Times New Roman"/>
        </w:rPr>
        <w:lastRenderedPageBreak/>
        <w:t xml:space="preserve">9.33 </w:t>
      </w:r>
      <w:r w:rsidR="00265474">
        <w:rPr>
          <w:rFonts w:ascii="Times New Roman" w:hAnsi="Times New Roman" w:cs="Times New Roman" w:hint="eastAsia"/>
        </w:rPr>
        <w:t>pp</w:t>
      </w:r>
      <w:r w:rsidR="005E6DA0" w:rsidRPr="00392F23">
        <w:rPr>
          <w:rFonts w:ascii="Times New Roman" w:hAnsi="Times New Roman" w:cs="Times New Roman"/>
        </w:rPr>
        <w:t xml:space="preserve">) and GPT OSS 20B (-8.00 </w:t>
      </w:r>
      <w:r w:rsidR="003610F3">
        <w:rPr>
          <w:rFonts w:ascii="Times New Roman" w:hAnsi="Times New Roman" w:cs="Times New Roman" w:hint="eastAsia"/>
        </w:rPr>
        <w:t>pp</w:t>
      </w:r>
      <w:r w:rsidR="005E6DA0" w:rsidRPr="00392F23">
        <w:rPr>
          <w:rFonts w:ascii="Times New Roman" w:hAnsi="Times New Roman" w:cs="Times New Roman"/>
        </w:rPr>
        <w:t xml:space="preserve">). </w:t>
      </w:r>
      <w:r w:rsidR="003610F3" w:rsidRPr="003610F3">
        <w:rPr>
          <w:rFonts w:ascii="Times New Roman" w:hAnsi="Times New Roman" w:cs="Times New Roman"/>
        </w:rPr>
        <w:t>These shifts resulted in substantial rank re-ordering</w:t>
      </w:r>
      <w:r w:rsidR="005E6DA0" w:rsidRPr="00392F23">
        <w:rPr>
          <w:rFonts w:ascii="Times New Roman" w:hAnsi="Times New Roman" w:cs="Times New Roman"/>
        </w:rPr>
        <w:t xml:space="preserve"> (Fig. 5).</w:t>
      </w:r>
      <w:r w:rsidR="007058DD">
        <w:rPr>
          <w:rFonts w:ascii="Times New Roman" w:hAnsi="Times New Roman" w:cs="Times New Roman" w:hint="eastAsia"/>
        </w:rPr>
        <w:t xml:space="preserve"> </w:t>
      </w:r>
      <w:r w:rsidR="007058DD" w:rsidRPr="007058DD">
        <w:rPr>
          <w:rFonts w:ascii="Times New Roman" w:hAnsi="Times New Roman" w:cs="Times New Roman" w:hint="eastAsia"/>
        </w:rPr>
        <w:t>Latency</w:t>
      </w:r>
      <w:r w:rsidR="007058DD" w:rsidRPr="007058DD">
        <w:rPr>
          <w:rFonts w:ascii="Times New Roman" w:hAnsi="Times New Roman" w:cs="Times New Roman" w:hint="eastAsia"/>
        </w:rPr>
        <w:t>–</w:t>
      </w:r>
      <w:r w:rsidR="007058DD" w:rsidRPr="007058DD">
        <w:rPr>
          <w:rFonts w:ascii="Times New Roman" w:hAnsi="Times New Roman" w:cs="Times New Roman" w:hint="eastAsia"/>
        </w:rPr>
        <w:t>accuracy trade-offs (Pareto frontiers) under baseline and agentic protocols are shown in Supplementary Fig.</w:t>
      </w:r>
      <w:r w:rsidR="007058DD">
        <w:rPr>
          <w:rFonts w:ascii="Times New Roman" w:hAnsi="Times New Roman" w:cs="Times New Roman" w:hint="eastAsia"/>
        </w:rPr>
        <w:t xml:space="preserve"> </w:t>
      </w:r>
      <w:r w:rsidR="007058DD" w:rsidRPr="007058DD">
        <w:rPr>
          <w:rFonts w:ascii="Times New Roman" w:hAnsi="Times New Roman" w:cs="Times New Roman" w:hint="eastAsia"/>
        </w:rPr>
        <w:t>S6</w:t>
      </w:r>
      <w:r w:rsidR="007058DD">
        <w:rPr>
          <w:rFonts w:ascii="Times New Roman" w:hAnsi="Times New Roman" w:cs="Times New Roman" w:hint="eastAsia"/>
        </w:rPr>
        <w:t>.</w:t>
      </w:r>
    </w:p>
    <w:p w14:paraId="1D547AD6" w14:textId="6287E7E8" w:rsidR="005E6DA0" w:rsidRDefault="009A38A1" w:rsidP="007058DD">
      <w:pPr>
        <w:jc w:val="both"/>
        <w:rPr>
          <w:rFonts w:ascii="Times New Roman" w:hAnsi="Times New Roman" w:cs="Times New Roman"/>
        </w:rPr>
      </w:pPr>
      <w:r w:rsidRPr="009A38A1">
        <w:rPr>
          <w:rFonts w:ascii="Times New Roman" w:hAnsi="Times New Roman" w:cs="Times New Roman"/>
        </w:rPr>
        <w:t xml:space="preserve">We applied the AIRA framework to mechanistically decompose these shifts (using majority-vote correctness </w:t>
      </w:r>
      <w:r w:rsidR="005E6DA0" w:rsidRPr="00392F23">
        <w:rPr>
          <w:rFonts w:ascii="Times New Roman" w:hAnsi="Times New Roman" w:cs="Times New Roman"/>
        </w:rPr>
        <w:t>≥3/5)</w:t>
      </w:r>
      <w:r>
        <w:rPr>
          <w:rFonts w:ascii="Times New Roman" w:hAnsi="Times New Roman" w:cs="Times New Roman" w:hint="eastAsia"/>
        </w:rPr>
        <w:t>.</w:t>
      </w:r>
      <w:r w:rsidR="005E6DA0" w:rsidRPr="00392F23">
        <w:rPr>
          <w:rFonts w:ascii="Times New Roman" w:hAnsi="Times New Roman" w:cs="Times New Roman"/>
        </w:rPr>
        <w:t xml:space="preserve"> </w:t>
      </w:r>
      <w:r w:rsidRPr="009A38A1">
        <w:rPr>
          <w:rFonts w:ascii="Times New Roman" w:hAnsi="Times New Roman" w:cs="Times New Roman"/>
        </w:rPr>
        <w:t xml:space="preserve">While </w:t>
      </w:r>
      <w:proofErr w:type="gramStart"/>
      <w:r w:rsidRPr="009A38A1">
        <w:rPr>
          <w:rFonts w:ascii="Times New Roman" w:hAnsi="Times New Roman" w:cs="Times New Roman"/>
        </w:rPr>
        <w:t>the majority of</w:t>
      </w:r>
      <w:proofErr w:type="gramEnd"/>
      <w:r w:rsidRPr="009A38A1">
        <w:rPr>
          <w:rFonts w:ascii="Times New Roman" w:hAnsi="Times New Roman" w:cs="Times New Roman"/>
        </w:rPr>
        <w:t xml:space="preserve"> responses remained stable </w:t>
      </w:r>
      <w:r>
        <w:rPr>
          <w:rFonts w:ascii="Times New Roman" w:hAnsi="Times New Roman" w:cs="Times New Roman" w:hint="eastAsia"/>
        </w:rPr>
        <w:t>(R</w:t>
      </w:r>
      <w:r w:rsidRPr="00392F23">
        <w:rPr>
          <w:rFonts w:ascii="Times New Roman" w:hAnsi="Times New Roman" w:cs="Times New Roman"/>
        </w:rPr>
        <w:t>etained master</w:t>
      </w:r>
      <w:r>
        <w:rPr>
          <w:rFonts w:ascii="Times New Roman" w:hAnsi="Times New Roman" w:cs="Times New Roman" w:hint="eastAsia"/>
        </w:rPr>
        <w:t xml:space="preserve">y </w:t>
      </w:r>
      <w:r w:rsidRPr="00392F23">
        <w:rPr>
          <w:rFonts w:ascii="Times New Roman" w:hAnsi="Times New Roman" w:cs="Times New Roman"/>
        </w:rPr>
        <w:t xml:space="preserve">1→1: </w:t>
      </w:r>
      <w:r w:rsidRPr="009A38A1">
        <w:rPr>
          <w:rFonts w:ascii="Times New Roman" w:hAnsi="Times New Roman" w:cs="Times New Roman" w:hint="eastAsia"/>
          <w:i/>
          <w:iCs/>
        </w:rPr>
        <w:t>N</w:t>
      </w:r>
      <w:r>
        <w:rPr>
          <w:rFonts w:ascii="Times New Roman" w:hAnsi="Times New Roman" w:cs="Times New Roman" w:hint="eastAsia"/>
        </w:rPr>
        <w:t xml:space="preserve"> = </w:t>
      </w:r>
      <w:r w:rsidRPr="00392F23">
        <w:rPr>
          <w:rFonts w:ascii="Times New Roman" w:hAnsi="Times New Roman" w:cs="Times New Roman"/>
        </w:rPr>
        <w:t>1406</w:t>
      </w:r>
      <w:r>
        <w:rPr>
          <w:rFonts w:ascii="Times New Roman" w:hAnsi="Times New Roman" w:cs="Times New Roman" w:hint="eastAsia"/>
        </w:rPr>
        <w:t>; R</w:t>
      </w:r>
      <w:r w:rsidRPr="00392F23">
        <w:rPr>
          <w:rFonts w:ascii="Times New Roman" w:hAnsi="Times New Roman" w:cs="Times New Roman"/>
        </w:rPr>
        <w:t>efractory error</w:t>
      </w:r>
      <w:r>
        <w:rPr>
          <w:rFonts w:ascii="Times New Roman" w:hAnsi="Times New Roman" w:cs="Times New Roman" w:hint="eastAsia"/>
        </w:rPr>
        <w:t xml:space="preserve"> </w:t>
      </w:r>
      <w:r w:rsidRPr="00392F23">
        <w:rPr>
          <w:rFonts w:ascii="Times New Roman" w:hAnsi="Times New Roman" w:cs="Times New Roman"/>
        </w:rPr>
        <w:t>0→0:</w:t>
      </w:r>
      <w:r>
        <w:rPr>
          <w:rFonts w:ascii="Times New Roman" w:hAnsi="Times New Roman" w:cs="Times New Roman" w:hint="eastAsia"/>
        </w:rPr>
        <w:t xml:space="preserve"> </w:t>
      </w:r>
      <w:r w:rsidRPr="009A38A1">
        <w:rPr>
          <w:rFonts w:ascii="Times New Roman" w:hAnsi="Times New Roman" w:cs="Times New Roman" w:hint="eastAsia"/>
          <w:i/>
          <w:iCs/>
        </w:rPr>
        <w:t>N</w:t>
      </w:r>
      <w:r>
        <w:rPr>
          <w:rFonts w:ascii="Times New Roman" w:hAnsi="Times New Roman" w:cs="Times New Roman" w:hint="eastAsia"/>
        </w:rPr>
        <w:t xml:space="preserve"> =</w:t>
      </w:r>
      <w:r w:rsidRPr="00392F23">
        <w:rPr>
          <w:rFonts w:ascii="Times New Roman" w:hAnsi="Times New Roman" w:cs="Times New Roman"/>
        </w:rPr>
        <w:t xml:space="preserve"> 235</w:t>
      </w:r>
      <w:r>
        <w:rPr>
          <w:rFonts w:ascii="Times New Roman" w:hAnsi="Times New Roman" w:cs="Times New Roman" w:hint="eastAsia"/>
        </w:rPr>
        <w:t xml:space="preserve">), </w:t>
      </w:r>
      <w:r w:rsidRPr="009A38A1">
        <w:rPr>
          <w:rFonts w:ascii="Times New Roman" w:hAnsi="Times New Roman" w:cs="Times New Roman"/>
        </w:rPr>
        <w:t xml:space="preserve">the agentic workflow introduced significantly more Iatrogenic Errors (Correct </w:t>
      </w:r>
      <w:r w:rsidRPr="00392F23">
        <w:rPr>
          <w:rFonts w:ascii="Times New Roman" w:hAnsi="Times New Roman" w:cs="Times New Roman"/>
        </w:rPr>
        <w:t>→</w:t>
      </w:r>
      <w:r w:rsidRPr="009A38A1">
        <w:rPr>
          <w:rFonts w:ascii="Times New Roman" w:hAnsi="Times New Roman" w:cs="Times New Roman"/>
        </w:rPr>
        <w:t xml:space="preserve"> Wrong:</w:t>
      </w:r>
      <w:r>
        <w:rPr>
          <w:rFonts w:ascii="Times New Roman" w:hAnsi="Times New Roman" w:cs="Times New Roman" w:hint="eastAsia"/>
        </w:rPr>
        <w:t xml:space="preserve"> </w:t>
      </w:r>
      <w:r w:rsidRPr="009A38A1">
        <w:rPr>
          <w:rFonts w:ascii="Times New Roman" w:hAnsi="Times New Roman" w:cs="Times New Roman" w:hint="eastAsia"/>
          <w:i/>
          <w:iCs/>
        </w:rPr>
        <w:t>N</w:t>
      </w:r>
      <w:r>
        <w:rPr>
          <w:rFonts w:ascii="Times New Roman" w:hAnsi="Times New Roman" w:cs="Times New Roman" w:hint="eastAsia"/>
        </w:rPr>
        <w:t xml:space="preserve"> =</w:t>
      </w:r>
      <w:r w:rsidRPr="00392F23">
        <w:rPr>
          <w:rFonts w:ascii="Times New Roman" w:hAnsi="Times New Roman" w:cs="Times New Roman"/>
        </w:rPr>
        <w:t xml:space="preserve"> </w:t>
      </w:r>
      <w:r>
        <w:rPr>
          <w:rFonts w:ascii="Times New Roman" w:hAnsi="Times New Roman" w:cs="Times New Roman" w:hint="eastAsia"/>
        </w:rPr>
        <w:t>102</w:t>
      </w:r>
      <w:r w:rsidR="00E636FC">
        <w:rPr>
          <w:rFonts w:ascii="Times New Roman" w:hAnsi="Times New Roman" w:cs="Times New Roman" w:hint="eastAsia"/>
        </w:rPr>
        <w:t xml:space="preserve">) </w:t>
      </w:r>
      <w:r w:rsidR="00E636FC" w:rsidRPr="00E636FC">
        <w:rPr>
          <w:rFonts w:ascii="Times New Roman" w:hAnsi="Times New Roman" w:cs="Times New Roman" w:hint="eastAsia"/>
        </w:rPr>
        <w:t xml:space="preserve">than Effective Rescues (Wrong </w:t>
      </w:r>
      <w:r w:rsidR="00E636FC" w:rsidRPr="00392F23">
        <w:rPr>
          <w:rFonts w:ascii="Times New Roman" w:hAnsi="Times New Roman" w:cs="Times New Roman"/>
        </w:rPr>
        <w:t>→</w:t>
      </w:r>
      <w:r w:rsidR="00E636FC" w:rsidRPr="00E636FC">
        <w:rPr>
          <w:rFonts w:ascii="Times New Roman" w:hAnsi="Times New Roman" w:cs="Times New Roman" w:hint="eastAsia"/>
        </w:rPr>
        <w:t xml:space="preserve"> Correct: </w:t>
      </w:r>
      <w:r w:rsidR="00E636FC" w:rsidRPr="009A38A1">
        <w:rPr>
          <w:rFonts w:ascii="Times New Roman" w:hAnsi="Times New Roman" w:cs="Times New Roman" w:hint="eastAsia"/>
          <w:i/>
          <w:iCs/>
        </w:rPr>
        <w:t>N</w:t>
      </w:r>
      <w:r w:rsidR="00E636FC">
        <w:rPr>
          <w:rFonts w:ascii="Times New Roman" w:hAnsi="Times New Roman" w:cs="Times New Roman" w:hint="eastAsia"/>
        </w:rPr>
        <w:t xml:space="preserve"> =</w:t>
      </w:r>
      <w:r w:rsidR="00E636FC" w:rsidRPr="00392F23">
        <w:rPr>
          <w:rFonts w:ascii="Times New Roman" w:hAnsi="Times New Roman" w:cs="Times New Roman"/>
        </w:rPr>
        <w:t xml:space="preserve"> </w:t>
      </w:r>
      <w:r w:rsidR="00E636FC" w:rsidRPr="00E636FC">
        <w:rPr>
          <w:rFonts w:ascii="Times New Roman" w:hAnsi="Times New Roman" w:cs="Times New Roman" w:hint="eastAsia"/>
        </w:rPr>
        <w:t>72)</w:t>
      </w:r>
      <w:r w:rsidR="00E636FC">
        <w:rPr>
          <w:rFonts w:ascii="Times New Roman" w:hAnsi="Times New Roman" w:cs="Times New Roman" w:hint="eastAsia"/>
        </w:rPr>
        <w:t xml:space="preserve"> (</w:t>
      </w:r>
      <w:r w:rsidR="00E636FC" w:rsidRPr="00392F23">
        <w:rPr>
          <w:rFonts w:ascii="Times New Roman" w:hAnsi="Times New Roman" w:cs="Times New Roman"/>
        </w:rPr>
        <w:t xml:space="preserve">damage-to-rescue ratio = 1.42; Fig. </w:t>
      </w:r>
      <w:r w:rsidR="00844540">
        <w:rPr>
          <w:rFonts w:ascii="Times New Roman" w:hAnsi="Times New Roman" w:cs="Times New Roman" w:hint="eastAsia"/>
        </w:rPr>
        <w:t>4</w:t>
      </w:r>
      <w:r w:rsidR="00E636FC">
        <w:rPr>
          <w:rFonts w:ascii="Times New Roman" w:hAnsi="Times New Roman" w:cs="Times New Roman" w:hint="eastAsia"/>
        </w:rPr>
        <w:t>).</w:t>
      </w:r>
      <w:r w:rsidR="00E636FC" w:rsidRPr="00E636FC">
        <w:rPr>
          <w:rFonts w:ascii="Times New Roman" w:hAnsi="Times New Roman" w:cs="Times New Roman"/>
        </w:rPr>
        <w:t xml:space="preserve"> </w:t>
      </w:r>
      <w:r w:rsidR="00E636FC">
        <w:rPr>
          <w:rFonts w:ascii="Times New Roman" w:hAnsi="Times New Roman" w:cs="Times New Roman" w:hint="eastAsia"/>
        </w:rPr>
        <w:t xml:space="preserve"> </w:t>
      </w:r>
      <w:r w:rsidR="00E636FC" w:rsidRPr="00392F23">
        <w:rPr>
          <w:rFonts w:ascii="Times New Roman" w:hAnsi="Times New Roman" w:cs="Times New Roman"/>
        </w:rPr>
        <w:t>McNemar’s exact test confirmed a significant asymmetry (</w:t>
      </w:r>
      <w:r w:rsidR="00E636FC" w:rsidRPr="00E636FC">
        <w:rPr>
          <w:rFonts w:ascii="Times New Roman" w:hAnsi="Times New Roman" w:cs="Times New Roman" w:hint="eastAsia"/>
          <w:i/>
          <w:iCs/>
        </w:rPr>
        <w:t xml:space="preserve">P </w:t>
      </w:r>
      <w:r w:rsidR="00E636FC" w:rsidRPr="00392F23">
        <w:rPr>
          <w:rFonts w:ascii="Times New Roman" w:hAnsi="Times New Roman" w:cs="Times New Roman"/>
        </w:rPr>
        <w:t>= 0.0276), corresponding to a net loss of 30 majority-correct model</w:t>
      </w:r>
      <w:r w:rsidR="00E636FC">
        <w:rPr>
          <w:rFonts w:ascii="Times New Roman" w:hAnsi="Times New Roman" w:cs="Times New Roman" w:hint="eastAsia"/>
        </w:rPr>
        <w:t>-</w:t>
      </w:r>
      <w:r w:rsidR="00E636FC" w:rsidRPr="00392F23">
        <w:rPr>
          <w:rFonts w:ascii="Times New Roman" w:hAnsi="Times New Roman" w:cs="Times New Roman"/>
        </w:rPr>
        <w:t xml:space="preserve">item units and a decrease in global majority-vote accuracy from 83.09% to 81.43% (-1.65 </w:t>
      </w:r>
      <w:r w:rsidR="00E636FC">
        <w:rPr>
          <w:rFonts w:ascii="Times New Roman" w:hAnsi="Times New Roman" w:cs="Times New Roman" w:hint="eastAsia"/>
        </w:rPr>
        <w:t>pp</w:t>
      </w:r>
      <w:r w:rsidR="00E636FC" w:rsidRPr="00392F23">
        <w:rPr>
          <w:rFonts w:ascii="Times New Roman" w:hAnsi="Times New Roman" w:cs="Times New Roman"/>
        </w:rPr>
        <w:t>).</w:t>
      </w:r>
      <w:r w:rsidR="007058DD" w:rsidRPr="007058DD">
        <w:rPr>
          <w:rFonts w:ascii="Times New Roman" w:hAnsi="Times New Roman" w:cs="Times New Roman" w:hint="eastAsia"/>
        </w:rPr>
        <w:t xml:space="preserve"> Changes in stability-category distributions are</w:t>
      </w:r>
      <w:r w:rsidR="007058DD">
        <w:rPr>
          <w:rFonts w:ascii="Times New Roman" w:hAnsi="Times New Roman" w:cs="Times New Roman" w:hint="eastAsia"/>
        </w:rPr>
        <w:t xml:space="preserve"> </w:t>
      </w:r>
      <w:r w:rsidR="007058DD" w:rsidRPr="007058DD">
        <w:rPr>
          <w:rFonts w:ascii="Times New Roman" w:hAnsi="Times New Roman" w:cs="Times New Roman" w:hint="eastAsia"/>
        </w:rPr>
        <w:t>summarized in Supplementary Fig. S5.</w:t>
      </w:r>
    </w:p>
    <w:p w14:paraId="6947D96F" w14:textId="1E52FF9A" w:rsidR="00622FAE" w:rsidRDefault="00622FAE" w:rsidP="00392F23">
      <w:pPr>
        <w:jc w:val="both"/>
        <w:rPr>
          <w:rFonts w:ascii="Times New Roman" w:hAnsi="Times New Roman" w:cs="Times New Roman"/>
        </w:rPr>
      </w:pPr>
      <w:r>
        <w:rPr>
          <w:rFonts w:ascii="Times New Roman" w:hAnsi="Times New Roman" w:cs="Times New Roman"/>
          <w:noProof/>
        </w:rPr>
        <w:drawing>
          <wp:inline distT="0" distB="0" distL="0" distR="0" wp14:anchorId="1ED81DAD" wp14:editId="1E59F29A">
            <wp:extent cx="5265420" cy="5110480"/>
            <wp:effectExtent l="0" t="0" r="0" b="0"/>
            <wp:docPr id="4867642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5420" cy="5110480"/>
                    </a:xfrm>
                    <a:prstGeom prst="rect">
                      <a:avLst/>
                    </a:prstGeom>
                    <a:noFill/>
                    <a:ln>
                      <a:noFill/>
                    </a:ln>
                  </pic:spPr>
                </pic:pic>
              </a:graphicData>
            </a:graphic>
          </wp:inline>
        </w:drawing>
      </w:r>
    </w:p>
    <w:p w14:paraId="1B33951D" w14:textId="76C9A312" w:rsidR="00545192" w:rsidRPr="00545192" w:rsidRDefault="00545192" w:rsidP="00392F23">
      <w:pPr>
        <w:jc w:val="both"/>
        <w:rPr>
          <w:rFonts w:ascii="Times New Roman" w:hAnsi="Times New Roman" w:cs="Times New Roman"/>
          <w:sz w:val="15"/>
          <w:szCs w:val="16"/>
        </w:rPr>
      </w:pPr>
      <w:r w:rsidRPr="00545192">
        <w:rPr>
          <w:rFonts w:ascii="Times New Roman" w:hAnsi="Times New Roman" w:cs="Times New Roman"/>
          <w:b/>
          <w:bCs/>
          <w:sz w:val="15"/>
          <w:szCs w:val="16"/>
        </w:rPr>
        <w:t>Fig. 4. Agentic Iatrogenic Risk Analysis (AIRA): mechanism and risk stratification.</w:t>
      </w:r>
      <w:r>
        <w:rPr>
          <w:rFonts w:ascii="Times New Roman" w:hAnsi="Times New Roman" w:cs="Times New Roman" w:hint="eastAsia"/>
          <w:sz w:val="15"/>
          <w:szCs w:val="16"/>
        </w:rPr>
        <w:t xml:space="preserve"> </w:t>
      </w:r>
      <w:r w:rsidRPr="00545192">
        <w:rPr>
          <w:rFonts w:ascii="Times New Roman" w:hAnsi="Times New Roman" w:cs="Times New Roman"/>
          <w:sz w:val="15"/>
          <w:szCs w:val="16"/>
        </w:rPr>
        <w:t xml:space="preserve">(A) Transition "butterfly" plot summarizing majority-vote correctness transitions from baseline to agentic evaluation, stratified by baseline item difficulty. For each model-item unit, majority correctness is defined as </w:t>
      </w:r>
      <w:r>
        <w:rPr>
          <w:rFonts w:ascii="Times New Roman" w:hAnsi="Times New Roman" w:cs="Times New Roman"/>
          <w:sz w:val="15"/>
          <w:szCs w:val="16"/>
        </w:rPr>
        <w:t>having at least 3 out of 5</w:t>
      </w:r>
      <w:r w:rsidRPr="00545192">
        <w:rPr>
          <w:rFonts w:ascii="Times New Roman" w:hAnsi="Times New Roman" w:cs="Times New Roman"/>
          <w:sz w:val="15"/>
          <w:szCs w:val="16"/>
        </w:rPr>
        <w:t xml:space="preserve"> trials correct. </w:t>
      </w:r>
      <w:r>
        <w:rPr>
          <w:rFonts w:ascii="Times New Roman" w:hAnsi="Times New Roman" w:cs="Times New Roman" w:hint="eastAsia"/>
          <w:sz w:val="15"/>
          <w:szCs w:val="16"/>
        </w:rPr>
        <w:t>T</w:t>
      </w:r>
      <w:r w:rsidRPr="00545192">
        <w:rPr>
          <w:rFonts w:ascii="Times New Roman" w:hAnsi="Times New Roman" w:cs="Times New Roman"/>
          <w:sz w:val="15"/>
          <w:szCs w:val="16"/>
        </w:rPr>
        <w:t xml:space="preserve">he plot displays rescue and iatrogenic counts with a net line (rescue - iatrogenic). Baseline difficulty bins are defined by the fraction of models that are majority-correct for an item under baseline </w:t>
      </w:r>
      <w:r w:rsidRPr="00545192">
        <w:rPr>
          <w:rFonts w:ascii="Times New Roman" w:hAnsi="Times New Roman" w:cs="Times New Roman"/>
          <w:sz w:val="15"/>
          <w:szCs w:val="16"/>
        </w:rPr>
        <w:lastRenderedPageBreak/>
        <w:t>(≥80%, 60-80%, 40-60%, 20-40%, &lt;20%).  (B) Model-level safety-efficacy trade-off. The Safety Index is the fraction of baseline-majority-correct items that remain majority-correct under agentic evaluation (C</w:t>
      </w:r>
      <w:r w:rsidR="00F73734" w:rsidRPr="00F73734">
        <w:rPr>
          <w:rFonts w:ascii="Times New Roman" w:hAnsi="Times New Roman" w:cs="Times New Roman"/>
          <w:sz w:val="15"/>
          <w:szCs w:val="16"/>
        </w:rPr>
        <w:t>→</w:t>
      </w:r>
      <w:r w:rsidRPr="00545192">
        <w:rPr>
          <w:rFonts w:ascii="Times New Roman" w:hAnsi="Times New Roman" w:cs="Times New Roman"/>
          <w:sz w:val="15"/>
          <w:szCs w:val="16"/>
        </w:rPr>
        <w:t xml:space="preserve">C / </w:t>
      </w:r>
      <w:proofErr w:type="spellStart"/>
      <w:r w:rsidRPr="00545192">
        <w:rPr>
          <w:rFonts w:ascii="Times New Roman" w:hAnsi="Times New Roman" w:cs="Times New Roman"/>
          <w:sz w:val="15"/>
          <w:szCs w:val="16"/>
        </w:rPr>
        <w:t>Base_Correct</w:t>
      </w:r>
      <w:proofErr w:type="spellEnd"/>
      <w:r w:rsidRPr="00545192">
        <w:rPr>
          <w:rFonts w:ascii="Times New Roman" w:hAnsi="Times New Roman" w:cs="Times New Roman"/>
          <w:sz w:val="15"/>
          <w:szCs w:val="16"/>
        </w:rPr>
        <w:t>). The Rescue Index is the fraction of baseline-majority-wrong items that become majority-correct under agentic evaluation (W</w:t>
      </w:r>
      <w:r w:rsidR="00F73734" w:rsidRPr="00F73734">
        <w:rPr>
          <w:rFonts w:ascii="Times New Roman" w:hAnsi="Times New Roman" w:cs="Times New Roman"/>
          <w:sz w:val="15"/>
          <w:szCs w:val="16"/>
        </w:rPr>
        <w:t>→</w:t>
      </w:r>
      <w:r w:rsidRPr="00545192">
        <w:rPr>
          <w:rFonts w:ascii="Times New Roman" w:hAnsi="Times New Roman" w:cs="Times New Roman"/>
          <w:sz w:val="15"/>
          <w:szCs w:val="16"/>
        </w:rPr>
        <w:t xml:space="preserve">C / </w:t>
      </w:r>
      <w:proofErr w:type="spellStart"/>
      <w:r w:rsidRPr="00545192">
        <w:rPr>
          <w:rFonts w:ascii="Times New Roman" w:hAnsi="Times New Roman" w:cs="Times New Roman"/>
          <w:sz w:val="15"/>
          <w:szCs w:val="16"/>
        </w:rPr>
        <w:t>Base_Wrong</w:t>
      </w:r>
      <w:proofErr w:type="spellEnd"/>
      <w:r w:rsidRPr="00545192">
        <w:rPr>
          <w:rFonts w:ascii="Times New Roman" w:hAnsi="Times New Roman" w:cs="Times New Roman"/>
          <w:sz w:val="15"/>
          <w:szCs w:val="16"/>
        </w:rPr>
        <w:t>). Bubble size is proportional to the damage-to-rescue ratio, and a red outline indicates statistically significant net harm by McNemar's exact test with Benjamini-Hochberg FDR correction across models (q&lt;0.05).</w:t>
      </w:r>
    </w:p>
    <w:p w14:paraId="0CE81AE8" w14:textId="02A91315" w:rsidR="005E6DA0" w:rsidRPr="00392F23" w:rsidRDefault="000B64D8" w:rsidP="00392F23">
      <w:pPr>
        <w:jc w:val="both"/>
        <w:rPr>
          <w:rFonts w:ascii="Times New Roman" w:hAnsi="Times New Roman" w:cs="Times New Roman"/>
        </w:rPr>
      </w:pPr>
      <w:r>
        <w:rPr>
          <w:rFonts w:ascii="Times New Roman" w:hAnsi="Times New Roman" w:cs="Times New Roman" w:hint="eastAsia"/>
        </w:rPr>
        <w:t>For m</w:t>
      </w:r>
      <w:r w:rsidR="005E6DA0" w:rsidRPr="00392F23">
        <w:rPr>
          <w:rFonts w:ascii="Times New Roman" w:hAnsi="Times New Roman" w:cs="Times New Roman"/>
        </w:rPr>
        <w:t>odel-specific safety</w:t>
      </w:r>
      <w:r>
        <w:rPr>
          <w:rFonts w:ascii="Times New Roman" w:hAnsi="Times New Roman" w:cs="Times New Roman" w:hint="eastAsia"/>
        </w:rPr>
        <w:t>, a</w:t>
      </w:r>
      <w:r w:rsidR="005E6DA0" w:rsidRPr="00392F23">
        <w:rPr>
          <w:rFonts w:ascii="Times New Roman" w:hAnsi="Times New Roman" w:cs="Times New Roman"/>
        </w:rPr>
        <w:t xml:space="preserve">t the </w:t>
      </w:r>
      <w:r w:rsidR="00ED5E69">
        <w:rPr>
          <w:rFonts w:ascii="Times New Roman" w:hAnsi="Times New Roman" w:cs="Times New Roman" w:hint="eastAsia"/>
        </w:rPr>
        <w:t xml:space="preserve">individual </w:t>
      </w:r>
      <w:r w:rsidR="005E6DA0" w:rsidRPr="00392F23">
        <w:rPr>
          <w:rFonts w:ascii="Times New Roman" w:hAnsi="Times New Roman" w:cs="Times New Roman"/>
        </w:rPr>
        <w:t xml:space="preserve">model level, GPT OSS 20B exhibited a significant negative intervention effect after </w:t>
      </w:r>
      <w:r w:rsidR="00ED5E69">
        <w:rPr>
          <w:rFonts w:ascii="Times New Roman" w:hAnsi="Times New Roman" w:cs="Times New Roman" w:hint="eastAsia"/>
        </w:rPr>
        <w:t>BH-</w:t>
      </w:r>
      <w:r w:rsidR="005E6DA0" w:rsidRPr="00392F23">
        <w:rPr>
          <w:rFonts w:ascii="Times New Roman" w:hAnsi="Times New Roman" w:cs="Times New Roman"/>
        </w:rPr>
        <w:t xml:space="preserve">FDR correction (iatrogenic = 20 vs rescue = 3; </w:t>
      </w:r>
      <w:r w:rsidRPr="000B64D8">
        <w:rPr>
          <w:rFonts w:ascii="Times New Roman" w:hAnsi="Times New Roman" w:cs="Times New Roman" w:hint="eastAsia"/>
          <w:i/>
          <w:iCs/>
        </w:rPr>
        <w:t>P</w:t>
      </w:r>
      <w:r w:rsidR="005E6DA0" w:rsidRPr="00392F23">
        <w:rPr>
          <w:rFonts w:ascii="Times New Roman" w:hAnsi="Times New Roman" w:cs="Times New Roman"/>
        </w:rPr>
        <w:t xml:space="preserve"> = </w:t>
      </w:r>
      <w:proofErr w:type="gramStart"/>
      <w:r w:rsidR="005E6DA0" w:rsidRPr="00392F23">
        <w:rPr>
          <w:rFonts w:ascii="Times New Roman" w:hAnsi="Times New Roman" w:cs="Times New Roman"/>
        </w:rPr>
        <w:t>4.88×10</w:t>
      </w:r>
      <w:proofErr w:type="gramEnd"/>
      <w:r w:rsidR="005E6DA0" w:rsidRPr="00F73734">
        <w:rPr>
          <w:rFonts w:ascii="Times New Roman" w:hAnsi="Times New Roman" w:cs="Times New Roman"/>
          <w:vertAlign w:val="superscript"/>
        </w:rPr>
        <w:t>-4</w:t>
      </w:r>
      <w:r w:rsidR="005E6DA0" w:rsidRPr="00392F23">
        <w:rPr>
          <w:rFonts w:ascii="Times New Roman" w:hAnsi="Times New Roman" w:cs="Times New Roman"/>
        </w:rPr>
        <w:t xml:space="preserve">; </w:t>
      </w:r>
      <w:r w:rsidR="005E6DA0" w:rsidRPr="000B64D8">
        <w:rPr>
          <w:rFonts w:ascii="Times New Roman" w:hAnsi="Times New Roman" w:cs="Times New Roman"/>
          <w:i/>
          <w:iCs/>
        </w:rPr>
        <w:t>q</w:t>
      </w:r>
      <w:r w:rsidR="005E6DA0" w:rsidRPr="00392F23">
        <w:rPr>
          <w:rFonts w:ascii="Times New Roman" w:hAnsi="Times New Roman" w:cs="Times New Roman"/>
        </w:rPr>
        <w:t xml:space="preserve"> = </w:t>
      </w:r>
      <w:proofErr w:type="gramStart"/>
      <w:r w:rsidR="005E6DA0" w:rsidRPr="00392F23">
        <w:rPr>
          <w:rFonts w:ascii="Times New Roman" w:hAnsi="Times New Roman" w:cs="Times New Roman"/>
        </w:rPr>
        <w:t>5.37×10</w:t>
      </w:r>
      <w:proofErr w:type="gramEnd"/>
      <w:r w:rsidR="005E6DA0" w:rsidRPr="00F73734">
        <w:rPr>
          <w:rFonts w:ascii="Times New Roman" w:hAnsi="Times New Roman" w:cs="Times New Roman"/>
          <w:vertAlign w:val="superscript"/>
        </w:rPr>
        <w:t>-3</w:t>
      </w:r>
      <w:r w:rsidR="005E6DA0" w:rsidRPr="00392F23">
        <w:rPr>
          <w:rFonts w:ascii="Times New Roman" w:hAnsi="Times New Roman" w:cs="Times New Roman"/>
        </w:rPr>
        <w:t xml:space="preserve">). Qwen3 Max showed a nominally negative effect (iatrogenic = 13 vs rescue = 4; </w:t>
      </w:r>
      <w:r w:rsidR="005E6DA0" w:rsidRPr="000B64D8">
        <w:rPr>
          <w:rFonts w:ascii="Times New Roman" w:hAnsi="Times New Roman" w:cs="Times New Roman"/>
          <w:i/>
          <w:iCs/>
        </w:rPr>
        <w:t>p</w:t>
      </w:r>
      <w:r w:rsidR="005E6DA0" w:rsidRPr="00392F23">
        <w:rPr>
          <w:rFonts w:ascii="Times New Roman" w:hAnsi="Times New Roman" w:cs="Times New Roman"/>
        </w:rPr>
        <w:t xml:space="preserve"> = 0.049) that did not remain significant after correction (</w:t>
      </w:r>
      <w:r w:rsidR="005E6DA0" w:rsidRPr="000B64D8">
        <w:rPr>
          <w:rFonts w:ascii="Times New Roman" w:hAnsi="Times New Roman" w:cs="Times New Roman"/>
          <w:i/>
          <w:iCs/>
        </w:rPr>
        <w:t>q</w:t>
      </w:r>
      <w:r w:rsidR="005E6DA0" w:rsidRPr="00392F23">
        <w:rPr>
          <w:rFonts w:ascii="Times New Roman" w:hAnsi="Times New Roman" w:cs="Times New Roman"/>
        </w:rPr>
        <w:t xml:space="preserve"> = 0.258). </w:t>
      </w:r>
      <w:r>
        <w:rPr>
          <w:rFonts w:ascii="Times New Roman" w:hAnsi="Times New Roman" w:cs="Times New Roman" w:hint="eastAsia"/>
        </w:rPr>
        <w:t xml:space="preserve"> </w:t>
      </w:r>
      <w:r w:rsidRPr="000B64D8">
        <w:rPr>
          <w:rFonts w:ascii="Times New Roman" w:hAnsi="Times New Roman" w:cs="Times New Roman"/>
        </w:rPr>
        <w:t>Conversely, while improving models like Claude</w:t>
      </w:r>
      <w:r>
        <w:rPr>
          <w:rFonts w:ascii="Times New Roman" w:hAnsi="Times New Roman" w:cs="Times New Roman" w:hint="eastAsia"/>
        </w:rPr>
        <w:t xml:space="preserve"> </w:t>
      </w:r>
      <w:r w:rsidRPr="000B64D8">
        <w:rPr>
          <w:rFonts w:ascii="Times New Roman" w:hAnsi="Times New Roman" w:cs="Times New Roman"/>
        </w:rPr>
        <w:t>Opus</w:t>
      </w:r>
      <w:r>
        <w:rPr>
          <w:rFonts w:ascii="Times New Roman" w:hAnsi="Times New Roman" w:cs="Times New Roman" w:hint="eastAsia"/>
        </w:rPr>
        <w:t xml:space="preserve"> </w:t>
      </w:r>
      <w:r w:rsidRPr="000B64D8">
        <w:rPr>
          <w:rFonts w:ascii="Times New Roman" w:hAnsi="Times New Roman" w:cs="Times New Roman"/>
        </w:rPr>
        <w:t>4.5 showed favorable trends (9 rescues vs. 4 iatrogenic), these effects did not reach statistical significance after FDR correction.</w:t>
      </w:r>
    </w:p>
    <w:p w14:paraId="22C868F8" w14:textId="40A474DB" w:rsidR="00FC6435" w:rsidRDefault="005E6DA0" w:rsidP="00FC6435">
      <w:pPr>
        <w:jc w:val="both"/>
        <w:rPr>
          <w:rFonts w:ascii="Times New Roman" w:hAnsi="Times New Roman" w:cs="Times New Roman"/>
        </w:rPr>
      </w:pPr>
      <w:r w:rsidRPr="00392F23">
        <w:rPr>
          <w:rFonts w:ascii="Times New Roman" w:hAnsi="Times New Roman" w:cs="Times New Roman"/>
        </w:rPr>
        <w:t>Refractory cold spots</w:t>
      </w:r>
      <w:r w:rsidR="000B64D8">
        <w:rPr>
          <w:rFonts w:ascii="Times New Roman" w:hAnsi="Times New Roman" w:cs="Times New Roman" w:hint="eastAsia"/>
        </w:rPr>
        <w:t xml:space="preserve"> were also </w:t>
      </w:r>
      <w:r w:rsidR="000B64D8">
        <w:rPr>
          <w:rFonts w:ascii="Times New Roman" w:hAnsi="Times New Roman" w:cs="Times New Roman"/>
        </w:rPr>
        <w:t>of concern</w:t>
      </w:r>
      <w:r w:rsidR="000B64D8">
        <w:rPr>
          <w:rFonts w:ascii="Times New Roman" w:hAnsi="Times New Roman" w:cs="Times New Roman" w:hint="eastAsia"/>
        </w:rPr>
        <w:t>.</w:t>
      </w:r>
      <w:r w:rsidRPr="00392F23">
        <w:rPr>
          <w:rFonts w:ascii="Times New Roman" w:hAnsi="Times New Roman" w:cs="Times New Roman"/>
        </w:rPr>
        <w:t xml:space="preserve"> </w:t>
      </w:r>
      <w:r w:rsidR="0042636D" w:rsidRPr="0042636D">
        <w:rPr>
          <w:rFonts w:ascii="Times New Roman" w:hAnsi="Times New Roman" w:cs="Times New Roman"/>
        </w:rPr>
        <w:t>Finally, we assessed whether the agentic workflow could resolve the hardest baseline failures</w:t>
      </w:r>
      <w:r w:rsidR="0042636D">
        <w:rPr>
          <w:rFonts w:ascii="Times New Roman" w:hAnsi="Times New Roman" w:cs="Times New Roman" w:hint="eastAsia"/>
        </w:rPr>
        <w:t xml:space="preserve">. </w:t>
      </w:r>
      <w:r w:rsidR="0042636D" w:rsidRPr="0042636D">
        <w:rPr>
          <w:rFonts w:ascii="Times New Roman" w:hAnsi="Times New Roman" w:cs="Times New Roman"/>
        </w:rPr>
        <w:t>For the set of 10 Baseline Cold Spot items (accuracy &lt;20%), mean accuracy marginally increased from 5.27% to 6.55% (+1.27 pp)</w:t>
      </w:r>
      <w:r w:rsidR="005F14CC">
        <w:rPr>
          <w:rFonts w:ascii="Times New Roman" w:hAnsi="Times New Roman" w:cs="Times New Roman" w:hint="eastAsia"/>
        </w:rPr>
        <w:t xml:space="preserve">. </w:t>
      </w:r>
      <w:r w:rsidR="005F14CC" w:rsidRPr="005F14CC">
        <w:rPr>
          <w:rFonts w:ascii="Times New Roman" w:hAnsi="Times New Roman" w:cs="Times New Roman" w:hint="eastAsia"/>
        </w:rPr>
        <w:t xml:space="preserve">This improvement was not statistically significant (Wilcoxon signed-rank </w:t>
      </w:r>
      <w:r w:rsidR="005F14CC" w:rsidRPr="005F14CC">
        <w:rPr>
          <w:rFonts w:ascii="Times New Roman" w:hAnsi="Times New Roman" w:cs="Times New Roman" w:hint="eastAsia"/>
          <w:i/>
          <w:iCs/>
        </w:rPr>
        <w:t>P</w:t>
      </w:r>
      <w:r w:rsidR="005F14CC" w:rsidRPr="005F14CC">
        <w:rPr>
          <w:rFonts w:ascii="Times New Roman" w:hAnsi="Times New Roman" w:cs="Times New Roman" w:hint="eastAsia"/>
        </w:rPr>
        <w:t xml:space="preserve"> = 0.281).</w:t>
      </w:r>
      <w:r w:rsidR="00FC6435">
        <w:rPr>
          <w:rFonts w:ascii="Times New Roman" w:hAnsi="Times New Roman" w:cs="Times New Roman" w:hint="eastAsia"/>
        </w:rPr>
        <w:t xml:space="preserve"> </w:t>
      </w:r>
      <w:r w:rsidR="00FC6435" w:rsidRPr="00FC6435">
        <w:rPr>
          <w:rFonts w:ascii="Times New Roman" w:hAnsi="Times New Roman" w:cs="Times New Roman"/>
        </w:rPr>
        <w:t xml:space="preserve">No individual cold-spot item showed statistically significant improvement after multiple hypothesis correction (all </w:t>
      </w:r>
      <w:r w:rsidR="00FC6435" w:rsidRPr="00FC6435">
        <w:rPr>
          <w:rFonts w:ascii="Times New Roman" w:hAnsi="Times New Roman" w:cs="Times New Roman"/>
          <w:i/>
          <w:iCs/>
        </w:rPr>
        <w:t>q</w:t>
      </w:r>
      <w:r w:rsidR="00FC6435" w:rsidRPr="00FC6435">
        <w:rPr>
          <w:rFonts w:ascii="Times New Roman" w:hAnsi="Times New Roman" w:cs="Times New Roman"/>
        </w:rPr>
        <w:t xml:space="preserve"> ≥</w:t>
      </w:r>
      <w:r w:rsidR="00FC6435">
        <w:rPr>
          <w:rFonts w:ascii="Times New Roman" w:hAnsi="Times New Roman" w:cs="Times New Roman" w:hint="eastAsia"/>
        </w:rPr>
        <w:t xml:space="preserve"> </w:t>
      </w:r>
      <w:r w:rsidR="00FC6435" w:rsidRPr="00FC6435">
        <w:rPr>
          <w:rFonts w:ascii="Times New Roman" w:hAnsi="Times New Roman" w:cs="Times New Roman"/>
        </w:rPr>
        <w:t>0.312). Notably, absolute cold spots (</w:t>
      </w:r>
      <w:r w:rsidR="00FC6435">
        <w:rPr>
          <w:rFonts w:ascii="Times New Roman" w:hAnsi="Times New Roman" w:cs="Times New Roman" w:hint="eastAsia"/>
        </w:rPr>
        <w:t>items</w:t>
      </w:r>
      <w:r w:rsidR="00FC6435" w:rsidRPr="00FC6435">
        <w:rPr>
          <w:rFonts w:ascii="Times New Roman" w:hAnsi="Times New Roman" w:cs="Times New Roman"/>
        </w:rPr>
        <w:t xml:space="preserve"> 9, 35, 42) remained completely unrecovered (0% accuracy) under the agentic protocol, indicating that the reasoning workflow was insufficient to bridge fundamental knowledge gaps in refractory exam items (Fig. </w:t>
      </w:r>
      <w:r w:rsidR="00844540">
        <w:rPr>
          <w:rFonts w:ascii="Times New Roman" w:hAnsi="Times New Roman" w:cs="Times New Roman" w:hint="eastAsia"/>
        </w:rPr>
        <w:t>5</w:t>
      </w:r>
      <w:r w:rsidR="00FC6435" w:rsidRPr="00FC6435">
        <w:rPr>
          <w:rFonts w:ascii="Times New Roman" w:hAnsi="Times New Roman" w:cs="Times New Roman"/>
        </w:rPr>
        <w:t>).</w:t>
      </w:r>
    </w:p>
    <w:p w14:paraId="35E742CC" w14:textId="4BC660F4" w:rsidR="00F73734" w:rsidRDefault="00F73734" w:rsidP="00FC6435">
      <w:pPr>
        <w:jc w:val="both"/>
        <w:rPr>
          <w:rFonts w:ascii="Times New Roman" w:hAnsi="Times New Roman" w:cs="Times New Roman"/>
        </w:rPr>
      </w:pPr>
      <w:r>
        <w:rPr>
          <w:rFonts w:ascii="Times New Roman" w:hAnsi="Times New Roman" w:cs="Times New Roman"/>
          <w:noProof/>
        </w:rPr>
        <w:drawing>
          <wp:inline distT="0" distB="0" distL="0" distR="0" wp14:anchorId="2FF1A4FB" wp14:editId="7D29E9A1">
            <wp:extent cx="5272405" cy="3326765"/>
            <wp:effectExtent l="0" t="0" r="4445" b="6985"/>
            <wp:docPr id="10357235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2405" cy="3326765"/>
                    </a:xfrm>
                    <a:prstGeom prst="rect">
                      <a:avLst/>
                    </a:prstGeom>
                    <a:noFill/>
                    <a:ln>
                      <a:noFill/>
                    </a:ln>
                  </pic:spPr>
                </pic:pic>
              </a:graphicData>
            </a:graphic>
          </wp:inline>
        </w:drawing>
      </w:r>
    </w:p>
    <w:p w14:paraId="4C83C136" w14:textId="18C71B0F" w:rsidR="00F73734" w:rsidRPr="00DB2C71" w:rsidRDefault="00F73734" w:rsidP="00F73734">
      <w:pPr>
        <w:jc w:val="both"/>
        <w:rPr>
          <w:rFonts w:ascii="Times New Roman" w:hAnsi="Times New Roman" w:cs="Times New Roman"/>
          <w:sz w:val="15"/>
          <w:szCs w:val="16"/>
        </w:rPr>
      </w:pPr>
      <w:r w:rsidRPr="00F73734">
        <w:rPr>
          <w:rFonts w:ascii="Times New Roman" w:hAnsi="Times New Roman" w:cs="Times New Roman" w:hint="eastAsia"/>
          <w:b/>
          <w:bCs/>
          <w:sz w:val="15"/>
          <w:szCs w:val="16"/>
        </w:rPr>
        <w:t>Fig. 5. Baseline-defined cold-spot items and agentic "rescue" analysis.</w:t>
      </w:r>
      <w:r w:rsidR="00DB2C71" w:rsidRPr="00DB2C71">
        <w:rPr>
          <w:rFonts w:ascii="Times New Roman" w:hAnsi="Times New Roman" w:cs="Times New Roman" w:hint="eastAsia"/>
          <w:b/>
          <w:bCs/>
          <w:sz w:val="15"/>
          <w:szCs w:val="16"/>
        </w:rPr>
        <w:t xml:space="preserve"> </w:t>
      </w:r>
      <w:r w:rsidRPr="00DB2C71">
        <w:rPr>
          <w:rFonts w:ascii="Times New Roman" w:hAnsi="Times New Roman" w:cs="Times New Roman" w:hint="eastAsia"/>
          <w:sz w:val="15"/>
          <w:szCs w:val="16"/>
        </w:rPr>
        <w:t xml:space="preserve">Dumbbell plot of per-item overall accuracy for baseline-defined cold spots (baseline overall accuracy &lt;20% across all model x trial responses). Each row corresponds to one cold-spot item (labeled by question ID, discipline, and question type), with baseline (gray) and agentic (blue) overall accuracies connected by a line; the dashed vertical </w:t>
      </w:r>
      <w:r w:rsidRPr="00DB2C71">
        <w:rPr>
          <w:rFonts w:ascii="Times New Roman" w:hAnsi="Times New Roman" w:cs="Times New Roman" w:hint="eastAsia"/>
          <w:sz w:val="15"/>
          <w:szCs w:val="16"/>
        </w:rPr>
        <w:lastRenderedPageBreak/>
        <w:t>line marks the 20% cutoff. Items are ordered by agentic improvement (delta accuracy, percentage points).</w:t>
      </w:r>
    </w:p>
    <w:p w14:paraId="02EE2886" w14:textId="60FF77FB" w:rsidR="00721289" w:rsidRPr="00721289" w:rsidRDefault="00721289" w:rsidP="00721289">
      <w:pPr>
        <w:pStyle w:val="a9"/>
        <w:widowControl/>
        <w:numPr>
          <w:ilvl w:val="1"/>
          <w:numId w:val="5"/>
        </w:numPr>
        <w:shd w:val="clear" w:color="auto" w:fill="FFFFFF"/>
        <w:spacing w:after="0" w:line="285" w:lineRule="atLeast"/>
        <w:jc w:val="both"/>
        <w:rPr>
          <w:rFonts w:ascii="Times New Roman" w:eastAsia="宋体" w:hAnsi="Times New Roman" w:cs="Times New Roman"/>
          <w:b/>
          <w:bCs/>
          <w:kern w:val="0"/>
          <w:sz w:val="24"/>
          <w14:ligatures w14:val="none"/>
        </w:rPr>
      </w:pPr>
      <w:r w:rsidRPr="00721289">
        <w:rPr>
          <w:rFonts w:ascii="Times New Roman" w:eastAsia="宋体" w:hAnsi="Times New Roman" w:cs="Times New Roman"/>
          <w:b/>
          <w:bCs/>
          <w:kern w:val="0"/>
          <w:sz w:val="24"/>
          <w14:ligatures w14:val="none"/>
        </w:rPr>
        <w:t xml:space="preserve"> Psychometric Validation</w:t>
      </w:r>
    </w:p>
    <w:p w14:paraId="05954B5D" w14:textId="77777777" w:rsidR="00721289" w:rsidRPr="00721289" w:rsidRDefault="00721289" w:rsidP="00721289">
      <w:pPr>
        <w:jc w:val="both"/>
        <w:rPr>
          <w:rFonts w:ascii="Times New Roman" w:hAnsi="Times New Roman" w:cs="Times New Roman"/>
        </w:rPr>
      </w:pPr>
      <w:r w:rsidRPr="00721289">
        <w:rPr>
          <w:rFonts w:ascii="Times New Roman" w:hAnsi="Times New Roman" w:cs="Times New Roman"/>
        </w:rPr>
        <w:t>To diagnose the structural causes of performance shifts, we applied psychometric modeling.</w:t>
      </w:r>
    </w:p>
    <w:p w14:paraId="4B78E87B" w14:textId="67177BDF" w:rsidR="00721289" w:rsidRDefault="00721289" w:rsidP="00721289">
      <w:pPr>
        <w:jc w:val="both"/>
        <w:rPr>
          <w:rFonts w:ascii="Times New Roman" w:hAnsi="Times New Roman" w:cs="Times New Roman"/>
        </w:rPr>
      </w:pPr>
      <w:r w:rsidRPr="00721289">
        <w:rPr>
          <w:rFonts w:ascii="Times New Roman" w:hAnsi="Times New Roman" w:cs="Times New Roman"/>
        </w:rPr>
        <w:t>The 1PL Rasch model mapped model ability (</w:t>
      </w:r>
      <m:oMath>
        <m:r>
          <m:rPr>
            <m:sty m:val="p"/>
          </m:rPr>
          <w:rPr>
            <w:rFonts w:ascii="Cambria Math" w:hAnsi="Cambria Math" w:cs="Times New Roman"/>
          </w:rPr>
          <m:t>θ</m:t>
        </m:r>
      </m:oMath>
      <w:r w:rsidRPr="00721289">
        <w:rPr>
          <w:rFonts w:ascii="Times New Roman" w:hAnsi="Times New Roman" w:cs="Times New Roman"/>
        </w:rPr>
        <w:t>) and item difficulty (</w:t>
      </w:r>
      <m:oMath>
        <m:r>
          <w:rPr>
            <w:rFonts w:ascii="Cambria Math" w:hAnsi="Cambria Math" w:cs="Times New Roman"/>
          </w:rPr>
          <m:t>b</m:t>
        </m:r>
      </m:oMath>
      <w:r w:rsidRPr="00721289">
        <w:rPr>
          <w:rFonts w:ascii="Times New Roman" w:hAnsi="Times New Roman" w:cs="Times New Roman"/>
        </w:rPr>
        <w:t>) onto a shared logit scale (</w:t>
      </w:r>
      <w:r w:rsidR="00FA37F4" w:rsidRPr="00721289">
        <w:rPr>
          <w:rFonts w:ascii="Times New Roman" w:hAnsi="Times New Roman" w:cs="Times New Roman"/>
        </w:rPr>
        <w:t>Rasch Wright Maps</w:t>
      </w:r>
      <w:r w:rsidR="00FA37F4">
        <w:rPr>
          <w:rFonts w:ascii="Times New Roman" w:hAnsi="Times New Roman" w:cs="Times New Roman" w:hint="eastAsia"/>
        </w:rPr>
        <w:t xml:space="preserve">, </w:t>
      </w:r>
      <w:r w:rsidRPr="00721289">
        <w:rPr>
          <w:rFonts w:ascii="Times New Roman" w:hAnsi="Times New Roman" w:cs="Times New Roman"/>
        </w:rPr>
        <w:t xml:space="preserve">Fig. </w:t>
      </w:r>
      <w:r w:rsidR="00844540">
        <w:rPr>
          <w:rFonts w:ascii="Times New Roman" w:hAnsi="Times New Roman" w:cs="Times New Roman" w:hint="eastAsia"/>
        </w:rPr>
        <w:t>6</w:t>
      </w:r>
      <w:r w:rsidRPr="00721289">
        <w:rPr>
          <w:rFonts w:ascii="Times New Roman" w:hAnsi="Times New Roman" w:cs="Times New Roman"/>
        </w:rPr>
        <w:t>). Under both protocols, the item difficulty distribution was skewed toward lower difficulty with a long tail of hard items (</w:t>
      </w:r>
      <m:oMath>
        <m:r>
          <w:rPr>
            <w:rFonts w:ascii="Cambria Math" w:hAnsi="Cambria Math" w:cs="Times New Roman"/>
          </w:rPr>
          <m:t>b</m:t>
        </m:r>
      </m:oMath>
      <w:r w:rsidRPr="00721289">
        <w:rPr>
          <w:rFonts w:ascii="Times New Roman" w:hAnsi="Times New Roman" w:cs="Times New Roman"/>
        </w:rPr>
        <w:t xml:space="preserve"> range: -2.36 to 6.07). Crucially, the distribution of model abilities was centered significantly higher than item difficulties, indicating a ceiling effect where the exam discriminates poorly among top-tier models. Furthermore, the mean model ability shifted downward from </w:t>
      </w:r>
      <m:oMath>
        <m:r>
          <w:rPr>
            <w:rFonts w:ascii="Cambria Math" w:hAnsi="Cambria Math" w:cs="Times New Roman"/>
          </w:rPr>
          <m:t>θ</m:t>
        </m:r>
      </m:oMath>
      <w:r w:rsidR="00FA37F4" w:rsidRPr="00721289">
        <w:rPr>
          <w:rFonts w:ascii="Times New Roman" w:hAnsi="Times New Roman" w:cs="Times New Roman"/>
        </w:rPr>
        <w:t xml:space="preserve"> </w:t>
      </w:r>
      <w:r w:rsidRPr="00721289">
        <w:rPr>
          <w:rFonts w:ascii="Times New Roman" w:hAnsi="Times New Roman" w:cs="Times New Roman"/>
        </w:rPr>
        <w:t>=</w:t>
      </w:r>
      <w:r w:rsidR="00FA37F4">
        <w:rPr>
          <w:rFonts w:ascii="Times New Roman" w:hAnsi="Times New Roman" w:cs="Times New Roman" w:hint="eastAsia"/>
        </w:rPr>
        <w:t xml:space="preserve"> </w:t>
      </w:r>
      <w:r w:rsidRPr="00721289">
        <w:rPr>
          <w:rFonts w:ascii="Times New Roman" w:hAnsi="Times New Roman" w:cs="Times New Roman"/>
        </w:rPr>
        <w:t xml:space="preserve">3.30 (Baseline) to </w:t>
      </w:r>
      <m:oMath>
        <m:r>
          <w:rPr>
            <w:rFonts w:ascii="Cambria Math" w:hAnsi="Cambria Math" w:cs="Times New Roman"/>
          </w:rPr>
          <m:t>θ</m:t>
        </m:r>
      </m:oMath>
      <w:r w:rsidR="00FA37F4" w:rsidRPr="00721289">
        <w:rPr>
          <w:rFonts w:ascii="Times New Roman" w:hAnsi="Times New Roman" w:cs="Times New Roman"/>
        </w:rPr>
        <w:t xml:space="preserve"> </w:t>
      </w:r>
      <w:r w:rsidRPr="00721289">
        <w:rPr>
          <w:rFonts w:ascii="Times New Roman" w:hAnsi="Times New Roman" w:cs="Times New Roman"/>
        </w:rPr>
        <w:t>=</w:t>
      </w:r>
      <w:r w:rsidR="00FA37F4">
        <w:rPr>
          <w:rFonts w:ascii="Times New Roman" w:hAnsi="Times New Roman" w:cs="Times New Roman" w:hint="eastAsia"/>
        </w:rPr>
        <w:t xml:space="preserve"> </w:t>
      </w:r>
      <w:r w:rsidRPr="00721289">
        <w:rPr>
          <w:rFonts w:ascii="Times New Roman" w:hAnsi="Times New Roman" w:cs="Times New Roman"/>
        </w:rPr>
        <w:t>2.85 (Agentic), confirming that the workflow intervention systematically suppressed latent proficiency across the cohort.</w:t>
      </w:r>
    </w:p>
    <w:p w14:paraId="6FAF958F" w14:textId="03975DB6" w:rsidR="00DB2C71" w:rsidRDefault="00DB2C71" w:rsidP="00721289">
      <w:pPr>
        <w:jc w:val="both"/>
        <w:rPr>
          <w:rFonts w:ascii="Times New Roman" w:hAnsi="Times New Roman" w:cs="Times New Roman"/>
        </w:rPr>
      </w:pPr>
      <w:r>
        <w:rPr>
          <w:rFonts w:ascii="Times New Roman" w:hAnsi="Times New Roman" w:cs="Times New Roman"/>
          <w:noProof/>
        </w:rPr>
        <w:drawing>
          <wp:inline distT="0" distB="0" distL="0" distR="0" wp14:anchorId="48DEFD50" wp14:editId="50291670">
            <wp:extent cx="5264785" cy="5109210"/>
            <wp:effectExtent l="0" t="0" r="0" b="0"/>
            <wp:docPr id="10281093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4785" cy="5109210"/>
                    </a:xfrm>
                    <a:prstGeom prst="rect">
                      <a:avLst/>
                    </a:prstGeom>
                    <a:noFill/>
                    <a:ln>
                      <a:noFill/>
                    </a:ln>
                  </pic:spPr>
                </pic:pic>
              </a:graphicData>
            </a:graphic>
          </wp:inline>
        </w:drawing>
      </w:r>
    </w:p>
    <w:p w14:paraId="31AE3C32" w14:textId="53B780F6" w:rsidR="00DB2C71" w:rsidRPr="002A70CF" w:rsidRDefault="002A70CF" w:rsidP="00721289">
      <w:pPr>
        <w:jc w:val="both"/>
        <w:rPr>
          <w:rFonts w:ascii="Times New Roman" w:hAnsi="Times New Roman" w:cs="Times New Roman"/>
          <w:sz w:val="15"/>
          <w:szCs w:val="16"/>
        </w:rPr>
      </w:pPr>
      <w:r w:rsidRPr="002A70CF">
        <w:rPr>
          <w:rFonts w:ascii="Times New Roman" w:hAnsi="Times New Roman" w:cs="Times New Roman"/>
          <w:b/>
          <w:bCs/>
          <w:sz w:val="15"/>
          <w:szCs w:val="16"/>
        </w:rPr>
        <w:t>Fig. 6. Rasch (1PL) Wright maps for baseline vs agentic protocols.</w:t>
      </w:r>
      <w:r w:rsidRPr="002A70CF">
        <w:rPr>
          <w:rFonts w:ascii="Times New Roman" w:hAnsi="Times New Roman" w:cs="Times New Roman" w:hint="eastAsia"/>
          <w:sz w:val="15"/>
          <w:szCs w:val="16"/>
        </w:rPr>
        <w:t xml:space="preserve"> </w:t>
      </w:r>
      <w:r w:rsidRPr="002A70CF">
        <w:rPr>
          <w:rFonts w:ascii="Times New Roman" w:hAnsi="Times New Roman" w:cs="Times New Roman"/>
          <w:sz w:val="15"/>
          <w:szCs w:val="16"/>
        </w:rPr>
        <w:t>Rasch (1-parameter logistic) person-item maps showing the distributions of estimated model ability (theta; left histogram) and item difficulty (b; right histogram) on a shared logit scale. "Persons" correspond to model-by-trial instances (11 models x 5 trials), and items correspond to the 165 questions. Panel A: baseline; Panel B: agentic.</w:t>
      </w:r>
    </w:p>
    <w:p w14:paraId="787BA245" w14:textId="115EA296" w:rsidR="00721289" w:rsidRDefault="002A70CF" w:rsidP="00721289">
      <w:pPr>
        <w:jc w:val="both"/>
        <w:rPr>
          <w:rFonts w:ascii="Times New Roman" w:hAnsi="Times New Roman" w:cs="Times New Roman"/>
        </w:rPr>
      </w:pPr>
      <w:r>
        <w:rPr>
          <w:rFonts w:ascii="Times New Roman" w:hAnsi="Times New Roman" w:cs="Times New Roman" w:hint="eastAsia"/>
        </w:rPr>
        <w:lastRenderedPageBreak/>
        <w:t>CTT</w:t>
      </w:r>
      <w:r w:rsidR="00721289" w:rsidRPr="00721289">
        <w:rPr>
          <w:rFonts w:ascii="Times New Roman" w:hAnsi="Times New Roman" w:cs="Times New Roman"/>
        </w:rPr>
        <w:t xml:space="preserve"> analysis revealed a deterioration in item quality under the agentic workflow. While baseline discrimination (point-biserial </w:t>
      </w:r>
      <m:oMath>
        <m:r>
          <w:rPr>
            <w:rFonts w:ascii="Cambria Math" w:hAnsi="Cambria Math" w:cs="Times New Roman"/>
          </w:rPr>
          <m:t>r</m:t>
        </m:r>
      </m:oMath>
      <w:r w:rsidR="00721289" w:rsidRPr="00721289">
        <w:rPr>
          <w:rFonts w:ascii="Times New Roman" w:hAnsi="Times New Roman" w:cs="Times New Roman"/>
        </w:rPr>
        <w:t>) ranged from -0.52 to 0.73, the agentic protocol significantly increased the number of items exhibiting negative discrimination (</w:t>
      </w:r>
      <m:oMath>
        <m:r>
          <w:rPr>
            <w:rFonts w:ascii="Cambria Math" w:hAnsi="Cambria Math" w:cs="Times New Roman"/>
          </w:rPr>
          <m:t>r</m:t>
        </m:r>
      </m:oMath>
      <w:r w:rsidR="00721289" w:rsidRPr="00721289">
        <w:rPr>
          <w:rFonts w:ascii="Times New Roman" w:hAnsi="Times New Roman" w:cs="Times New Roman"/>
        </w:rPr>
        <w:t xml:space="preserve"> &lt; 0) from 9 to 19 (Fig. </w:t>
      </w:r>
      <w:r w:rsidR="007173CA">
        <w:rPr>
          <w:rFonts w:ascii="Times New Roman" w:hAnsi="Times New Roman" w:cs="Times New Roman" w:hint="eastAsia"/>
        </w:rPr>
        <w:t>7</w:t>
      </w:r>
      <w:r w:rsidR="00721289" w:rsidRPr="00721289">
        <w:rPr>
          <w:rFonts w:ascii="Times New Roman" w:hAnsi="Times New Roman" w:cs="Times New Roman"/>
        </w:rPr>
        <w:t>). A negative discrimination index implies that higher-performing models were paradoxically more likely to miss these items than lower-performing ones. This suggests that for specific items, the agentic workflow acted as a confounder, effectively transforming valid questions into "reasoning traps" that penalized capable models. Additionally, the number of refractory items (accuracy &lt;</w:t>
      </w:r>
      <w:r w:rsidR="007F1148">
        <w:rPr>
          <w:rFonts w:ascii="Times New Roman" w:hAnsi="Times New Roman" w:cs="Times New Roman" w:hint="eastAsia"/>
        </w:rPr>
        <w:t xml:space="preserve"> </w:t>
      </w:r>
      <w:r w:rsidR="00721289" w:rsidRPr="00721289">
        <w:rPr>
          <w:rFonts w:ascii="Times New Roman" w:hAnsi="Times New Roman" w:cs="Times New Roman"/>
        </w:rPr>
        <w:t>20%) increased from 10 to 13, reinforcing that agentic reasoning failed to breach the hardest content barriers.</w:t>
      </w:r>
    </w:p>
    <w:p w14:paraId="4FBA0F19" w14:textId="62669C56" w:rsidR="002A70CF" w:rsidRDefault="002A70CF" w:rsidP="00721289">
      <w:pPr>
        <w:jc w:val="both"/>
        <w:rPr>
          <w:rFonts w:ascii="Times New Roman" w:hAnsi="Times New Roman" w:cs="Times New Roman"/>
        </w:rPr>
      </w:pPr>
      <w:r>
        <w:rPr>
          <w:rFonts w:ascii="Times New Roman" w:hAnsi="Times New Roman" w:cs="Times New Roman"/>
          <w:noProof/>
        </w:rPr>
        <w:drawing>
          <wp:inline distT="0" distB="0" distL="0" distR="0" wp14:anchorId="27F7946E" wp14:editId="31451595">
            <wp:extent cx="5264785" cy="5113020"/>
            <wp:effectExtent l="0" t="0" r="0" b="0"/>
            <wp:docPr id="18704826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4785" cy="5113020"/>
                    </a:xfrm>
                    <a:prstGeom prst="rect">
                      <a:avLst/>
                    </a:prstGeom>
                    <a:noFill/>
                    <a:ln>
                      <a:noFill/>
                    </a:ln>
                  </pic:spPr>
                </pic:pic>
              </a:graphicData>
            </a:graphic>
          </wp:inline>
        </w:drawing>
      </w:r>
    </w:p>
    <w:p w14:paraId="553FED2B" w14:textId="55612E74" w:rsidR="002A70CF" w:rsidRPr="002A70CF" w:rsidRDefault="002A70CF" w:rsidP="00721289">
      <w:pPr>
        <w:jc w:val="both"/>
        <w:rPr>
          <w:rFonts w:ascii="Times New Roman" w:hAnsi="Times New Roman" w:cs="Times New Roman"/>
          <w:sz w:val="15"/>
          <w:szCs w:val="16"/>
        </w:rPr>
      </w:pPr>
      <w:r w:rsidRPr="002A70CF">
        <w:rPr>
          <w:rFonts w:ascii="Times New Roman" w:hAnsi="Times New Roman" w:cs="Times New Roman"/>
          <w:b/>
          <w:bCs/>
          <w:sz w:val="15"/>
          <w:szCs w:val="16"/>
        </w:rPr>
        <w:t>Fig. 7. Classical test theory (CTT) item difficulty vs discrimination.</w:t>
      </w:r>
      <w:r w:rsidRPr="002A70CF">
        <w:rPr>
          <w:rFonts w:ascii="Times New Roman" w:hAnsi="Times New Roman" w:cs="Times New Roman" w:hint="eastAsia"/>
          <w:b/>
          <w:bCs/>
          <w:sz w:val="15"/>
          <w:szCs w:val="16"/>
        </w:rPr>
        <w:t xml:space="preserve"> </w:t>
      </w:r>
      <w:r w:rsidRPr="002A70CF">
        <w:rPr>
          <w:rFonts w:ascii="Times New Roman" w:hAnsi="Times New Roman" w:cs="Times New Roman"/>
          <w:sz w:val="15"/>
          <w:szCs w:val="16"/>
        </w:rPr>
        <w:t>Scatter plots of item easiness (x-axis, % correct across model-by-trial persons) versus discrimination (y-axis, point-biserial correlation between the item score and the total score excluding that item). Point color encodes discrimination. Dashed horizontal reference lines mark r=0.2 and r=0.6. Panel A: baseline; Panel B: agentic.</w:t>
      </w:r>
    </w:p>
    <w:p w14:paraId="726949E8" w14:textId="33BA8022" w:rsidR="00904852" w:rsidRPr="00114A84" w:rsidRDefault="00F147A3" w:rsidP="00114A84">
      <w:pPr>
        <w:pStyle w:val="a9"/>
        <w:numPr>
          <w:ilvl w:val="0"/>
          <w:numId w:val="5"/>
        </w:numPr>
        <w:jc w:val="both"/>
        <w:rPr>
          <w:rFonts w:ascii="Times New Roman" w:hAnsi="Times New Roman" w:cs="Times New Roman"/>
          <w:b/>
          <w:bCs/>
          <w:sz w:val="28"/>
          <w:szCs w:val="32"/>
        </w:rPr>
      </w:pPr>
      <w:r w:rsidRPr="00114A84">
        <w:rPr>
          <w:rFonts w:ascii="Times New Roman" w:hAnsi="Times New Roman" w:cs="Times New Roman"/>
          <w:b/>
          <w:bCs/>
          <w:sz w:val="28"/>
          <w:szCs w:val="32"/>
        </w:rPr>
        <w:t>Discussion</w:t>
      </w:r>
    </w:p>
    <w:p w14:paraId="05B5D488" w14:textId="77777777" w:rsidR="008F3DA2" w:rsidRDefault="00904852" w:rsidP="00904852">
      <w:pPr>
        <w:jc w:val="both"/>
        <w:rPr>
          <w:rFonts w:ascii="Times New Roman" w:hAnsi="Times New Roman" w:cs="Times New Roman"/>
        </w:rPr>
      </w:pPr>
      <w:r w:rsidRPr="00904852">
        <w:rPr>
          <w:rFonts w:ascii="Times New Roman" w:hAnsi="Times New Roman" w:cs="Times New Roman"/>
        </w:rPr>
        <w:lastRenderedPageBreak/>
        <w:t xml:space="preserve">Agentic workflows are increasingly positioned as a practical route from “exam-passing” LLMs to clinically useful systems, yet our results highlight a central reliability paradox: adding structured deliberation can reduce both performance and safety. In a repeated-measures benchmark on a contemporary, high-stakes medical examination, the Planner–Reasoner–Critic protocol decreased cohort mean accuracy by 2.53 percentage points (82.74% to 80.21%), increased uncertainty (median </w:t>
      </w:r>
      <w:proofErr w:type="spellStart"/>
      <w:r w:rsidRPr="00904852">
        <w:rPr>
          <w:rFonts w:ascii="Times New Roman" w:hAnsi="Times New Roman" w:cs="Times New Roman"/>
        </w:rPr>
        <w:t>Δentropy</w:t>
      </w:r>
      <w:proofErr w:type="spellEnd"/>
      <w:r w:rsidRPr="00904852">
        <w:rPr>
          <w:rFonts w:ascii="Times New Roman" w:hAnsi="Times New Roman" w:cs="Times New Roman"/>
        </w:rPr>
        <w:t xml:space="preserve"> = +0.069 bits), reduced self-consistency (median </w:t>
      </w:r>
      <w:proofErr w:type="spellStart"/>
      <w:r w:rsidRPr="00904852">
        <w:rPr>
          <w:rFonts w:ascii="Times New Roman" w:hAnsi="Times New Roman" w:cs="Times New Roman"/>
        </w:rPr>
        <w:t>Δκ</w:t>
      </w:r>
      <w:proofErr w:type="spellEnd"/>
      <w:r w:rsidRPr="00904852">
        <w:rPr>
          <w:rFonts w:ascii="Times New Roman" w:hAnsi="Times New Roman" w:cs="Times New Roman"/>
        </w:rPr>
        <w:t xml:space="preserve"> = −0.045), and—most importantly—introduced more iatrogenic errors than effective rescues (damage-to-rescue ratio 1.42; McNemar </w:t>
      </w:r>
      <w:r w:rsidR="002A70CF" w:rsidRPr="002A70CF">
        <w:rPr>
          <w:rFonts w:ascii="Times New Roman" w:hAnsi="Times New Roman" w:cs="Times New Roman" w:hint="eastAsia"/>
          <w:i/>
          <w:iCs/>
        </w:rPr>
        <w:t>P</w:t>
      </w:r>
      <w:r w:rsidRPr="00904852">
        <w:rPr>
          <w:rFonts w:ascii="Times New Roman" w:hAnsi="Times New Roman" w:cs="Times New Roman"/>
        </w:rPr>
        <w:t xml:space="preserve"> = 0.0276). These findings refine the current enthusiasm for “more reasoning” in clinical AI and argue for a safety-first evaluation stance in which reliability under repetition is treated as a co-primary endpoint alongside accuracy.</w:t>
      </w:r>
    </w:p>
    <w:p w14:paraId="3BCA8CD2" w14:textId="6B79D918" w:rsidR="00904852" w:rsidRPr="00DE58BB" w:rsidRDefault="00904852" w:rsidP="00904852">
      <w:pPr>
        <w:jc w:val="both"/>
        <w:rPr>
          <w:rFonts w:ascii="Times New Roman" w:hAnsi="Times New Roman" w:cs="Times New Roman"/>
        </w:rPr>
      </w:pPr>
      <w:r w:rsidRPr="00904852">
        <w:rPr>
          <w:rFonts w:ascii="Times New Roman" w:hAnsi="Times New Roman" w:cs="Times New Roman"/>
        </w:rPr>
        <w:t>Prior work has established that frontier LLMs can perform impressively on medical exams and related knowledge assessments, motivating downstream clinical decision support proposals and educational use cases</w:t>
      </w:r>
      <w:r w:rsidR="00DE58BB">
        <w:rPr>
          <w:rFonts w:ascii="Times New Roman" w:hAnsi="Times New Roman" w:cs="Times New Roman" w:hint="eastAsia"/>
        </w:rPr>
        <w:t xml:space="preserve"> </w:t>
      </w:r>
      <w:r w:rsidR="00DE58BB">
        <w:rPr>
          <w:rFonts w:ascii="Times New Roman" w:hAnsi="Times New Roman" w:cs="Times New Roman"/>
        </w:rPr>
        <w:fldChar w:fldCharType="begin"/>
      </w:r>
      <w:r w:rsidR="00DE58BB">
        <w:rPr>
          <w:rFonts w:ascii="Times New Roman" w:hAnsi="Times New Roman" w:cs="Times New Roman"/>
        </w:rPr>
        <w:instrText xml:space="preserve"> ADDIN ZOTERO_ITEM CSL_CITATION {"citationID":"05yLBJBA","properties":{"formattedCitation":"\\super 13,14\\nosupersub{}","plainCitation":"13,14","noteIndex":0},"citationItems":[{"id":1142,"uris":["http://zotero.org/users/14545145/items/VSDY7NZ6"],"itemData":{"id":1142,"type":"article-journal","abstract":"We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reinforcement. Additionally, ChatGPT demonstrated a high level of concordance and insight in its explanations. These results suggest that large language models may have the potential to assist with medical education, and potentially, clinical decision-making.","container-title":"PLOS Digital Health","DOI":"10.1371/journal.pdig.0000198","ISSN":"2767-3170","issue":"2","journalAbbreviation":"PLOS Digital Health","language":"en","note":"publisher: Public Library of Science","page":"e0000198","source":"PLoS Journals","title":"Performance of ChatGPT on USMLE: Potential for AI-assisted medical education using large language models","title-short":"Performance of ChatGPT on USMLE","volume":"2","author":[{"family":"Kung","given":"Tiffany H."},{"family":"Cheatham","given":"Morgan"},{"family":"Medenilla","given":"Arielle"},{"family":"Sillos","given":"Czarina"},{"family":"Leon","given":"Lorie De"},{"family":"Elepaño","given":"Camille"},{"family":"Madriaga","given":"Maria"},{"family":"Aggabao","given":"Rimel"},{"family":"Diaz-Candido","given":"Giezel"},{"family":"Maningo","given":"James"},{"family":"Tseng","given":"Victor"}],"issued":{"date-parts":[["2023",2,9]]}}},{"id":1140,"uris":["http://zotero.org/users/14545145/items/B9BL2WDD"],"itemData":{"id":1140,"type":"article-journal","abstract":"The use of artificial intelligence, and the deep-learning subtype in particular, has been enabled by the use of labeled big data, along with markedly enhanced computing power and cloud storage, across all sectors. In medicine, this is beginning to have an impact at three levels: for clinicians, predominantly via rapid, accurate image interpretation; for health systems, by improving workflow and the potential for reducing medical errors; and for patients, by enabling them to process their own data to promote health. The current limitations, including bias, privacy and security, and lack of transparency, along with the future directions of these applications will be discussed in this article. Over time, marked improvements in accuracy, productivity, and workflow will likely be actualized, but whether that will be used to improve the patient–doctor relationship or facilitate its erosion remains to be seen.","container-title":"Nature Medicine","DOI":"10.1038/s41591-018-0300-7","ISSN":"1546-170X","issue":"1","journalAbbreviation":"Nat Med","language":"en","license":"2019 Springer Nature America, Inc.","note":"publisher: Nature Publishing Group","page":"44-56","source":"www.nature.com","title":"High-performance medicine: the convergence of human and artificial intelligence","title-short":"High-performance medicine","volume":"25","author":[{"family":"Topol","given":"Eric J."}],"issued":{"date-parts":[["2019",1]]}}}],"schema":"https://github.com/citation-style-language/schema/raw/master/csl-citation.json"} </w:instrText>
      </w:r>
      <w:r w:rsidR="00DE58BB">
        <w:rPr>
          <w:rFonts w:ascii="Times New Roman" w:hAnsi="Times New Roman" w:cs="Times New Roman"/>
        </w:rPr>
        <w:fldChar w:fldCharType="separate"/>
      </w:r>
      <w:r w:rsidR="00DE58BB" w:rsidRPr="00DE58BB">
        <w:rPr>
          <w:rFonts w:ascii="Times New Roman" w:hAnsi="Times New Roman" w:cs="Times New Roman"/>
          <w:kern w:val="0"/>
          <w:vertAlign w:val="superscript"/>
        </w:rPr>
        <w:t>13,14</w:t>
      </w:r>
      <w:r w:rsidR="00DE58BB">
        <w:rPr>
          <w:rFonts w:ascii="Times New Roman" w:hAnsi="Times New Roman" w:cs="Times New Roman"/>
        </w:rPr>
        <w:fldChar w:fldCharType="end"/>
      </w:r>
      <w:r w:rsidRPr="00904852">
        <w:rPr>
          <w:rFonts w:ascii="Times New Roman" w:hAnsi="Times New Roman" w:cs="Times New Roman"/>
        </w:rPr>
        <w:t xml:space="preserve">. Our paired protocol comparison suggests that a workflow upgrade should be treated as a clinical-style intervention: it can rescue errors, but it can also cause harm. The AIRA decomposition makes this explicit by tracking </w:t>
      </w:r>
      <w:r w:rsidR="007943B3">
        <w:rPr>
          <w:rFonts w:ascii="Times New Roman" w:hAnsi="Times New Roman" w:cs="Times New Roman"/>
        </w:rPr>
        <w:t>transitions</w:t>
      </w:r>
      <w:r w:rsidRPr="00904852">
        <w:rPr>
          <w:rFonts w:ascii="Times New Roman" w:hAnsi="Times New Roman" w:cs="Times New Roman"/>
        </w:rPr>
        <w:t xml:space="preserve"> at the model–item level. In our cohort, the agentic workflow produced substantially more iatrogenic reversals than rescues, and this asymmetry remained statistically significant at the aggregate level. This pattern aligns with established lessons from safety-critical domains: an assistive system that occasionally “overrides” correct decisions with incorrect ones can be net harmful even if mean accuracy changes appear small</w:t>
      </w:r>
      <w:r w:rsidR="00DE58BB">
        <w:rPr>
          <w:rFonts w:ascii="Times New Roman" w:hAnsi="Times New Roman" w:cs="Times New Roman" w:hint="eastAsia"/>
        </w:rPr>
        <w:t xml:space="preserve"> </w:t>
      </w:r>
      <w:r w:rsidR="00DE58BB">
        <w:rPr>
          <w:rFonts w:ascii="Times New Roman" w:hAnsi="Times New Roman" w:cs="Times New Roman"/>
        </w:rPr>
        <w:fldChar w:fldCharType="begin"/>
      </w:r>
      <w:r w:rsidR="00DE58BB">
        <w:rPr>
          <w:rFonts w:ascii="Times New Roman" w:hAnsi="Times New Roman" w:cs="Times New Roman"/>
        </w:rPr>
        <w:instrText xml:space="preserve"> ADDIN ZOTERO_ITEM CSL_CITATION {"citationID":"F6Ov7ssQ","properties":{"formattedCitation":"\\super 15\\uc0\\u8211{}17\\nosupersub{}","plainCitation":"15–17","noteIndex":0},"citationItems":[{"id":1211,"uris":["http://zotero.org/users/14545145/items/LRK4L44Q"],"itemData":{"id":1211,"type":"article-journal","abstract":"This paper addresses theoretical, empirical, and analytical studies pertaining to human use, misuse, disuse, and abuse of automation technology. Use refers to the voluntary activation or disengagement of automation by human operators. Trust, mental workload, and risk can influence automation use, but interactions between factors and large individual differences make prediction of automation use difficult. Misuse refers to over reliance on automation, which can result in failures of monitoring or decision biases. Factors affecting the monitoring of automation include workload, automation reliability and consistency, and the saliency of automation state indicators. Disuse, or the neglect or underutilization of automation, is commonly caused by alarms that activate falsely. This often occurs because the base rate of the condition to be detected is not considered in setting the trade-off between false alarms and omissions. Automation abuse, or the automation of functions by designers and implementation by managers without due regard for the consequences for human performance, tends to define the operator's roles as by-products of the automation. Automation abuse can also promote misuse and disuse of automation by human operators. Understanding the factors associated with each of these aspects of human use of automation can lead to improved system design, effective training methods, and judicious policies and procedures involving automation use.","container-title":"Human Factors","DOI":"10.1518/001872097778543886","ISSN":"0018-7208","issue":"2","journalAbbreviation":"Hum Factors","note":"publisher: SAGE Publications Inc","page":"230-253","source":"journals.sagepub.com (Atypon)","title":"Humans and Automation: Use, Misuse, Disuse, Abuse","title-short":"Humans and Automation","volume":"39","author":[{"family":"Parasuraman","given":"Raja"},{"family":"Riley","given":"Victor"}],"issued":{"date-parts":[["1997",6]]}}},{"id":1212,"uris":["http://zotero.org/users/14545145/items/YWS4UK4T"],"itemData":{"id":1212,"type":"article-journal","abstract":"Automation is often problematic because people fail to rely upon it appropriately. Because people respond to technology socially, trust influences reliance on automation. In particular, trust guides reliance when complexity and unanticipated situations make a complete understanding of the automation impractical. This review considers trust from the organizational, sociological, interpersonal, psychological, and neurological perspectives. It considers how the context, automation characteristics, and cognitive processes affect the appropriateness of trust. The context in which the automation is used influences automation performance and provides a goal-oriented perspective to assess automation characteristics along a dimension of attributional abstraction. These characteristics can influence trust through analytic, analogical, and affective processes. The challenges of extrapolating the concept of trust in people to trust in automation are discussed. A conceptual model integrates research regarding trust in automation and describes the dynamics of trust, the role of context, and the influence of display characteristics. Actual or potential applications of this research include improved designs of systems that require people to manage imperfect automation.","container-title":"Human Factors","DOI":"10.1518/hfes.46.1.50_30392","ISSN":"0018-7208","issue":"1","journalAbbreviation":"Hum Factors","language":"EN","note":"publisher: SAGE Publications Inc","page":"50-80","source":"SAGE Journals","title":"Trust in Automation: Designing for Appropriate Reliance","title-short":"Trust in Automation","volume":"46","author":[{"family":"Lee","given":"John D."},{"family":"See","given":"Katrina A."}],"issued":{"date-parts":[["2004",3,1]]}}},{"id":1213,"uris":["http://zotero.org/users/14545145/items/AVYV9AB8"],"itemData":{"id":1213,"type":"article-journal","abstract":"Use of artificial intelligence in healthcare, such as machine learning-based predictive algorithms, holds promise for advancing outcomes, but few systems are used in routine clinical practice. Trust has been cited as an important challenge to meaningful use of artificial intelligence in clinical practice. Artificial intelligence systems often involve automating cognitively challenging tasks. Therefore, previous literature on trust in automation may hold important lessons for artificial intelligence applications in healthcare. In this perspective, we argue that informatics should take lessons from literature on trust in automation such that the goal should be to foster appropriate trust in artificial intelligence based on the purpose of the tool, its process for making recommendations, and its performance in the given context. We adapt a conceptual model to support this argument and present recommendations for future work.","container-title":"Journal of the American Medical Informatics Association","DOI":"10.1093/jamia/ocab238","ISSN":"1527-974X","issue":"1","journalAbbreviation":"J Am Med Inform Assoc","page":"207-212","source":"Silverchair","title":"Trust in AI: why we should be designing for APPROPRIATE reliance","title-short":"Trust in AI","volume":"29","author":[{"family":"Benda","given":"Natalie C"},{"family":"Novak","given":"Laurie L"},{"family":"Reale","given":"Carrie"},{"family":"Ancker","given":"Jessica S"}],"issued":{"date-parts":[["2022",1,1]]}}}],"schema":"https://github.com/citation-style-language/schema/raw/master/csl-citation.json"} </w:instrText>
      </w:r>
      <w:r w:rsidR="00DE58BB">
        <w:rPr>
          <w:rFonts w:ascii="Times New Roman" w:hAnsi="Times New Roman" w:cs="Times New Roman"/>
        </w:rPr>
        <w:fldChar w:fldCharType="separate"/>
      </w:r>
      <w:r w:rsidR="00DE58BB" w:rsidRPr="00DE58BB">
        <w:rPr>
          <w:rFonts w:ascii="Times New Roman" w:hAnsi="Times New Roman" w:cs="Times New Roman"/>
          <w:kern w:val="0"/>
          <w:vertAlign w:val="superscript"/>
        </w:rPr>
        <w:t>15–17</w:t>
      </w:r>
      <w:r w:rsidR="00DE58BB">
        <w:rPr>
          <w:rFonts w:ascii="Times New Roman" w:hAnsi="Times New Roman" w:cs="Times New Roman"/>
        </w:rPr>
        <w:fldChar w:fldCharType="end"/>
      </w:r>
      <w:r w:rsidRPr="00904852">
        <w:rPr>
          <w:rFonts w:ascii="Times New Roman" w:hAnsi="Times New Roman" w:cs="Times New Roman"/>
        </w:rPr>
        <w:t>. In medical decision-making, where the cost of an introduced error may outweigh the benefit of an occasional correction, the damage-to-rescue ratio provides a natural safety metric for workflow selection and deployment gating.</w:t>
      </w:r>
    </w:p>
    <w:p w14:paraId="366613E6" w14:textId="131EBBB7" w:rsidR="00904852" w:rsidRPr="00904852" w:rsidRDefault="00904852" w:rsidP="00904852">
      <w:pPr>
        <w:jc w:val="both"/>
        <w:rPr>
          <w:rFonts w:ascii="Times New Roman" w:hAnsi="Times New Roman" w:cs="Times New Roman"/>
        </w:rPr>
      </w:pPr>
      <w:r w:rsidRPr="00904852">
        <w:rPr>
          <w:rFonts w:ascii="Times New Roman" w:hAnsi="Times New Roman" w:cs="Times New Roman"/>
        </w:rPr>
        <w:t>Two additional observations sharpen the clinical interpretation. First, the intervention effect was heterogeneous, with some models benefiting while others deteriorated sharply, including a BH-FDR significant harm signal in GPT OSS 20B. This heterogeneity cautions against treating “agentic prompting” as model-agnostic best practice and motivates model-specific safety profiling before deployment. Second, item-level analysis revealed both persistent “absolute cold spots” and a new agentic-specific cold spot (</w:t>
      </w:r>
      <w:r w:rsidR="00916677">
        <w:rPr>
          <w:rFonts w:ascii="Times New Roman" w:hAnsi="Times New Roman" w:cs="Times New Roman" w:hint="eastAsia"/>
        </w:rPr>
        <w:t>i</w:t>
      </w:r>
      <w:r w:rsidRPr="00904852">
        <w:rPr>
          <w:rFonts w:ascii="Times New Roman" w:hAnsi="Times New Roman" w:cs="Times New Roman"/>
        </w:rPr>
        <w:t xml:space="preserve">tem 137) that became a cohort-wide “confident failure” (entropy = 0; 0/5 correct). Stable-but-wrong behavior is particularly dangerous in clinical settings because it can appear trustworthy to users and downstream systems; low entropy should not be interpreted as robustness unless it aligns with correctness </w:t>
      </w:r>
      <w:r w:rsidR="00DE58BB">
        <w:rPr>
          <w:rFonts w:ascii="Times New Roman" w:hAnsi="Times New Roman" w:cs="Times New Roman" w:hint="eastAsia"/>
        </w:rPr>
        <w:t xml:space="preserve"> </w:t>
      </w:r>
      <w:r w:rsidR="00DE58BB">
        <w:rPr>
          <w:rFonts w:ascii="Times New Roman" w:hAnsi="Times New Roman" w:cs="Times New Roman"/>
        </w:rPr>
        <w:fldChar w:fldCharType="begin"/>
      </w:r>
      <w:r w:rsidR="000D3610">
        <w:rPr>
          <w:rFonts w:ascii="Times New Roman" w:hAnsi="Times New Roman" w:cs="Times New Roman"/>
        </w:rPr>
        <w:instrText xml:space="preserve"> ADDIN ZOTERO_ITEM CSL_CITATION {"citationID":"fNHmyxFR","properties":{"formattedCitation":"\\super 18\\uc0\\u8211{}21\\nosupersub{}","plainCitation":"18–21","noteIndex":0},"citationItems":[{"id":1144,"uris":["http://zotero.org/users/14545145/items/K5IW8M5S"],"itemData":{"id":1144,"type":"article-journal","abstract":"Natural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 In this survey, we thus provide a broad overview of the research progress and challenges in the hallucination problem in NLG. The survey is organized into two parts: (1) a general overview of metrics, mitigation methods, and future directions; (2) an overview of task-specific research progress on hallucinations in the following downstream tasks, namely abstractive summarization, dialogue generation, generative question answering, data-to-text generation, machine translation, and visual-language generation; and (3) hallucinations in large language models (LLMs). This survey serves to facilitate collaborative efforts among researchers in tackling the challenge of hallucinated texts in NLG.","container-title":"ACM Computing Surveys","DOI":"10.1145/3571730","ISSN":"0360-0300, 1557-7341","issue":"12","journalAbbreviation":"ACM Comput. Surv.","note":"arXiv:2202.03629 [cs]","page":"1-38","source":"arXiv.org","title":"Survey of Hallucination in Natural Language Generation","volume":"55","author":[{"family":"Ji","given":"Ziwei"},{"family":"Lee","given":"Nayeon"},{"family":"Frieske","given":"Rita"},{"family":"Yu","given":"Tiezheng"},{"family":"Su","given":"Dan"},{"family":"Xu","given":"Yan"},{"family":"Ishii","given":"Etsuko"},{"family":"Bang","given":"Yejin"},{"family":"Chen","given":"Delong"},{"family":"Dai","given":"Wenliang"},{"family":"Chan","given":"Ho Shu"},{"family":"Madotto","given":"Andrea"},{"family":"Fung","given":"Pascale"}],"issued":{"date-parts":[["2023",12,31]]}}},{"id":1163,"uris":["http://zotero.org/users/14545145/items/KGZ4MRIY"],"itemData":{"id":1163,"type":"paper-conference","abstract":"Generative Large Language Models (LLMs) such as GPT-3 are capable of generating highly fluent responses to a wide variety of user prompts. However, LLMs are known to hallucinate facts and make non-factual statements which can undermine trust in their output. Existing fact-checking approaches either require access to the output probability distribution (which may not be available for systems such as ChatGPT) or external databases that are interfaced via separate, often complex, modules. In this work, we propose “SelfCheckGPT”, a simple sampling-based approach that can be used to fact-check the responses of black-box models in a zero-resource fashion, i.e. without an external database. SelfCheckGPT leverages the simple idea that if an LLM has knowledge of a given concept, sampled responses are likely to be similar and contain consistent facts. However, for hallucinated facts, stochastically sampled responses are likely to diverge and contradict one another. We investigate this approach by using GPT-3 to generate passages about individuals from the WikiBio dataset, and manually annotate the factuality of the generated passages. We demonstrate that SelfCheckGPT can: i) detect non-factual and factual sentences; and ii) rank passages in terms of factuality. We compare our approach to several baselines and show that our approach has considerably higher AUC-PR scores in sentence-level hallucination detection and higher correlation scores in passage-level factuality assessment compared to grey-box methods.","container-title":"Proceedings of the 2023 Conference on Empirical Methods in Natural Language Processing","DOI":"10.18653/v1/2023.emnlp-main.557","event-place":"Singapore","event-title":"EMNLP 2023","page":"9004–9017","publisher":"Association for Computational Linguistics","publisher-place":"Singapore","source":"ACLWeb","title":"SelfCheckGPT: Zero-Resource Black-Box Hallucination Detection for Generative Large Language Models","title-short":"SelfCheckGPT","URL":"https://aclanthology.org/2023.emnlp-main.557/","author":[{"family":"Manakul","given":"Potsawee"},{"family":"Liusie","given":"Adian"},{"family":"Gales","given":"Mark"}],"editor":[{"family":"Bouamor","given":"Houda"},{"family":"Pino","given":"Juan"},{"family":"Bali","given":"Kalika"}],"accessed":{"date-parts":[["2026",1,7]]},"issued":{"date-parts":[["2023",12]]}}},{"id":1151,"uris":["http://zotero.org/users/14545145/items/MX7K6CFX"],"itemData":{"id":1151,"type":"paper-conference","abstract":"We propose a benchmark to measure whether a language model is truthful in generating answers to questions. The benchmark comprises 817 questions that span 38 categories, including health, law, finance and politics. We crafted questions that some humans would answer falsely due to a false belief or misconception. To perform well, models must avoid generating false answers learned from imitating human texts. We tested GPT-3, GPT-Neo/J, GPT-2 and a T5-based model. The best model was truthful on 58% of questions, while human performance was 94%. Models generated many false answers that mimic popular misconceptions and have the potential to deceive humans. The largest models were generally the least truthful. This contrasts with other NLP tasks, where performance improves with model size. However, this result is expected if false answers are learned from the training distribution. We suggest that scaling up models alone is less promising for improving truthfulness than fine-tuning using training objectives other than imitation of text from the web.","container-title":"Proceedings of the 60th Annual Meeting of the Association for Computational Linguistics (Volume 1: Long Papers)","DOI":"10.18653/v1/2022.acl-long.229","event-place":"Dublin, Ireland","event-title":"ACL 2022","page":"3214–3252","publisher":"Association for Computational Linguistics","publisher-place":"Dublin, Ireland","source":"ACLWeb","title":"TruthfulQA: Measuring How Models Mimic Human Falsehoods","title-short":"TruthfulQA","URL":"https://aclanthology.org/2022.acl-long.229/","author":[{"family":"Lin","given":"Stephanie"},{"family":"Hilton","given":"Jacob"},{"family":"Evans","given":"Owain"}],"editor":[{"family":"Muresan","given":"Smaranda"},{"family":"Nakov","given":"Preslav"},{"family":"Villavicencio","given":"Aline"}],"accessed":{"date-parts":[["2026",1,7]]},"issued":{"date-parts":[["2022",5]]}}},{"id":1215,"uris":["http://zotero.org/users/14545145/items/P3ALASC9"],"itemData":{"id":1215,"type":"article-journal","abstract":"The goal of this study was to determine the relative contribution of system-related and cognitive components to diagnostic error and to develop a comprehensive working taxonomy.One hundred cases of diagnostic error involving internists were identified through autopsy discrepancies, quality assurance activities, and voluntary reports. Each case was evaluated to identify system-related and cognitive factors underlying error using record reviews and, if possible, provider interviews.Ninety cases involved injury, including 33 deaths. The underlying contributions to error fell into 3 natural categories: “no fault,” system-related, and cognitive. Seven cases reflected no-fault errors alone. In the remaining 93 cases, we identified 548 different system-related or cognitive factors (5.9 per case). System-related factors contributed to the diagnostic error in 65% of the cases and cognitive factors in 74%. The most common system-related factors involved problems with policies and procedures, inefficient processes, teamwork, and communication. The most common cognitive problems involved faulty synthesis. Premature closure, ie, the failure to continue considering reasonable alternatives after an initial diagnosis was reached, was the single most common cause. Other common causes included faulty context generation, misjudging the salience of findings, faulty perception, and errors arising from the use of heuristics. Faulty or inadequate knowledge was uncommon.Diagnostic error is commonly multifactorial in origin, typically involving both system-related and cognitive factors. The results identify the dominant problems that should be targeted for additional research and early reduction; they also further the development of a comprehensive taxonomy for classifying diagnostic errors.Arch Intern Med. 2005;165:1493-1499--&gt;","container-title":"Archives of Internal Medicine","DOI":"10.1001/archinte.165.13.1493","ISSN":"0003-9926","issue":"13","journalAbbreviation":"Arch Intern Med","page":"1493-1499","source":"Silverchair","title":"Diagnostic Error in Internal Medicine","volume":"165","author":[{"family":"Graber","given":"Mark L."},{"family":"Franklin","given":"Nancy"},{"family":"Gordon","given":"Ruthanna"}],"issued":{"date-parts":[["2005",7,11]]}}}],"schema":"https://github.com/citation-style-language/schema/raw/master/csl-citation.json"} </w:instrText>
      </w:r>
      <w:r w:rsidR="00DE58BB">
        <w:rPr>
          <w:rFonts w:ascii="Times New Roman" w:hAnsi="Times New Roman" w:cs="Times New Roman"/>
        </w:rPr>
        <w:fldChar w:fldCharType="separate"/>
      </w:r>
      <w:r w:rsidR="000D3610" w:rsidRPr="000D3610">
        <w:rPr>
          <w:rFonts w:ascii="Times New Roman" w:hAnsi="Times New Roman" w:cs="Times New Roman"/>
          <w:kern w:val="0"/>
          <w:vertAlign w:val="superscript"/>
        </w:rPr>
        <w:t>18–21</w:t>
      </w:r>
      <w:r w:rsidR="00DE58BB">
        <w:rPr>
          <w:rFonts w:ascii="Times New Roman" w:hAnsi="Times New Roman" w:cs="Times New Roman"/>
        </w:rPr>
        <w:fldChar w:fldCharType="end"/>
      </w:r>
      <w:r w:rsidRPr="00904852">
        <w:rPr>
          <w:rFonts w:ascii="Times New Roman" w:hAnsi="Times New Roman" w:cs="Times New Roman"/>
        </w:rPr>
        <w:t>.</w:t>
      </w:r>
      <w:r w:rsidR="00473EF7">
        <w:rPr>
          <w:rFonts w:ascii="Times New Roman" w:hAnsi="Times New Roman" w:cs="Times New Roman" w:hint="eastAsia"/>
        </w:rPr>
        <w:t xml:space="preserve"> </w:t>
      </w:r>
      <w:r w:rsidRPr="00904852">
        <w:rPr>
          <w:rFonts w:ascii="Times New Roman" w:hAnsi="Times New Roman" w:cs="Times New Roman"/>
        </w:rPr>
        <w:t>Notably, three shared absolute cold spots (items 9, 35, 42) remained unrecovered at 0% under both protocols, and the cold-spot set improved only marginally and not significantly, underscoring that workflow-only “reasoning” is insufficient to bridge certain refractory content gaps.</w:t>
      </w:r>
    </w:p>
    <w:p w14:paraId="37DA797B" w14:textId="7640C0F7" w:rsidR="00904852" w:rsidRPr="000D3610" w:rsidRDefault="00904852" w:rsidP="00904852">
      <w:pPr>
        <w:jc w:val="both"/>
        <w:rPr>
          <w:rFonts w:ascii="Times New Roman" w:hAnsi="Times New Roman" w:cs="Times New Roman"/>
        </w:rPr>
      </w:pPr>
      <w:r w:rsidRPr="00904852">
        <w:rPr>
          <w:rFonts w:ascii="Times New Roman" w:hAnsi="Times New Roman" w:cs="Times New Roman"/>
        </w:rPr>
        <w:t xml:space="preserve">Why </w:t>
      </w:r>
      <w:proofErr w:type="gramStart"/>
      <w:r w:rsidRPr="00904852">
        <w:rPr>
          <w:rFonts w:ascii="Times New Roman" w:hAnsi="Times New Roman" w:cs="Times New Roman"/>
        </w:rPr>
        <w:t>variability</w:t>
      </w:r>
      <w:proofErr w:type="gramEnd"/>
      <w:r w:rsidRPr="00904852">
        <w:rPr>
          <w:rFonts w:ascii="Times New Roman" w:hAnsi="Times New Roman" w:cs="Times New Roman"/>
        </w:rPr>
        <w:t xml:space="preserve"> </w:t>
      </w:r>
      <w:proofErr w:type="gramStart"/>
      <w:r w:rsidRPr="00904852">
        <w:rPr>
          <w:rFonts w:ascii="Times New Roman" w:hAnsi="Times New Roman" w:cs="Times New Roman"/>
        </w:rPr>
        <w:t>persists</w:t>
      </w:r>
      <w:proofErr w:type="gramEnd"/>
      <w:r w:rsidRPr="00904852">
        <w:rPr>
          <w:rFonts w:ascii="Times New Roman" w:hAnsi="Times New Roman" w:cs="Times New Roman"/>
        </w:rPr>
        <w:t xml:space="preserve"> at temperature = 0, and why </w:t>
      </w:r>
      <w:proofErr w:type="gramStart"/>
      <w:r w:rsidRPr="00904852">
        <w:rPr>
          <w:rFonts w:ascii="Times New Roman" w:hAnsi="Times New Roman" w:cs="Times New Roman"/>
        </w:rPr>
        <w:t>agentic</w:t>
      </w:r>
      <w:proofErr w:type="gramEnd"/>
      <w:r w:rsidRPr="00904852">
        <w:rPr>
          <w:rFonts w:ascii="Times New Roman" w:hAnsi="Times New Roman" w:cs="Times New Roman"/>
        </w:rPr>
        <w:t xml:space="preserve"> chains amplify it</w:t>
      </w:r>
      <w:r w:rsidR="0066697A">
        <w:rPr>
          <w:rFonts w:ascii="Times New Roman" w:hAnsi="Times New Roman" w:cs="Times New Roman" w:hint="eastAsia"/>
        </w:rPr>
        <w:t xml:space="preserve">? </w:t>
      </w:r>
      <w:r w:rsidRPr="00904852">
        <w:rPr>
          <w:rFonts w:ascii="Times New Roman" w:hAnsi="Times New Roman" w:cs="Times New Roman"/>
        </w:rPr>
        <w:t xml:space="preserve">All runs were performed at temperature = 0.0, yet we still observed trial-to-trial variation across multiple </w:t>
      </w:r>
      <w:r w:rsidRPr="00904852">
        <w:rPr>
          <w:rFonts w:ascii="Times New Roman" w:hAnsi="Times New Roman" w:cs="Times New Roman"/>
        </w:rPr>
        <w:lastRenderedPageBreak/>
        <w:t>models, and this nondeterminism increased under the agentic workflow. This has two implications for clinical translation.</w:t>
      </w:r>
    </w:p>
    <w:p w14:paraId="06E3D12A" w14:textId="4A0DDC94" w:rsidR="00904852" w:rsidRPr="00904852" w:rsidRDefault="00904852" w:rsidP="00904852">
      <w:pPr>
        <w:jc w:val="both"/>
        <w:rPr>
          <w:rFonts w:ascii="Times New Roman" w:hAnsi="Times New Roman" w:cs="Times New Roman"/>
        </w:rPr>
      </w:pPr>
      <w:r w:rsidRPr="00904852">
        <w:rPr>
          <w:rFonts w:ascii="Times New Roman" w:hAnsi="Times New Roman" w:cs="Times New Roman"/>
        </w:rPr>
        <w:t>First, any observed instability under temperature = 0.0 should be interpreted as a lower bound on deployment-time variability. Real-world deployment introduces additional sources of variability beyond the controlled benchmark setting, which can further widen output distributions</w:t>
      </w:r>
      <w:r w:rsidR="000D3610">
        <w:rPr>
          <w:rFonts w:ascii="Times New Roman" w:hAnsi="Times New Roman" w:cs="Times New Roman" w:hint="eastAsia"/>
        </w:rPr>
        <w:t xml:space="preserve"> </w:t>
      </w:r>
      <w:r w:rsidR="000D3610">
        <w:rPr>
          <w:rFonts w:ascii="Times New Roman" w:hAnsi="Times New Roman" w:cs="Times New Roman"/>
        </w:rPr>
        <w:fldChar w:fldCharType="begin"/>
      </w:r>
      <w:r w:rsidR="000D3610">
        <w:rPr>
          <w:rFonts w:ascii="Times New Roman" w:hAnsi="Times New Roman" w:cs="Times New Roman"/>
        </w:rPr>
        <w:instrText xml:space="preserve"> ADDIN ZOTERO_ITEM CSL_CITATION {"citationID":"VaBu43vs","properties":{"formattedCitation":"\\super 22\\nosupersub{}","plainCitation":"22","noteIndex":0},"citationItems":[{"id":1218,"uris":["http://zotero.org/users/14545145/items/DG7KJMM9"],"itemData":{"id":1218,"type":"paper-conference","abstract":"In recent years, significant progress has been made in solving challenging problems across various domains using deep reinforcement learning (RL). Reproducing existing work and accurately judging the improvements offered by novel methods is vital to sustaining this progress. Unfortunately, reproducing results for state-of-the-art deep RL methods is seldom straightforward. In particular, non-determinism in standard benchmark environments, combined with variance intrinsic to the methods, can make reported results tough to interpret. Without significance metrics and tighter standardization of experimental reporting, it is difficult to determine whether improvements over the prior state-of-the-art are meaningful. In this paper, we investigate challenges posed by reproducibility, proper experimental techniques, and reporting procedures. We illustrate the variability in reported metrics and results when comparing against common baselines and suggest guidelines to make future results in deep RL more reproducible. We aim to spur discussion about how to ensure continued progress in the field by minimizing wasted effort stemming from results that are non-reproducible and easily misinterpreted.","collection-title":"AAAI'18/IAAI'18/EAAI'18","container-title":"Proceedings of the Thirty-Second AAAI Conference on Artificial Intelligence and Thirtieth Innovative Applications of Artificial Intelligence Conference and Eighth AAAI Symposium on Educational Advances in Artificial Intelligence","event-place":"New Orleans, Louisiana, USA","ISBN":"978-1-57735-800-8","page":"3207–3214","publisher":"AAAI Press","publisher-place":"New Orleans, Louisiana, USA","source":"ACM Digital Library","title":"Deep reinforcement learning that matters","author":[{"family":"Henderson","given":"Peter"},{"family":"Islam","given":"Riashat"},{"family":"Bachman","given":"Philip"},{"family":"Pineau","given":"Joelle"},{"family":"Precup","given":"Doina"},{"family":"Meger","given":"David"}],"accessed":{"date-parts":[["2026",1,7]]},"issued":{"date-parts":[["2018",2,2]]}}}],"schema":"https://github.com/citation-style-language/schema/raw/master/csl-citation.json"} </w:instrText>
      </w:r>
      <w:r w:rsidR="000D3610">
        <w:rPr>
          <w:rFonts w:ascii="Times New Roman" w:hAnsi="Times New Roman" w:cs="Times New Roman"/>
        </w:rPr>
        <w:fldChar w:fldCharType="separate"/>
      </w:r>
      <w:r w:rsidR="000D3610" w:rsidRPr="000D3610">
        <w:rPr>
          <w:rFonts w:ascii="Times New Roman" w:hAnsi="Times New Roman" w:cs="Times New Roman"/>
          <w:kern w:val="0"/>
          <w:vertAlign w:val="superscript"/>
        </w:rPr>
        <w:t>22</w:t>
      </w:r>
      <w:r w:rsidR="000D3610">
        <w:rPr>
          <w:rFonts w:ascii="Times New Roman" w:hAnsi="Times New Roman" w:cs="Times New Roman"/>
        </w:rPr>
        <w:fldChar w:fldCharType="end"/>
      </w:r>
      <w:r w:rsidRPr="00904852">
        <w:rPr>
          <w:rFonts w:ascii="Times New Roman" w:hAnsi="Times New Roman" w:cs="Times New Roman"/>
        </w:rPr>
        <w:t xml:space="preserve">. Second, multi-step agentic pipelines can amplify residual nondeterminism because they increase the number of stochastic “decision points” (planning, intermediate reasoning, critique, and revision). Even if each individual call is mostly stable, chaining multiple calls multiplies the opportunities for small perturbations to cascade into different—and sometimes confidently wrong—final answers </w:t>
      </w:r>
      <w:r w:rsidR="000D3610">
        <w:rPr>
          <w:rFonts w:ascii="Times New Roman" w:hAnsi="Times New Roman" w:cs="Times New Roman"/>
        </w:rPr>
        <w:fldChar w:fldCharType="begin"/>
      </w:r>
      <w:r w:rsidR="008B34F1">
        <w:rPr>
          <w:rFonts w:ascii="Times New Roman" w:hAnsi="Times New Roman" w:cs="Times New Roman"/>
        </w:rPr>
        <w:instrText xml:space="preserve"> ADDIN ZOTERO_ITEM CSL_CITATION {"citationID":"IaFfCqZA","properties":{"formattedCitation":"\\super 23\\uc0\\u8211{}25\\nosupersub{}","plainCitation":"23–25","noteIndex":0},"citationItems":[{"id":1174,"uris":["http://zotero.org/users/14545145/items/WBML9SM7"],"itemData":{"id":1174,"type":"article-journal","abstract":"Autonomous agents have long been a research focus in academic and industry communities. Previous research often focuses on training agents with limited knowledge within isolated environments, which diverges significantly from human learning processes, and makes the agents hard to achieve human-like decisions. Recently, through the acquisition of vast amounts of Web knowledge, large language models (LLMs) have shown potential in human-level intelligence, leading to a surge in research on LLM-based autonomous agents. In this paper, we present a comprehensive survey of these studies, delivering a systematic review of LLM-based autonomous agents from a holistic perspective. We first discuss the construction of LLM-based autonomous agents, proposing a unified framework that encompasses much of previous work. Then, we present a overview of the diverse applications of LLM-based autonomous agents in social science, natural science, and engineering. Finally, we delve into the evaluation strategies commonly used for LLM-based autonomous agents. Based on the previous studies, we also present several challenges and future directions in this field.","container-title":"Frontiers of Computer Science","DOI":"10.1007/s11704-024-40231-1","ISSN":"2095-2236","issue":"6","journalAbbreviation":"Front. Comput. Sci.","language":"en","page":"186345","source":"Springer Link","title":"A survey on large language model based autonomous agents","volume":"18","author":[{"family":"Wang","given":"Lei"},{"family":"Ma","given":"Chen"},{"family":"Feng","given":"Xueyang"},{"family":"Zhang","given":"Zeyu"},{"family":"Yang","given":"Hao"},{"family":"Zhang","given":"Jingsen"},{"family":"Chen","given":"Zhiyuan"},{"family":"Tang","given":"Jiakai"},{"family":"Chen","given":"Xu"},{"family":"Lin","given":"Yankai"},{"family":"Zhao","given":"Wayne Xin"},{"family":"Wei","given":"Zhewei"},{"family":"Wen","given":"Jirong"}],"issued":{"date-parts":[["2024",3,22]]}}},{"id":1167,"uris":["http://zotero.org/users/14545145/items/8RYGPPTL"],"itemData":{"id":1167,"type":"article-journal","container-title":"Advances in Neural Information Processing Systems","language":"en","page":"24824-24837","source":"papers.nips.cc","title":"Chain-of-Thought Prompting Elicits Reasoning in Large Language Models","volume":"35","author":[{"family":"Wei","given":"Jason"},{"family":"Wang","given":"Xuezhi"},{"family":"Schuurmans","given":"Dale"},{"family":"Bosma","given":"Maarten"},{"family":"Ichter","given":"Brian"},{"family":"Xia","given":"Fei"},{"family":"Chi","given":"Ed"},{"family":"Le","given":"Quoc V."},{"family":"Zhou","given":"Denny"}],"issued":{"date-parts":[["2022",12,6]]}}},{"id":1156,"uris":["http://zotero.org/users/14545145/items/XBFXVFI2"],"itemData":{"id":1156,"type":"article","abstract":"While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1,7]]},"issued":{"date-parts":[["2023",3,10]]}}}],"schema":"https://github.com/citation-style-language/schema/raw/master/csl-citation.json"} </w:instrText>
      </w:r>
      <w:r w:rsidR="000D3610">
        <w:rPr>
          <w:rFonts w:ascii="Times New Roman" w:hAnsi="Times New Roman" w:cs="Times New Roman"/>
        </w:rPr>
        <w:fldChar w:fldCharType="separate"/>
      </w:r>
      <w:r w:rsidR="008B34F1" w:rsidRPr="008B34F1">
        <w:rPr>
          <w:rFonts w:ascii="Times New Roman" w:hAnsi="Times New Roman" w:cs="Times New Roman"/>
          <w:kern w:val="0"/>
          <w:vertAlign w:val="superscript"/>
        </w:rPr>
        <w:t>23–25</w:t>
      </w:r>
      <w:r w:rsidR="000D3610">
        <w:rPr>
          <w:rFonts w:ascii="Times New Roman" w:hAnsi="Times New Roman" w:cs="Times New Roman"/>
        </w:rPr>
        <w:fldChar w:fldCharType="end"/>
      </w:r>
      <w:r w:rsidRPr="00904852">
        <w:rPr>
          <w:rFonts w:ascii="Times New Roman" w:hAnsi="Times New Roman" w:cs="Times New Roman"/>
        </w:rPr>
        <w:t>.</w:t>
      </w:r>
    </w:p>
    <w:p w14:paraId="4EC3BC61" w14:textId="0131C354" w:rsidR="00904852" w:rsidRPr="00904852" w:rsidRDefault="00904852" w:rsidP="00904852">
      <w:pPr>
        <w:jc w:val="both"/>
        <w:rPr>
          <w:rFonts w:ascii="Times New Roman" w:hAnsi="Times New Roman" w:cs="Times New Roman"/>
        </w:rPr>
      </w:pPr>
      <w:r w:rsidRPr="00904852">
        <w:rPr>
          <w:rFonts w:ascii="Times New Roman" w:hAnsi="Times New Roman" w:cs="Times New Roman"/>
        </w:rPr>
        <w:t xml:space="preserve">Mechanistically, several factors </w:t>
      </w:r>
      <w:proofErr w:type="gramStart"/>
      <w:r w:rsidRPr="00904852">
        <w:rPr>
          <w:rFonts w:ascii="Times New Roman" w:hAnsi="Times New Roman" w:cs="Times New Roman"/>
        </w:rPr>
        <w:t>likely contribute</w:t>
      </w:r>
      <w:proofErr w:type="gramEnd"/>
      <w:r w:rsidRPr="00904852">
        <w:rPr>
          <w:rFonts w:ascii="Times New Roman" w:hAnsi="Times New Roman" w:cs="Times New Roman"/>
        </w:rPr>
        <w:t xml:space="preserve">. Contemporary frontier systems often use complex inference stacks and, in some cases, sparse routing (e.g., mixture-of-experts architectures), where small upstream differences can alter internal computation paths </w:t>
      </w:r>
      <w:r w:rsidR="008B34F1">
        <w:rPr>
          <w:rFonts w:ascii="Times New Roman" w:hAnsi="Times New Roman" w:cs="Times New Roman"/>
        </w:rPr>
        <w:fldChar w:fldCharType="begin"/>
      </w:r>
      <w:r w:rsidR="008B34F1">
        <w:rPr>
          <w:rFonts w:ascii="Times New Roman" w:hAnsi="Times New Roman" w:cs="Times New Roman"/>
        </w:rPr>
        <w:instrText xml:space="preserve"> ADDIN ZOTERO_ITEM CSL_CITATION {"citationID":"aPnqCYar","properties":{"formattedCitation":"\\super 26\\nosupersub{}","plainCitation":"26","noteIndex":0},"citationItems":[{"id":1176,"uris":["http://zotero.org/users/14545145/items/AMGSN22F"],"itemData":{"id":1176,"type":"article-journal","abstract":"In deep learning, models typically reuse the same parameters for all inputs. Mixture of Experts (MoE) models defy this and instead select different parameters for each incoming example. The result is a sparsely-activated model--with an outrageous number of parameters--but a constant computational cost. However, despite several notable successes of MoE, widespread adoption has been hindered by complexity, communication costs, and training instability. We address these with the introduction of the Switch Transformer. We simplify the MoE routing algorithm and design intuitive improved models with reduced communication and computational costs. Our proposed training techniques mitigate the instabilities, and we show large sparse models may be trained, for the first time, with lower precision (bfloat16) formats. We design models based off T5-Base and T5-Large (Raffel et al., 2019) to obtain up to 7x increases in pre-training speed with the same computational resources. These improvements extend into multilingual settings where we measure gains over the mT5-Base version across all 101 languages. Finally, we advance the current scale of language models by pre-training up to trillion parameter models on the \"Colossal Clean Crawled Corpus\", and achieve a 4x speedup over the T5-XXL model.","container-title":"J. Mach. Learn. Res.","ISSN":"1532-4435","issue":"1","page":"120:5232–120:5270","source":"ACM Digital Library","title":"Switch transformers: scaling to trillion parameter models with simple and efficient sparsity","title-short":"Switch transformers","volume":"23","author":[{"family":"Fedus","given":"William"},{"family":"Zoph","given":"Barret"},{"family":"Shazeer","given":"Noam"}],"issued":{"date-parts":[["2022",1,1]]}}}],"schema":"https://github.com/citation-style-language/schema/raw/master/csl-citation.json"} </w:instrText>
      </w:r>
      <w:r w:rsidR="008B34F1">
        <w:rPr>
          <w:rFonts w:ascii="Times New Roman" w:hAnsi="Times New Roman" w:cs="Times New Roman"/>
        </w:rPr>
        <w:fldChar w:fldCharType="separate"/>
      </w:r>
      <w:r w:rsidR="008B34F1" w:rsidRPr="008B34F1">
        <w:rPr>
          <w:rFonts w:ascii="Times New Roman" w:hAnsi="Times New Roman" w:cs="Times New Roman"/>
          <w:kern w:val="0"/>
          <w:vertAlign w:val="superscript"/>
        </w:rPr>
        <w:t>26</w:t>
      </w:r>
      <w:r w:rsidR="008B34F1">
        <w:rPr>
          <w:rFonts w:ascii="Times New Roman" w:hAnsi="Times New Roman" w:cs="Times New Roman"/>
        </w:rPr>
        <w:fldChar w:fldCharType="end"/>
      </w:r>
      <w:r w:rsidRPr="00904852">
        <w:rPr>
          <w:rFonts w:ascii="Times New Roman" w:hAnsi="Times New Roman" w:cs="Times New Roman"/>
        </w:rPr>
        <w:t>. Longer and more structured multi-step generations can increase exposure to hallucination modes and self-reinforcement dynamics, particularly when the workflow relies on internally generated intermediate rationales and self-critique without external verification</w:t>
      </w:r>
      <w:r w:rsidR="008B34F1">
        <w:rPr>
          <w:rFonts w:ascii="Times New Roman" w:hAnsi="Times New Roman" w:cs="Times New Roman" w:hint="eastAsia"/>
        </w:rPr>
        <w:t xml:space="preserve"> </w:t>
      </w:r>
      <w:r w:rsidR="008B34F1">
        <w:rPr>
          <w:rFonts w:ascii="Times New Roman" w:hAnsi="Times New Roman" w:cs="Times New Roman"/>
        </w:rPr>
        <w:fldChar w:fldCharType="begin"/>
      </w:r>
      <w:r w:rsidR="008B34F1">
        <w:rPr>
          <w:rFonts w:ascii="Times New Roman" w:hAnsi="Times New Roman" w:cs="Times New Roman"/>
        </w:rPr>
        <w:instrText xml:space="preserve"> ADDIN ZOTERO_ITEM CSL_CITATION {"citationID":"4yBYrwC9","properties":{"formattedCitation":"\\super 18,24,25\\nosupersub{}","plainCitation":"18,24,25","noteIndex":0},"citationItems":[{"id":1144,"uris":["http://zotero.org/users/14545145/items/K5IW8M5S"],"itemData":{"id":1144,"type":"article-journal","abstract":"Natural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 In this survey, we thus provide a broad overview of the research progress and challenges in the hallucination problem in NLG. The survey is organized into two parts: (1) a general overview of metrics, mitigation methods, and future directions; (2) an overview of task-specific research progress on hallucinations in the following downstream tasks, namely abstractive summarization, dialogue generation, generative question answering, data-to-text generation, machine translation, and visual-language generation; and (3) hallucinations in large language models (LLMs). This survey serves to facilitate collaborative efforts among researchers in tackling the challenge of hallucinated texts in NLG.","container-title":"ACM Computing Surveys","DOI":"10.1145/3571730","ISSN":"0360-0300, 1557-7341","issue":"12","journalAbbreviation":"ACM Comput. Surv.","note":"arXiv:2202.03629 [cs]","page":"1-38","source":"arXiv.org","title":"Survey of Hallucination in Natural Language Generation","volume":"55","author":[{"family":"Ji","given":"Ziwei"},{"family":"Lee","given":"Nayeon"},{"family":"Frieske","given":"Rita"},{"family":"Yu","given":"Tiezheng"},{"family":"Su","given":"Dan"},{"family":"Xu","given":"Yan"},{"family":"Ishii","given":"Etsuko"},{"family":"Bang","given":"Yejin"},{"family":"Chen","given":"Delong"},{"family":"Dai","given":"Wenliang"},{"family":"Chan","given":"Ho Shu"},{"family":"Madotto","given":"Andrea"},{"family":"Fung","given":"Pascale"}],"issued":{"date-parts":[["2023",12,31]]}}},{"id":1167,"uris":["http://zotero.org/users/14545145/items/8RYGPPTL"],"itemData":{"id":1167,"type":"article-journal","container-title":"Advances in Neural Information Processing Systems","language":"en","page":"24824-24837","source":"papers.nips.cc","title":"Chain-of-Thought Prompting Elicits Reasoning in Large Language Models","volume":"35","author":[{"family":"Wei","given":"Jason"},{"family":"Wang","given":"Xuezhi"},{"family":"Schuurmans","given":"Dale"},{"family":"Bosma","given":"Maarten"},{"family":"Ichter","given":"Brian"},{"family":"Xia","given":"Fei"},{"family":"Chi","given":"Ed"},{"family":"Le","given":"Quoc V."},{"family":"Zhou","given":"Denny"}],"issued":{"date-parts":[["2022",12,6]]}}},{"id":1156,"uris":["http://zotero.org/users/14545145/items/XBFXVFI2"],"itemData":{"id":1156,"type":"article","abstract":"While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1,7]]},"issued":{"date-parts":[["2023",3,10]]}}}],"schema":"https://github.com/citation-style-language/schema/raw/master/csl-citation.json"} </w:instrText>
      </w:r>
      <w:r w:rsidR="008B34F1">
        <w:rPr>
          <w:rFonts w:ascii="Times New Roman" w:hAnsi="Times New Roman" w:cs="Times New Roman"/>
        </w:rPr>
        <w:fldChar w:fldCharType="separate"/>
      </w:r>
      <w:r w:rsidR="008B34F1" w:rsidRPr="008B34F1">
        <w:rPr>
          <w:rFonts w:ascii="Times New Roman" w:hAnsi="Times New Roman" w:cs="Times New Roman"/>
          <w:kern w:val="0"/>
          <w:vertAlign w:val="superscript"/>
        </w:rPr>
        <w:t>18,24,25</w:t>
      </w:r>
      <w:r w:rsidR="008B34F1">
        <w:rPr>
          <w:rFonts w:ascii="Times New Roman" w:hAnsi="Times New Roman" w:cs="Times New Roman"/>
        </w:rPr>
        <w:fldChar w:fldCharType="end"/>
      </w:r>
      <w:r w:rsidRPr="00904852">
        <w:rPr>
          <w:rFonts w:ascii="Times New Roman" w:hAnsi="Times New Roman" w:cs="Times New Roman"/>
        </w:rPr>
        <w:t xml:space="preserve">. In our study, the “Critic” role used the same underlying model and had no access to ground truth; as a result, critique can fail to detect plausible but incorrect rationales and may even stabilize them (as suggested by the agentic-specific confident failure in </w:t>
      </w:r>
      <w:r w:rsidR="00916677">
        <w:rPr>
          <w:rFonts w:ascii="Times New Roman" w:hAnsi="Times New Roman" w:cs="Times New Roman" w:hint="eastAsia"/>
        </w:rPr>
        <w:t>i</w:t>
      </w:r>
      <w:r w:rsidRPr="00904852">
        <w:rPr>
          <w:rFonts w:ascii="Times New Roman" w:hAnsi="Times New Roman" w:cs="Times New Roman"/>
        </w:rPr>
        <w:t>tem 137). This distinction</w:t>
      </w:r>
      <w:r w:rsidR="00916677">
        <w:rPr>
          <w:rFonts w:ascii="Times New Roman" w:hAnsi="Times New Roman" w:cs="Times New Roman" w:hint="eastAsia"/>
        </w:rPr>
        <w:t>-</w:t>
      </w:r>
      <w:r w:rsidRPr="00904852">
        <w:rPr>
          <w:rFonts w:ascii="Times New Roman" w:hAnsi="Times New Roman" w:cs="Times New Roman"/>
        </w:rPr>
        <w:t>deliberation without verification</w:t>
      </w:r>
      <w:r w:rsidR="00916677">
        <w:rPr>
          <w:rFonts w:ascii="Times New Roman" w:hAnsi="Times New Roman" w:cs="Times New Roman" w:hint="eastAsia"/>
        </w:rPr>
        <w:t>-</w:t>
      </w:r>
      <w:r w:rsidRPr="00904852">
        <w:rPr>
          <w:rFonts w:ascii="Times New Roman" w:hAnsi="Times New Roman" w:cs="Times New Roman"/>
        </w:rPr>
        <w:t xml:space="preserve">is crucial in medicine: accuracy improvements from reasoning-style prompting in other domains do not guarantee safety gains when errors are subtle, knowledge is incomplete, and external checking is absent </w:t>
      </w:r>
      <w:r w:rsidR="00A25F86">
        <w:rPr>
          <w:rFonts w:ascii="Times New Roman" w:hAnsi="Times New Roman" w:cs="Times New Roman"/>
        </w:rPr>
        <w:fldChar w:fldCharType="begin"/>
      </w:r>
      <w:r w:rsidR="00A25F86">
        <w:rPr>
          <w:rFonts w:ascii="Times New Roman" w:hAnsi="Times New Roman" w:cs="Times New Roman"/>
        </w:rPr>
        <w:instrText xml:space="preserve"> ADDIN ZOTERO_ITEM CSL_CITATION {"citationID":"rpf8Ne7D","properties":{"formattedCitation":"\\super 24,27,28\\nosupersub{}","plainCitation":"24,27,28","noteIndex":0},"citationItems":[{"id":1167,"uris":["http://zotero.org/users/14545145/items/8RYGPPTL"],"itemData":{"id":1167,"type":"article-journal","container-title":"Advances in Neural Information Processing Systems","language":"en","page":"24824-24837","source":"papers.nips.cc","title":"Chain-of-Thought Prompting Elicits Reasoning in Large Language Models","volume":"35","author":[{"family":"Wei","given":"Jason"},{"family":"Wang","given":"Xuezhi"},{"family":"Schuurmans","given":"Dale"},{"family":"Bosma","given":"Maarten"},{"family":"Ichter","given":"Brian"},{"family":"Xia","given":"Fei"},{"family":"Chi","given":"Ed"},{"family":"Le","given":"Quoc V."},{"family":"Zhou","given":"Denny"}],"issued":{"date-parts":[["2022",12,6]]}}},{"id":1172,"uris":["http://zotero.org/users/14545145/items/E9DLJKAK"],"itemData":{"id":1172,"type":"paper-conference","abstract":"Language model pre-training has been shown to capture a surprising amount of world knowledge, crucial for NLP tasks such as question answering. However, this knowledge is stored implicitly in the parameters of a neural network, requiring everlarger networks to cover more facts.To capture knowledge in a more modular and interpretable way, we augment language model pretraining with a latent knowledge retriever, which allows the model to retrieve and attend over documents from a large corpus such as Wikipedia, used during pre-training, fine-tuning and inference. For the first time, we show how to pre-train such a knowledge retriever in an unsupervised manner, using masked language modeling as the learning signal and backpropagating through a retrieval step that considers millions of documents.We demonstrate the effectiveness of Retrieval-Augmented Language Model pretraining (REALM) by fine-tuning on the challenging task of Open-domain Question Answering (Open-QA). We compare against state-of-the-art models for both explicit and implicit knowledge storage on three popular Open-QA benchmarks, and find that we outperform all previous methods by a significant margin (4-16% absolute accuracy), while also providing qualitative benefits such as interpretability and modularity.","collection-title":"ICML'20","container-title":"Proceedings of the 37th International Conference on Machine Learning","page":"3929–3938","publisher":"JMLR.org","source":"ACM Digital Library","title":"REALM: retrieval-augmented language model pre-training","title-short":"REALM","volume":"119","author":[{"family":"Guu","given":"Kelvin"},{"family":"Lee","given":"Kenton"},{"family":"Tung","given":"Zora"},{"family":"Pasupat","given":"Panupong"},{"family":"Chang","given":"Ming-Wei"}],"accessed":{"date-parts":[["2026",1,7]]},"issued":{"date-parts":[["2020",7,13]]}}},{"id":1173,"uris":["http://zotero.org/users/14545145/items/8VAI5VL7"],"itemData":{"id":1173,"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1,7]]},"issued":{"date-parts":[["2020"]]}}}],"schema":"https://github.com/citation-style-language/schema/raw/master/csl-citation.json"} </w:instrText>
      </w:r>
      <w:r w:rsidR="00A25F86">
        <w:rPr>
          <w:rFonts w:ascii="Times New Roman" w:hAnsi="Times New Roman" w:cs="Times New Roman"/>
        </w:rPr>
        <w:fldChar w:fldCharType="separate"/>
      </w:r>
      <w:r w:rsidR="00A25F86" w:rsidRPr="00A25F86">
        <w:rPr>
          <w:rFonts w:ascii="Times New Roman" w:hAnsi="Times New Roman" w:cs="Times New Roman"/>
          <w:kern w:val="0"/>
          <w:vertAlign w:val="superscript"/>
        </w:rPr>
        <w:t>24,27,28</w:t>
      </w:r>
      <w:r w:rsidR="00A25F86">
        <w:rPr>
          <w:rFonts w:ascii="Times New Roman" w:hAnsi="Times New Roman" w:cs="Times New Roman"/>
        </w:rPr>
        <w:fldChar w:fldCharType="end"/>
      </w:r>
      <w:r w:rsidRPr="00904852">
        <w:rPr>
          <w:rFonts w:ascii="Times New Roman" w:hAnsi="Times New Roman" w:cs="Times New Roman"/>
        </w:rPr>
        <w:t>.</w:t>
      </w:r>
    </w:p>
    <w:p w14:paraId="671DBEE1" w14:textId="373EA7B4" w:rsidR="00904852" w:rsidRPr="00904852" w:rsidRDefault="00904852" w:rsidP="00904852">
      <w:pPr>
        <w:jc w:val="both"/>
        <w:rPr>
          <w:rFonts w:ascii="Times New Roman" w:hAnsi="Times New Roman" w:cs="Times New Roman"/>
        </w:rPr>
      </w:pPr>
      <w:r w:rsidRPr="00904852">
        <w:rPr>
          <w:rFonts w:ascii="Times New Roman" w:hAnsi="Times New Roman" w:cs="Times New Roman"/>
        </w:rPr>
        <w:t>Psychometric analysis provides an additional lens on how agentic workflows can degrade performance. The Rasch results indicate a downward shift in latent ability (θ</w:t>
      </w:r>
      <w:r w:rsidR="00916677">
        <w:rPr>
          <w:rFonts w:ascii="Times New Roman" w:hAnsi="Times New Roman" w:cs="Times New Roman" w:hint="eastAsia"/>
        </w:rPr>
        <w:t xml:space="preserve"> = </w:t>
      </w:r>
      <w:r w:rsidRPr="00904852">
        <w:rPr>
          <w:rFonts w:ascii="Times New Roman" w:hAnsi="Times New Roman" w:cs="Times New Roman"/>
        </w:rPr>
        <w:t>3.30 to 2.85) under the agentic protocol, consistent with systematic suppression of proficiency rather than random fluctuation; the Wright maps further suggest a ceiling effect in which many items are too easy to cleanly separate top-tier systems, potentially obscuring safety-relevant variance among high-accuracy models. Classical Test Theory further showed that the number of negatively discriminating items increased from 9 to 19 under agentic evaluation. Negative discrimination means higher-performing models are paradoxically more likely to miss an item than lower-performing models</w:t>
      </w:r>
      <w:r w:rsidR="00916677">
        <w:rPr>
          <w:rFonts w:ascii="Times New Roman" w:hAnsi="Times New Roman" w:cs="Times New Roman" w:hint="eastAsia"/>
        </w:rPr>
        <w:t xml:space="preserve">, which is </w:t>
      </w:r>
      <w:r w:rsidRPr="00904852">
        <w:rPr>
          <w:rFonts w:ascii="Times New Roman" w:hAnsi="Times New Roman" w:cs="Times New Roman"/>
        </w:rPr>
        <w:t xml:space="preserve">an archetypal signature of a confounder that changes how the test functions. In our setting, the confounder is plausibly the workflow itself: a structured reasoning scaffold can turn otherwise well-posed questions into “reasoning traps” that invite </w:t>
      </w:r>
      <w:proofErr w:type="spellStart"/>
      <w:r w:rsidRPr="00904852">
        <w:rPr>
          <w:rFonts w:ascii="Times New Roman" w:hAnsi="Times New Roman" w:cs="Times New Roman"/>
        </w:rPr>
        <w:t>over-elaboration</w:t>
      </w:r>
      <w:proofErr w:type="spellEnd"/>
      <w:r w:rsidRPr="00904852">
        <w:rPr>
          <w:rFonts w:ascii="Times New Roman" w:hAnsi="Times New Roman" w:cs="Times New Roman"/>
        </w:rPr>
        <w:t>, spurious differential diagnosis, or overfitting to irrelevant cues.</w:t>
      </w:r>
    </w:p>
    <w:p w14:paraId="13F44644" w14:textId="0DBCE470" w:rsidR="00904852" w:rsidRPr="00904852" w:rsidRDefault="00904852" w:rsidP="00904852">
      <w:pPr>
        <w:jc w:val="both"/>
        <w:rPr>
          <w:rFonts w:ascii="Times New Roman" w:hAnsi="Times New Roman" w:cs="Times New Roman"/>
        </w:rPr>
      </w:pPr>
      <w:r w:rsidRPr="00904852">
        <w:rPr>
          <w:rFonts w:ascii="Times New Roman" w:hAnsi="Times New Roman" w:cs="Times New Roman"/>
        </w:rPr>
        <w:t xml:space="preserve">This failure mode echoes well-characterized patterns in human diagnostic cognition. Clinicians are vulnerable to cognitive errors and overconfidence, and forcing strategies are often proposed to reduce these failures; however, additional deliberation can also introduce new errors when it </w:t>
      </w:r>
      <w:r w:rsidRPr="00904852">
        <w:rPr>
          <w:rFonts w:ascii="Times New Roman" w:hAnsi="Times New Roman" w:cs="Times New Roman"/>
        </w:rPr>
        <w:lastRenderedPageBreak/>
        <w:t xml:space="preserve">triggers inappropriate hypothesis generation or confirmation </w:t>
      </w:r>
      <w:r w:rsidR="00A25F86">
        <w:rPr>
          <w:rFonts w:ascii="Times New Roman" w:hAnsi="Times New Roman" w:cs="Times New Roman"/>
        </w:rPr>
        <w:fldChar w:fldCharType="begin"/>
      </w:r>
      <w:r w:rsidR="00A25F86">
        <w:rPr>
          <w:rFonts w:ascii="Times New Roman" w:hAnsi="Times New Roman" w:cs="Times New Roman"/>
        </w:rPr>
        <w:instrText xml:space="preserve"> ADDIN ZOTERO_ITEM CSL_CITATION {"citationID":"jjrs63SE","properties":{"formattedCitation":"\\super 21,29\\nosupersub{}","plainCitation":"21,29","noteIndex":0},"citationItems":[{"id":1215,"uris":["http://zotero.org/users/14545145/items/P3ALASC9"],"itemData":{"id":1215,"type":"article-journal","abstract":"The goal of this study was to determine the relative contribution of system-related and cognitive components to diagnostic error and to develop a comprehensive working taxonomy.One hundred cases of diagnostic error involving internists were identified through autopsy discrepancies, quality assurance activities, and voluntary reports. Each case was evaluated to identify system-related and cognitive factors underlying error using record reviews and, if possible, provider interviews.Ninety cases involved injury, including 33 deaths. The underlying contributions to error fell into 3 natural categories: “no fault,” system-related, and cognitive. Seven cases reflected no-fault errors alone. In the remaining 93 cases, we identified 548 different system-related or cognitive factors (5.9 per case). System-related factors contributed to the diagnostic error in 65% of the cases and cognitive factors in 74%. The most common system-related factors involved problems with policies and procedures, inefficient processes, teamwork, and communication. The most common cognitive problems involved faulty synthesis. Premature closure, ie, the failure to continue considering reasonable alternatives after an initial diagnosis was reached, was the single most common cause. Other common causes included faulty context generation, misjudging the salience of findings, faulty perception, and errors arising from the use of heuristics. Faulty or inadequate knowledge was uncommon.Diagnostic error is commonly multifactorial in origin, typically involving both system-related and cognitive factors. The results identify the dominant problems that should be targeted for additional research and early reduction; they also further the development of a comprehensive taxonomy for classifying diagnostic errors.Arch Intern Med. 2005;165:1493-1499--&gt;","container-title":"Archives of Internal Medicine","DOI":"10.1001/archinte.165.13.1493","ISSN":"0003-9926","issue":"13","journalAbbreviation":"Arch Intern Med","page":"1493-1499","source":"Silverchair","title":"Diagnostic Error in Internal Medicine","volume":"165","author":[{"family":"Graber","given":"Mark L."},{"family":"Franklin","given":"Nancy"},{"family":"Gordon","given":"Ruthanna"}],"issued":{"date-parts":[["2005",7,11]]}}},{"id":1214,"uris":["http://zotero.org/users/14545145/items/5AWFDDPF"],"itemData":{"id":1214,"type":"article-journal","abstract":"In the area of patient safety, recent attention has focused on diagnostic error. The reduction of diagnostic error is an important goal because of its associated morbidity and potential preventability. A critical subset of diagnostic errors arises through cognitive errors, especially those associated with failures in perception, failed heuristics, and biases; collectively, these have been referred to as cognitive dispositions to respond (CDRs). Historically, models of decision-making have given insufficient attention to the contribution of such biases, and there has been a prevailing pessimism against improving cognitive performance through debiasing techniques. Recent work has catalogued the major cognitive biases in medicine; the author lists these and describes a number of strategies for reducing them (“cognitive debiasing”). Principle among them is metacognition, a reflective approach to problem solving that involves stepping back from the immediate problem to examine and reflect on the thinking process. Further research effort should be directed at a full and complete description and analysis of CDRs in the context of medicine and the development of techniques for avoiding their associated adverse outcomes. Considerable potential exists for reducing cognitive diagnostic errors with this approach. The author provides an extensive list of CDRs and a list of strategies to reduce diagnostic errors.","container-title":"Academic Medicine","ISSN":"1040-2446","issue":"8","language":"en-US","page":"775","source":"journals.lww.com","title":"The Importance of Cognitive Errors in Diagnosis and Strategies to Minimize Them","volume":"78","author":[{"family":"Croskerry","given":"Pat"}],"issued":{"date-parts":[["2003",8]]}}}],"schema":"https://github.com/citation-style-language/schema/raw/master/csl-citation.json"} </w:instrText>
      </w:r>
      <w:r w:rsidR="00A25F86">
        <w:rPr>
          <w:rFonts w:ascii="Times New Roman" w:hAnsi="Times New Roman" w:cs="Times New Roman"/>
        </w:rPr>
        <w:fldChar w:fldCharType="separate"/>
      </w:r>
      <w:r w:rsidR="00A25F86" w:rsidRPr="00A25F86">
        <w:rPr>
          <w:rFonts w:ascii="Times New Roman" w:hAnsi="Times New Roman" w:cs="Times New Roman"/>
          <w:kern w:val="0"/>
          <w:vertAlign w:val="superscript"/>
        </w:rPr>
        <w:t>21,29</w:t>
      </w:r>
      <w:r w:rsidR="00A25F86">
        <w:rPr>
          <w:rFonts w:ascii="Times New Roman" w:hAnsi="Times New Roman" w:cs="Times New Roman"/>
        </w:rPr>
        <w:fldChar w:fldCharType="end"/>
      </w:r>
      <w:r w:rsidRPr="00904852">
        <w:rPr>
          <w:rFonts w:ascii="Times New Roman" w:hAnsi="Times New Roman" w:cs="Times New Roman"/>
        </w:rPr>
        <w:t>. Agentic LLM workflows may similarly shift the error profile: rather than “thinking harder” in a beneficial way, the system can generate a plausible but incorrect narrative and then become anchored to it. The result is not merely wrong answers, but wrong answers with increased coherence and stability</w:t>
      </w:r>
      <w:r w:rsidR="001348D7">
        <w:rPr>
          <w:rFonts w:ascii="Times New Roman" w:hAnsi="Times New Roman" w:cs="Times New Roman" w:hint="eastAsia"/>
        </w:rPr>
        <w:t>-</w:t>
      </w:r>
      <w:r w:rsidRPr="00904852">
        <w:rPr>
          <w:rFonts w:ascii="Times New Roman" w:hAnsi="Times New Roman" w:cs="Times New Roman"/>
        </w:rPr>
        <w:t>an especially risky outcome for clinical decision support</w:t>
      </w:r>
      <w:r w:rsidR="001348D7">
        <w:rPr>
          <w:rFonts w:ascii="Times New Roman" w:hAnsi="Times New Roman" w:cs="Times New Roman"/>
        </w:rPr>
        <w:t>,</w:t>
      </w:r>
      <w:r w:rsidRPr="00904852">
        <w:rPr>
          <w:rFonts w:ascii="Times New Roman" w:hAnsi="Times New Roman" w:cs="Times New Roman"/>
        </w:rPr>
        <w:t xml:space="preserve"> where users calibrate trust based on consistency and apparent rationale quality </w:t>
      </w:r>
      <w:r w:rsidR="00A25F86">
        <w:rPr>
          <w:rFonts w:ascii="Times New Roman" w:hAnsi="Times New Roman" w:cs="Times New Roman"/>
        </w:rPr>
        <w:fldChar w:fldCharType="begin"/>
      </w:r>
      <w:r w:rsidR="00A25F86">
        <w:rPr>
          <w:rFonts w:ascii="Times New Roman" w:hAnsi="Times New Roman" w:cs="Times New Roman"/>
        </w:rPr>
        <w:instrText xml:space="preserve"> ADDIN ZOTERO_ITEM CSL_CITATION {"citationID":"CJgU0ID6","properties":{"formattedCitation":"\\super 15\\uc0\\u8211{}17\\nosupersub{}","plainCitation":"15–17","noteIndex":0},"citationItems":[{"id":1211,"uris":["http://zotero.org/users/14545145/items/LRK4L44Q"],"itemData":{"id":1211,"type":"article-journal","abstract":"This paper addresses theoretical, empirical, and analytical studies pertaining to human use, misuse, disuse, and abuse of automation technology. Use refers to the voluntary activation or disengagement of automation by human operators. Trust, mental workload, and risk can influence automation use, but interactions between factors and large individual differences make prediction of automation use difficult. Misuse refers to over reliance on automation, which can result in failures of monitoring or decision biases. Factors affecting the monitoring of automation include workload, automation reliability and consistency, and the saliency of automation state indicators. Disuse, or the neglect or underutilization of automation, is commonly caused by alarms that activate falsely. This often occurs because the base rate of the condition to be detected is not considered in setting the trade-off between false alarms and omissions. Automation abuse, or the automation of functions by designers and implementation by managers without due regard for the consequences for human performance, tends to define the operator's roles as by-products of the automation. Automation abuse can also promote misuse and disuse of automation by human operators. Understanding the factors associated with each of these aspects of human use of automation can lead to improved system design, effective training methods, and judicious policies and procedures involving automation use.","container-title":"Human Factors","DOI":"10.1518/001872097778543886","ISSN":"0018-7208","issue":"2","journalAbbreviation":"Hum Factors","note":"publisher: SAGE Publications Inc","page":"230-253","source":"journals.sagepub.com (Atypon)","title":"Humans and Automation: Use, Misuse, Disuse, Abuse","title-short":"Humans and Automation","volume":"39","author":[{"family":"Parasuraman","given":"Raja"},{"family":"Riley","given":"Victor"}],"issued":{"date-parts":[["1997",6]]}}},{"id":1212,"uris":["http://zotero.org/users/14545145/items/YWS4UK4T"],"itemData":{"id":1212,"type":"article-journal","abstract":"Automation is often problematic because people fail to rely upon it appropriately. Because people respond to technology socially, trust influences reliance on automation. In particular, trust guides reliance when complexity and unanticipated situations make a complete understanding of the automation impractical. This review considers trust from the organizational, sociological, interpersonal, psychological, and neurological perspectives. It considers how the context, automation characteristics, and cognitive processes affect the appropriateness of trust. The context in which the automation is used influences automation performance and provides a goal-oriented perspective to assess automation characteristics along a dimension of attributional abstraction. These characteristics can influence trust through analytic, analogical, and affective processes. The challenges of extrapolating the concept of trust in people to trust in automation are discussed. A conceptual model integrates research regarding trust in automation and describes the dynamics of trust, the role of context, and the influence of display characteristics. Actual or potential applications of this research include improved designs of systems that require people to manage imperfect automation.","container-title":"Human Factors","DOI":"10.1518/hfes.46.1.50_30392","ISSN":"0018-7208","issue":"1","journalAbbreviation":"Hum Factors","language":"EN","note":"publisher: SAGE Publications Inc","page":"50-80","source":"SAGE Journals","title":"Trust in Automation: Designing for Appropriate Reliance","title-short":"Trust in Automation","volume":"46","author":[{"family":"Lee","given":"John D."},{"family":"See","given":"Katrina A."}],"issued":{"date-parts":[["2004",3,1]]}}},{"id":1213,"uris":["http://zotero.org/users/14545145/items/AVYV9AB8"],"itemData":{"id":1213,"type":"article-journal","abstract":"Use of artificial intelligence in healthcare, such as machine learning-based predictive algorithms, holds promise for advancing outcomes, but few systems are used in routine clinical practice. Trust has been cited as an important challenge to meaningful use of artificial intelligence in clinical practice. Artificial intelligence systems often involve automating cognitively challenging tasks. Therefore, previous literature on trust in automation may hold important lessons for artificial intelligence applications in healthcare. In this perspective, we argue that informatics should take lessons from literature on trust in automation such that the goal should be to foster appropriate trust in artificial intelligence based on the purpose of the tool, its process for making recommendations, and its performance in the given context. We adapt a conceptual model to support this argument and present recommendations for future work.","container-title":"Journal of the American Medical Informatics Association","DOI":"10.1093/jamia/ocab238","ISSN":"1527-974X","issue":"1","journalAbbreviation":"J Am Med Inform Assoc","page":"207-212","source":"Silverchair","title":"Trust in AI: why we should be designing for APPROPRIATE reliance","title-short":"Trust in AI","volume":"29","author":[{"family":"Benda","given":"Natalie C"},{"family":"Novak","given":"Laurie L"},{"family":"Reale","given":"Carrie"},{"family":"Ancker","given":"Jessica S"}],"issued":{"date-parts":[["2022",1,1]]}}}],"schema":"https://github.com/citation-style-language/schema/raw/master/csl-citation.json"} </w:instrText>
      </w:r>
      <w:r w:rsidR="00A25F86">
        <w:rPr>
          <w:rFonts w:ascii="Times New Roman" w:hAnsi="Times New Roman" w:cs="Times New Roman"/>
        </w:rPr>
        <w:fldChar w:fldCharType="separate"/>
      </w:r>
      <w:r w:rsidR="00A25F86" w:rsidRPr="00A25F86">
        <w:rPr>
          <w:rFonts w:ascii="Times New Roman" w:hAnsi="Times New Roman" w:cs="Times New Roman"/>
          <w:kern w:val="0"/>
          <w:vertAlign w:val="superscript"/>
        </w:rPr>
        <w:t>15–17</w:t>
      </w:r>
      <w:r w:rsidR="00A25F86">
        <w:rPr>
          <w:rFonts w:ascii="Times New Roman" w:hAnsi="Times New Roman" w:cs="Times New Roman"/>
        </w:rPr>
        <w:fldChar w:fldCharType="end"/>
      </w:r>
      <w:r w:rsidRPr="00904852">
        <w:rPr>
          <w:rFonts w:ascii="Times New Roman" w:hAnsi="Times New Roman" w:cs="Times New Roman"/>
        </w:rPr>
        <w:t>.</w:t>
      </w:r>
    </w:p>
    <w:p w14:paraId="582A5ED4" w14:textId="621D2CA4" w:rsidR="00904852" w:rsidRPr="00904852" w:rsidRDefault="00904852" w:rsidP="00904852">
      <w:pPr>
        <w:jc w:val="both"/>
        <w:rPr>
          <w:rFonts w:ascii="Times New Roman" w:hAnsi="Times New Roman" w:cs="Times New Roman"/>
        </w:rPr>
      </w:pPr>
      <w:r w:rsidRPr="00904852">
        <w:rPr>
          <w:rFonts w:ascii="Times New Roman" w:hAnsi="Times New Roman" w:cs="Times New Roman"/>
        </w:rPr>
        <w:t xml:space="preserve">Our findings argue for a change in what constitutes “sufficient” evidence for clinical readiness. Benchmark leaderboards that report only single-pass accuracy can hide clinically meaningful instability and can mischaracterize interventions whose harms are concentrated in iatrogenic flips (1→0) rather than uniformly distributed noise. Even broader evaluation frameworks and benchmark suites (e.g., HELM, MMLU) typically emphasize breadth over repeated-measures reliability, leaving stability under repetition under-specified for safety-critical deployment decisions </w:t>
      </w:r>
      <w:r w:rsidR="00A25F86">
        <w:rPr>
          <w:rFonts w:ascii="Times New Roman" w:hAnsi="Times New Roman" w:cs="Times New Roman"/>
        </w:rPr>
        <w:fldChar w:fldCharType="begin"/>
      </w:r>
      <w:r w:rsidR="00CE06F8">
        <w:rPr>
          <w:rFonts w:ascii="Times New Roman" w:hAnsi="Times New Roman" w:cs="Times New Roman"/>
        </w:rPr>
        <w:instrText xml:space="preserve"> ADDIN ZOTERO_ITEM CSL_CITATION {"citationID":"T6ocnHxs","properties":{"formattedCitation":"\\super 30,31\\nosupersub{}","plainCitation":"30,31","noteIndex":0},"citationItems":[{"id":1219,"uris":["http://zotero.org/users/14545145/items/KE49NFSS"],"itemData":{"id":1219,"type":"article-journal","abstract":"Language models (LMs) like GPT-3, PaLM, and ChatGPT are the foundation for almost all major language technologies, but their capabilities, limitations, and risks are not well understood. We present Holistic Evaluation of Language Models (HELM) to improve the transparency of LMs. LMs can serve many purposes and their behavior should satisfy many desiderata. To navigate the vast space of potential scenarios and metrics, we taxonomize the space and select representative subsets. We evaluate models on 16 core scenarios and 7 metrics, exposing important trade-offs. We supplement our core evaluation with seven targeted evaluations to deeply analyze specific aspects (including world knowledge, reasoning, regurgitation of copyrighted content, and generation of disinformation). We benchmark 30 LMs, from OpenAI, Microsoft, Google, Meta, Cohere, AI21 Labs, and others. Prior to HELM, models were evaluated on just 17.9% of the core HELM scenarios, with some prominent models not sharing a single scenario in common. We improve this to 96.0%: all 30 models are now benchmarked under the same standardized conditions. Our evaluation surfaces 25 top-level findings. For full transparency, we release all raw model prompts and completions publicly. HELM is a living benchmark for the community, continuously updated with new scenarios, metrics, and models https://crfm.stanford.edu/helm/latest/.","container-title":"Annals of the New York Academy of Sciences","DOI":"10.1111/nyas.15007","ISSN":"1749-6632","issue":"1","language":"en","license":"© 2023 New York Academy of Sciences.","note":"_eprint: https://nyaspubs.onlinelibrary.wiley.com/doi/pdf/10.1111/nyas.15007","page":"140-146","source":"Wiley Online Library","title":"Holistic Evaluation of Language Models","volume":"1525","author":[{"family":"Bommasani","given":"Rishi"},{"family":"Liang","given":"Percy"},{"family":"Lee","given":"Tony"}],"issued":{"date-parts":[["2023"]]}}},{"id":1177,"uris":["http://zotero.org/users/14545145/items/NSMZ5AM3"],"itemData":{"id":1177,"type":"paper-conference","abstract":"As the capabilities of large language models (LLMs) continue to advance, evaluating their performance is becoming more important and more challenging. This paper aims to address this issue for Mandarin Chinese in the form of CMMLU, a comprehensive Chinese benchmark that covers various subjects, including natural sciences, social sciences, engineering, and the humanities. We conduct a thorough evaluation of more than 20 contemporary multilingual and Chinese LLMs, assessing their performance across different subjects and settings. The results reveal that most existing LLMs struggle to achieve an accuracy of even 60%, which is the pass mark for Chinese exams. This highlights that there is substantial room for improvement in the capabilities of LLMs. Additionally, we conduct extensive experiments to identify factors impacting the models' performance and propose directions for enhancing LLMs. CMMLU fills the gap in evaluating the knowledge and reasoning capabilities of large language models for Chinese.","container-title":"Findings of the Association for Computational Linguistics: ACL 2024","DOI":"10.18653/v1/2024.findings-acl.671","event-place":"Bangkok, Thailand","event-title":"Findings 2024","page":"11260–11285","publisher":"Association for Computational Linguistics","publisher-place":"Bangkok, Thailand","source":"ACLWeb","title":"CMMLU: Measuring massive multitask language understanding in Chinese","title-short":"CMMLU","URL":"https://aclanthology.org/2024.findings-acl.671/","author":[{"family":"Li","given":"Haonan"},{"family":"Zhang","given":"Yixuan"},{"family":"Koto","given":"Fajri"},{"family":"Yang","given":"Yifei"},{"family":"Zhao","given":"Hai"},{"family":"Gong","given":"Yeyun"},{"family":"Duan","given":"Nan"},{"family":"Baldwin","given":"Timothy"}],"editor":[{"family":"Ku","given":"Lun-Wei"},{"family":"Martins","given":"Andre"},{"family":"Srikumar","given":"Vivek"}],"accessed":{"date-parts":[["2026",1,7]]},"issued":{"date-parts":[["2024",8]]}}}],"schema":"https://github.com/citation-style-language/schema/raw/master/csl-citation.json"} </w:instrText>
      </w:r>
      <w:r w:rsidR="00A25F86">
        <w:rPr>
          <w:rFonts w:ascii="Times New Roman" w:hAnsi="Times New Roman" w:cs="Times New Roman"/>
        </w:rPr>
        <w:fldChar w:fldCharType="separate"/>
      </w:r>
      <w:r w:rsidR="00CE06F8" w:rsidRPr="00CE06F8">
        <w:rPr>
          <w:rFonts w:ascii="Times New Roman" w:hAnsi="Times New Roman" w:cs="Times New Roman"/>
          <w:kern w:val="0"/>
          <w:vertAlign w:val="superscript"/>
        </w:rPr>
        <w:t>30,31</w:t>
      </w:r>
      <w:r w:rsidR="00A25F86">
        <w:rPr>
          <w:rFonts w:ascii="Times New Roman" w:hAnsi="Times New Roman" w:cs="Times New Roman"/>
        </w:rPr>
        <w:fldChar w:fldCharType="end"/>
      </w:r>
      <w:r w:rsidRPr="00904852">
        <w:rPr>
          <w:rFonts w:ascii="Times New Roman" w:hAnsi="Times New Roman" w:cs="Times New Roman"/>
        </w:rPr>
        <w:t xml:space="preserve">. A repeated-measures </w:t>
      </w:r>
      <w:r w:rsidR="001348D7">
        <w:rPr>
          <w:rFonts w:ascii="Times New Roman" w:hAnsi="Times New Roman" w:cs="Times New Roman"/>
        </w:rPr>
        <w:t>design, treating</w:t>
      </w:r>
      <w:r w:rsidRPr="00904852">
        <w:rPr>
          <w:rFonts w:ascii="Times New Roman" w:hAnsi="Times New Roman" w:cs="Times New Roman"/>
        </w:rPr>
        <w:t xml:space="preserve"> independent trials as virtual raters</w:t>
      </w:r>
      <w:r w:rsidR="001348D7">
        <w:rPr>
          <w:rFonts w:ascii="Times New Roman" w:hAnsi="Times New Roman" w:cs="Times New Roman"/>
        </w:rPr>
        <w:t xml:space="preserve">, </w:t>
      </w:r>
      <w:r w:rsidRPr="00904852">
        <w:rPr>
          <w:rFonts w:ascii="Times New Roman" w:hAnsi="Times New Roman" w:cs="Times New Roman"/>
        </w:rPr>
        <w:t>directly supports reliability reporting and aligns with standard practices in safety</w:t>
      </w:r>
      <w:r w:rsidR="001348D7" w:rsidRPr="00904852">
        <w:rPr>
          <w:rFonts w:ascii="Times New Roman" w:hAnsi="Times New Roman" w:cs="Times New Roman"/>
        </w:rPr>
        <w:t>—</w:t>
      </w:r>
      <w:r w:rsidRPr="00904852">
        <w:rPr>
          <w:rFonts w:ascii="Times New Roman" w:hAnsi="Times New Roman" w:cs="Times New Roman"/>
        </w:rPr>
        <w:t xml:space="preserve">critical evaluation, where variance and tail risks matter </w:t>
      </w:r>
      <w:r w:rsidR="00CE06F8">
        <w:rPr>
          <w:rFonts w:ascii="Times New Roman" w:hAnsi="Times New Roman" w:cs="Times New Roman"/>
          <w:b/>
          <w:bCs/>
        </w:rPr>
        <w:fldChar w:fldCharType="begin"/>
      </w:r>
      <w:r w:rsidR="00CE06F8">
        <w:rPr>
          <w:rFonts w:ascii="Times New Roman" w:hAnsi="Times New Roman" w:cs="Times New Roman"/>
          <w:b/>
          <w:bCs/>
        </w:rPr>
        <w:instrText xml:space="preserve"> ADDIN ZOTERO_ITEM CSL_CITATION {"citationID":"CXcJb2TW","properties":{"formattedCitation":"\\super 22\\nosupersub{}","plainCitation":"22","noteIndex":0},"citationItems":[{"id":1218,"uris":["http://zotero.org/users/14545145/items/DG7KJMM9"],"itemData":{"id":1218,"type":"paper-conference","abstract":"In recent years, significant progress has been made in solving challenging problems across various domains using deep reinforcement learning (RL). Reproducing existing work and accurately judging the improvements offered by novel methods is vital to sustaining this progress. Unfortunately, reproducing results for state-of-the-art deep RL methods is seldom straightforward. In particular, non-determinism in standard benchmark environments, combined with variance intrinsic to the methods, can make reported results tough to interpret. Without significance metrics and tighter standardization of experimental reporting, it is difficult to determine whether improvements over the prior state-of-the-art are meaningful. In this paper, we investigate challenges posed by reproducibility, proper experimental techniques, and reporting procedures. We illustrate the variability in reported metrics and results when comparing against common baselines and suggest guidelines to make future results in deep RL more reproducible. We aim to spur discussion about how to ensure continued progress in the field by minimizing wasted effort stemming from results that are non-reproducible and easily misinterpreted.","collection-title":"AAAI'18/IAAI'18/EAAI'18","container-title":"Proceedings of the Thirty-Second AAAI Conference on Artificial Intelligence and Thirtieth Innovative Applications of Artificial Intelligence Conference and Eighth AAAI Symposium on Educational Advances in Artificial Intelligence","event-place":"New Orleans, Louisiana, USA","ISBN":"978-1-57735-800-8","page":"3207–3214","publisher":"AAAI Press","publisher-place":"New Orleans, Louisiana, USA","source":"ACM Digital Library","title":"Deep reinforcement learning that matters","author":[{"family":"Henderson","given":"Peter"},{"family":"Islam","given":"Riashat"},{"family":"Bachman","given":"Philip"},{"family":"Pineau","given":"Joelle"},{"family":"Precup","given":"Doina"},{"family":"Meger","given":"David"}],"accessed":{"date-parts":[["2026",1,7]]},"issued":{"date-parts":[["2018",2,2]]}}}],"schema":"https://github.com/citation-style-language/schema/raw/master/csl-citation.json"} </w:instrText>
      </w:r>
      <w:r w:rsidR="00CE06F8">
        <w:rPr>
          <w:rFonts w:ascii="Times New Roman" w:hAnsi="Times New Roman" w:cs="Times New Roman"/>
          <w:b/>
          <w:bCs/>
        </w:rPr>
        <w:fldChar w:fldCharType="separate"/>
      </w:r>
      <w:r w:rsidR="00CE06F8" w:rsidRPr="00CE06F8">
        <w:rPr>
          <w:rFonts w:ascii="Times New Roman" w:hAnsi="Times New Roman" w:cs="Times New Roman"/>
          <w:kern w:val="0"/>
          <w:vertAlign w:val="superscript"/>
        </w:rPr>
        <w:t>22</w:t>
      </w:r>
      <w:r w:rsidR="00CE06F8">
        <w:rPr>
          <w:rFonts w:ascii="Times New Roman" w:hAnsi="Times New Roman" w:cs="Times New Roman"/>
          <w:b/>
          <w:bCs/>
        </w:rPr>
        <w:fldChar w:fldCharType="end"/>
      </w:r>
      <w:r w:rsidRPr="00904852">
        <w:rPr>
          <w:rFonts w:ascii="Times New Roman" w:hAnsi="Times New Roman" w:cs="Times New Roman"/>
        </w:rPr>
        <w:t>. In the broader machine learning community, attention to variance and replication has repeatedly shown that point estimates can be misleading without repeated runs and uncertainty accounting</w:t>
      </w:r>
      <w:r w:rsidR="00CE06F8">
        <w:rPr>
          <w:rFonts w:ascii="Times New Roman" w:hAnsi="Times New Roman" w:cs="Times New Roman" w:hint="eastAsia"/>
        </w:rPr>
        <w:t xml:space="preserve"> </w:t>
      </w:r>
      <w:r w:rsidR="00CE06F8">
        <w:rPr>
          <w:rFonts w:ascii="Times New Roman" w:hAnsi="Times New Roman" w:cs="Times New Roman"/>
        </w:rPr>
        <w:fldChar w:fldCharType="begin"/>
      </w:r>
      <w:r w:rsidR="00CE06F8">
        <w:rPr>
          <w:rFonts w:ascii="Times New Roman" w:hAnsi="Times New Roman" w:cs="Times New Roman"/>
        </w:rPr>
        <w:instrText xml:space="preserve"> ADDIN ZOTERO_ITEM CSL_CITATION {"citationID":"YBpemYGd","properties":{"formattedCitation":"\\super 22\\nosupersub{}","plainCitation":"22","noteIndex":0},"citationItems":[{"id":1218,"uris":["http://zotero.org/users/14545145/items/DG7KJMM9"],"itemData":{"id":1218,"type":"paper-conference","abstract":"In recent years, significant progress has been made in solving challenging problems across various domains using deep reinforcement learning (RL). Reproducing existing work and accurately judging the improvements offered by novel methods is vital to sustaining this progress. Unfortunately, reproducing results for state-of-the-art deep RL methods is seldom straightforward. In particular, non-determinism in standard benchmark environments, combined with variance intrinsic to the methods, can make reported results tough to interpret. Without significance metrics and tighter standardization of experimental reporting, it is difficult to determine whether improvements over the prior state-of-the-art are meaningful. In this paper, we investigate challenges posed by reproducibility, proper experimental techniques, and reporting procedures. We illustrate the variability in reported metrics and results when comparing against common baselines and suggest guidelines to make future results in deep RL more reproducible. We aim to spur discussion about how to ensure continued progress in the field by minimizing wasted effort stemming from results that are non-reproducible and easily misinterpreted.","collection-title":"AAAI'18/IAAI'18/EAAI'18","container-title":"Proceedings of the Thirty-Second AAAI Conference on Artificial Intelligence and Thirtieth Innovative Applications of Artificial Intelligence Conference and Eighth AAAI Symposium on Educational Advances in Artificial Intelligence","event-place":"New Orleans, Louisiana, USA","ISBN":"978-1-57735-800-8","page":"3207–3214","publisher":"AAAI Press","publisher-place":"New Orleans, Louisiana, USA","source":"ACM Digital Library","title":"Deep reinforcement learning that matters","author":[{"family":"Henderson","given":"Peter"},{"family":"Islam","given":"Riashat"},{"family":"Bachman","given":"Philip"},{"family":"Pineau","given":"Joelle"},{"family":"Precup","given":"Doina"},{"family":"Meger","given":"David"}],"accessed":{"date-parts":[["2026",1,7]]},"issued":{"date-parts":[["2018",2,2]]}}}],"schema":"https://github.com/citation-style-language/schema/raw/master/csl-citation.json"} </w:instrText>
      </w:r>
      <w:r w:rsidR="00CE06F8">
        <w:rPr>
          <w:rFonts w:ascii="Times New Roman" w:hAnsi="Times New Roman" w:cs="Times New Roman"/>
        </w:rPr>
        <w:fldChar w:fldCharType="separate"/>
      </w:r>
      <w:r w:rsidR="00CE06F8" w:rsidRPr="00CE06F8">
        <w:rPr>
          <w:rFonts w:ascii="Times New Roman" w:hAnsi="Times New Roman" w:cs="Times New Roman"/>
          <w:kern w:val="0"/>
          <w:vertAlign w:val="superscript"/>
        </w:rPr>
        <w:t>22</w:t>
      </w:r>
      <w:r w:rsidR="00CE06F8">
        <w:rPr>
          <w:rFonts w:ascii="Times New Roman" w:hAnsi="Times New Roman" w:cs="Times New Roman"/>
        </w:rPr>
        <w:fldChar w:fldCharType="end"/>
      </w:r>
      <w:r w:rsidRPr="00904852">
        <w:rPr>
          <w:rFonts w:ascii="Times New Roman" w:hAnsi="Times New Roman" w:cs="Times New Roman"/>
        </w:rPr>
        <w:t>.</w:t>
      </w:r>
    </w:p>
    <w:p w14:paraId="400D2E5D" w14:textId="23256F33" w:rsidR="00904852" w:rsidRPr="00904852" w:rsidRDefault="00904852" w:rsidP="00904852">
      <w:pPr>
        <w:jc w:val="both"/>
        <w:rPr>
          <w:rFonts w:ascii="Times New Roman" w:hAnsi="Times New Roman" w:cs="Times New Roman"/>
        </w:rPr>
      </w:pPr>
      <w:r w:rsidRPr="00904852">
        <w:rPr>
          <w:rFonts w:ascii="Times New Roman" w:hAnsi="Times New Roman" w:cs="Times New Roman"/>
        </w:rPr>
        <w:t xml:space="preserve">For clinical AI specifically, reporting and evaluation guidance is rapidly evolving. While CONSORT-AI and SPIRIT-AI target clinical trials </w:t>
      </w:r>
      <w:r w:rsidR="00CE06F8">
        <w:rPr>
          <w:rFonts w:ascii="Times New Roman" w:hAnsi="Times New Roman" w:cs="Times New Roman"/>
        </w:rPr>
        <w:fldChar w:fldCharType="begin"/>
      </w:r>
      <w:r w:rsidR="00CE06F8">
        <w:rPr>
          <w:rFonts w:ascii="Times New Roman" w:hAnsi="Times New Roman" w:cs="Times New Roman"/>
        </w:rPr>
        <w:instrText xml:space="preserve"> ADDIN ZOTERO_ITEM CSL_CITATION {"citationID":"nt6P2KRv","properties":{"formattedCitation":"\\super 32,33\\nosupersub{}","plainCitation":"32,33","noteIndex":0},"citationItems":[{"id":1198,"uris":["http://zotero.org/users/14545145/items/IGYFLDNR"],"itemData":{"id":1198,"type":"article-journal","container-title":"The Lancet Digital Health","DOI":"10.1016/S2589-7500(20)30218-1","ISSN":"2589-7500","issue":"10","journalAbbreviation":"The Lancet Digital Health","language":"English","note":"publisher: Elsevier\nPMID: 33328048","page":"e537-e548","source":"www.thelancet.com","title":"Reporting guidelines for clinical trial reports for interventions involving artificial intelligence: the CONSORT-AI extension","title-short":"Reporting guidelines for clinical trial reports for interventions involving artificial intelligence","volume":"2","author":[{"family":"Liu","given":"Xiaoxuan"},{"family":"Rivera","given":"Samantha Cruz"},{"family":"Moher","given":"David"},{"family":"Calvert","given":"Melanie J."},{"family":"Denniston","given":"Alastair K."},{"family":"Ashrafian","given":"Hutan"},{"family":"Beam","given":"Andrew L."},{"family":"Chan","given":"An-Wen"},{"family":"Collins","given":"Gary S."},{"family":"Deeks","given":"Ara DarziJonathan J."},{"family":"ElZarrad","given":"M. Khair"},{"family":"Espinoza","given":"Cyrus"},{"family":"Esteva","given":"Andre"},{"family":"Faes","given":"Livia"},{"family":"Ruffano","given":"Lavinia Ferrante","dropping-particle":"di"},{"family":"Fletcher","given":"John"},{"family":"Golub","given":"Robert"},{"family":"Harvey","given":"Hugh"},{"family":"Haug","given":"Charlotte"},{"family":"Holmes","given":"Christopher"},{"family":"Jonas","given":"Adrian"},{"family":"Keane","given":"Pearse A."},{"family":"Kelly","given":"Christopher J."},{"family":"Lee","given":"Aaron Y."},{"family":"Lee","given":"Cecilia S."},{"family":"Manna","given":"Elaine"},{"family":"Matcham","given":"James"},{"family":"McCradden","given":"Melissa"},{"family":"Monteiro","given":"Joao"},{"family":"Mulrow","given":"Cynthia"},{"family":"Oakden-Rayner","given":"Luke"},{"family":"Paltoo","given":"Dina"},{"family":"Panico","given":"Maria Beatrice"},{"family":"Price","given":"Gary"},{"family":"Rowley","given":"Samuel"},{"family":"Savage","given":"Richard"},{"family":"Sarkar","given":"Rupa"},{"family":"Vollmer","given":"Sebastian J."},{"family":"Yau","given":"Christopher"}],"issued":{"date-parts":[["2020",10,1]]}}},{"id":1201,"uris":["http://zotero.org/users/14545145/items/8BMUQ3YQ"],"itemData":{"id":1201,"type":"article-journal","abstract":"The SPIRIT 2013 (The Standard Protocol Items: Recommendations for Interventional Trials) statement aims to improve the completeness of clinical trial protocol reporting, by providing evidence-based recommendations for the minimum set of items to be addressed. This guidance has been instrumental in promoting transparent evaluation of new interventions. More recently, there is a growing recognition that interventions involving artificial intelligence need to undergo rigorous, prospective evaluation to demonstrate their impact on health outcomes.\n\nThe SPIRIT-AI extension is a new reporting guideline for clinical trials protocols evaluating interventions with an AI component. It was developed in parallel with its companion statement for trial reports: CONSORT-AI. Both guidelines were developed using a staged consensus process, involving a literature review and expert consultation to generate 26 candidate items, which were consulted on by an international multi-stakeholder group in a 2-stage Delphi survey (103 stakeholders), agreed on in a consensus meeting (31 stakeholders) and refined through a checklist pilot (34 participants).\n\nThe SPIRIT-AI extension includes 15 new items, which were considered sufficiently important for clinical trial protocols of AI interventions. These new items should be routinely reported in addition to the core SPIRIT 2013 items. SPIRIT-AI recommends that investigators provide clear descriptions of the AI intervention, including instructions and skills required for use, the setting in which the AI intervention will be integrated, considerations around the handling of input and output data, the human-AI interaction and analysis of error cases.\n\nSPIRIT-AI will help promote transparency and completeness for clinical trial protocols for AI interventions. Its use will assist editors and peer-reviewers, as well as the general readership, to understand, interpret and critically appraise the design and risk of bias for a planned clinical trial.","DOI":"10.1136/bmj.m3210","language":"en","license":"©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 Methods &amp;amp; Reporting","source":"www.bmj.com","title":"Guidelines for clinical trial protocols for interventions involving artificial intelligence: the SPIRIT-AI Extension","title-short":"Guidelines for clinical trial protocols for interventions involving artificial intelligence","URL":"https://www.bmj.com/content/370/bmj.m3210","author":[{"family":"Rivera","given":"Samantha Cruz"},{"family":"Liu","given":"Xiaoxuan"},{"family":"Chan","given":"An-Wen"},{"family":"Denniston","given":"Alastair K."},{"family":"Calvert","given":"Melanie J."}],"accessed":{"date-parts":[["2026",1,7]]},"issued":{"date-parts":[["2020",9,9]]}}}],"schema":"https://github.com/citation-style-language/schema/raw/master/csl-citation.json"} </w:instrText>
      </w:r>
      <w:r w:rsidR="00CE06F8">
        <w:rPr>
          <w:rFonts w:ascii="Times New Roman" w:hAnsi="Times New Roman" w:cs="Times New Roman"/>
        </w:rPr>
        <w:fldChar w:fldCharType="separate"/>
      </w:r>
      <w:r w:rsidR="00CE06F8" w:rsidRPr="00CE06F8">
        <w:rPr>
          <w:rFonts w:ascii="Times New Roman" w:hAnsi="Times New Roman" w:cs="Times New Roman"/>
          <w:kern w:val="0"/>
          <w:vertAlign w:val="superscript"/>
        </w:rPr>
        <w:t>32,33</w:t>
      </w:r>
      <w:r w:rsidR="00CE06F8">
        <w:rPr>
          <w:rFonts w:ascii="Times New Roman" w:hAnsi="Times New Roman" w:cs="Times New Roman"/>
        </w:rPr>
        <w:fldChar w:fldCharType="end"/>
      </w:r>
      <w:r w:rsidRPr="00904852">
        <w:rPr>
          <w:rFonts w:ascii="Times New Roman" w:hAnsi="Times New Roman" w:cs="Times New Roman"/>
        </w:rPr>
        <w:t xml:space="preserve">, and DECIDE-AI targets early-stage clinical evaluation of AI decision support systems </w:t>
      </w:r>
      <w:r w:rsidR="00CE06F8">
        <w:rPr>
          <w:rFonts w:ascii="Times New Roman" w:hAnsi="Times New Roman" w:cs="Times New Roman"/>
        </w:rPr>
        <w:fldChar w:fldCharType="begin"/>
      </w:r>
      <w:r w:rsidR="00CE06F8">
        <w:rPr>
          <w:rFonts w:ascii="Times New Roman" w:hAnsi="Times New Roman" w:cs="Times New Roman"/>
        </w:rPr>
        <w:instrText xml:space="preserve"> ADDIN ZOTERO_ITEM CSL_CITATION {"citationID":"E7ORyke2","properties":{"formattedCitation":"\\super 34\\nosupersub{}","plainCitation":"34","noteIndex":0},"citationItems":[{"id":1203,"uris":["http://zotero.org/users/14545145/items/FS8RSQIM"],"itemData":{"id":1203,"type":"article-journal","abstract":"A growing number of artificial intelligence (AI)-based clinical decision support systems are showing promising performance in preclinical, in silico, evaluation, but few have yet demonstrated real benefit to patient care. Early stage clinical evaluation is important to assess an AI system’s actual clinical performance at small scale, ensure its safety, evaluate the human factors surrounding its use, and pave the way to further large scale trials. However, the reporting of these early studies remains inadequate. The present statement provides a multistakeholder, consensus-based reporting guideline for the Developmental and Exploratory Clinical Investigations of DEcision support systems driven by Artificial Intelligence (DECIDE-AI). We conducted a two round, modified Delphi process to collect and analyse expert opinion on the reporting of early clinical evaluation of AI systems. Experts were recruited from 20 predefined stakeholder categories. The final composition and wording of the guideline was determined at a virtual consensus meeting. The checklist and the Explanation &amp; Elaboration (E&amp;E) sections were refined based on feedback from a qualitative evaluation process. 123 experts participated in the first round of Delphi, 138 in the second, 16 in the consensus meeting, and 16 in the qualitative evaluation. The DECIDE-AI reporting guideline comprises 17 AI specific reporting items (made of 28 subitems) and 10 generic reporting items, with an E&amp;E paragraph provided for each. Through consultation and consensus with a range of stakeholders, we have developed a guideline comprising key items that should be reported in early stage clinical studies of AI-based decision support systems in healthcare. By providing an actionable checklist of minimal reporting items, the DECIDE-AI guideline will facilitate the appraisal of these studies and replicability of their findings.","container-title":"BMJ (Clinical research ed.)","DOI":"10.1136/bmj-2022-070904","ISSN":"1756-1833","journalAbbreviation":"BMJ","language":"eng","note":"PMID: 35584845\nPMCID: PMC9116198","page":"e070904","source":"PubMed","title":"Reporting guideline for the early stage clinical evaluation of decision support systems driven by artificial intelligence: DECIDE-AI","title-short":"Reporting guideline for the early stage clinical evaluation of decision support systems driven by artificial intelligence","volume":"377","author":[{"family":"Vasey","given":"Baptiste"},{"family":"Nagendran","given":"Myura"},{"family":"Campbell","given":"Bruce"},{"family":"Clifton","given":"David A."},{"family":"Collins","given":"Gary S."},{"family":"Denaxas","given":"Spiros"},{"family":"Denniston","given":"Alastair K."},{"family":"Faes","given":"Livia"},{"family":"Geerts","given":"Bart"},{"family":"Ibrahim","given":"Mudathir"},{"family":"Liu","given":"Xiaoxuan"},{"family":"Mateen","given":"Bilal A."},{"family":"Mathur","given":"Piyush"},{"family":"McCradden","given":"Melissa D."},{"family":"Morgan","given":"Lauren"},{"family":"Ordish","given":"Johan"},{"family":"Rogers","given":"Campbell"},{"family":"Saria","given":"Suchi"},{"family":"Ting","given":"Daniel S. W."},{"family":"Watkinson","given":"Peter"},{"family":"Weber","given":"Wim"},{"family":"Wheatstone","given":"Peter"},{"family":"McCulloch","given":"Peter"},{"literal":"DECIDE-AI expert group"}],"issued":{"date-parts":[["2022",5,18]]}}}],"schema":"https://github.com/citation-style-language/schema/raw/master/csl-citation.json"} </w:instrText>
      </w:r>
      <w:r w:rsidR="00CE06F8">
        <w:rPr>
          <w:rFonts w:ascii="Times New Roman" w:hAnsi="Times New Roman" w:cs="Times New Roman"/>
        </w:rPr>
        <w:fldChar w:fldCharType="separate"/>
      </w:r>
      <w:r w:rsidR="00CE06F8" w:rsidRPr="00CE06F8">
        <w:rPr>
          <w:rFonts w:ascii="Times New Roman" w:hAnsi="Times New Roman" w:cs="Times New Roman"/>
          <w:kern w:val="0"/>
          <w:vertAlign w:val="superscript"/>
        </w:rPr>
        <w:t>34</w:t>
      </w:r>
      <w:r w:rsidR="00CE06F8">
        <w:rPr>
          <w:rFonts w:ascii="Times New Roman" w:hAnsi="Times New Roman" w:cs="Times New Roman"/>
        </w:rPr>
        <w:fldChar w:fldCharType="end"/>
      </w:r>
      <w:r w:rsidRPr="00904852">
        <w:rPr>
          <w:rFonts w:ascii="Times New Roman" w:hAnsi="Times New Roman" w:cs="Times New Roman"/>
        </w:rPr>
        <w:t>, all emphasize transparency about study design, endpoints, and failure modes. We suggest that benchmark studies of medical LLM workflows adopt analogous reporting elements: (</w:t>
      </w:r>
      <w:proofErr w:type="spellStart"/>
      <w:r w:rsidRPr="00904852">
        <w:rPr>
          <w:rFonts w:ascii="Times New Roman" w:hAnsi="Times New Roman" w:cs="Times New Roman"/>
        </w:rPr>
        <w:t>i</w:t>
      </w:r>
      <w:proofErr w:type="spellEnd"/>
      <w:r w:rsidRPr="00904852">
        <w:rPr>
          <w:rFonts w:ascii="Times New Roman" w:hAnsi="Times New Roman" w:cs="Times New Roman"/>
        </w:rPr>
        <w:t xml:space="preserve">) repeated-measures protocols as a default for high-stakes tasks; (ii) explicit safety accounting of intervention effects (e.g., iatrogenic vs rescue transitions); and (iii) item-level diagnostics that identify refractory errors and “confident failure” clusters for targeted mitigation. Similarly, TRIPOD and PROBAST—originally designed for prediction models—offer a useful vocabulary for reporting and assessing bias, applicability, and evaluation rigor that can be adapted to generative medical systems and their workflows </w:t>
      </w:r>
      <w:r w:rsidR="00CE06F8">
        <w:rPr>
          <w:rFonts w:ascii="Times New Roman" w:hAnsi="Times New Roman" w:cs="Times New Roman"/>
        </w:rPr>
        <w:fldChar w:fldCharType="begin"/>
      </w:r>
      <w:r w:rsidR="00C03FD1">
        <w:rPr>
          <w:rFonts w:ascii="Times New Roman" w:hAnsi="Times New Roman" w:cs="Times New Roman"/>
        </w:rPr>
        <w:instrText xml:space="preserve"> ADDIN ZOTERO_ITEM CSL_CITATION {"citationID":"qGBjKKMb","properties":{"formattedCitation":"\\super 35,36\\nosupersub{}","plainCitation":"35,36","noteIndex":0},"citationItems":[{"id":1229,"uris":["http://zotero.org/users/14545145/items/5AD6CHMT"],"itemData":{"id":1229,"type":"article-journal","abstract":"Prediction models are developed to aid health care providers in estimating the probability or risk that a specific disease or condition is present (diagnostic models) or that a specific event will occur in the future (prognostic models), to inform their decision making. However, the overwhelming evidence shows that the quality of reporting of prediction model studies is poor. Only with full and clear reporting of information on all aspects of a prediction model can risk of bias and potential usefulness of prediction models be adequately assessed. The Transparent Reporting of a multivariable prediction model for Individual Prognosis Or Diagnosis (TRIPOD) Initiative developed a set of recommendations for the reporting of studies developing, validating, or updating a prediction model, whether for diagnostic or prognostic purposes. This article describes how the TRIPOD Statement was developed. An extensive list of items based on a review of the literature was created, which was reduced after a Web based survey and revised during a three day meeting in June 2011 with methodologists, health care professionals, and journal editors. The list was refined during several meetings of the steering group and in e-mail discussions with the wider group of TRIPOD contributors. The resulting TRIPOD Statement is a checklist of 22 items, deemed essential for transparent reporting of a prediction model study. The TRIPOD Statement aims to improve the transparency of the reporting of a prediction model study regardless of the study methods used. The TRIPOD Statement is best used in conjunction with the TRIPOD explanation and elaboration document. To aid the editorial process and readers of prediction model studies, it is recommended that authors include a completed checklist in their submission (also available at www.tripod-statement.org).To encourage dissemination of the TRIPOD Statement, this article is freely accessible on the Annals of Internal Medicine Web site (www.annals.org) and will be also published in BJOG, British Journal of Cancer, British Journal of Surgery, BMC Medicine, The BMJ, Circulation, Diabetic Medicine, European Journal of Clinical Investigation, European Urology, and Journal of Clinical Epidemiology. The authors jointly hold the copyright of this article. An accompanying explanation and elaboration article is freely available only on www.annals.org; Annals of Internal Medicine holds copyright for that article.","container-title":"BMJ (Clinical research ed.)","DOI":"10.1136/bmj.g7594","ISSN":"1756-1833","journalAbbreviation":"BMJ","language":"eng","note":"PMID: 25569120","page":"g7594","source":"PubMed","title":"Transparent reporting of a multivariable prediction model for individual prognosis or diagnosis (TRIPOD): the TRIPOD statement","title-short":"Transparent reporting of a multivariable prediction model for individual prognosis or diagnosis (TRIPOD)","volume":"350","author":[{"family":"Collins","given":"Gary S."},{"family":"Reitsma","given":"Johannes B."},{"family":"Altman","given":"Douglas G."},{"family":"Moons","given":"Karel G. M."}],"issued":{"date-parts":[["2015",1,7]]}}},{"id":1231,"uris":["http://zotero.org/users/14545145/items/TRUVA8MF"],"itemData":{"id":1231,"type":"article-journal","abstract":"Clinical prediction models combine multiple predictors to estimate risk for the presence of a particular condition (diagnostic models) or the occurrence of a certain event in the future (prognostic models). PROBAST (Prediction model Risk Of Bias ASsessment Tool), a tool for assessing the risk of bias (ROB) and applicability of diagnostic and prognostic prediction model studies, was developed by a steering group that considered existing ROB tools and reporting guidelines. The tool was informed by a Delphi procedure involving 38 experts and was refined through piloting. PROBAST is organized into the following 4 domains: participants, predictors, outcome, and analysis. These domains contain a total of 20 signaling questions to facilitate structured judgment of ROB, which was defined to occur when shortcomings in study design, conduct, or analysis lead to systematically distorted estimates of model predictive performance. PROBAST enables a focused and transparent approach to assessing the ROB and applicability of studies that develop, validate, or update prediction models for individualized predictions. Although PROBAST was designed for systematic reviews, it can be used more generally in critical appraisal of prediction model studies. Potential users include organizations supporting decision making, researchers and clinicians who are interested in evidence-based medicine or involved in guideline development, journal editors, and manuscript reviewers.","container-title":"Annals of Internal Medicine","DOI":"10.7326/M18-1376","ISSN":"1539-3704","issue":"1","journalAbbreviation":"Ann Intern Med","language":"eng","note":"PMID: 30596875","page":"51-58","source":"PubMed","title":"PROBAST: A Tool to Assess the Risk of Bias and Applicability of Prediction Model Studies","title-short":"PROBAST","volume":"170","author":[{"family":"Wolff","given":"Robert F."},{"family":"Moons","given":"Karel G. M."},{"family":"Riley","given":"Richard D."},{"family":"Whiting","given":"Penny F."},{"family":"Westwood","given":"Marie"},{"family":"Collins","given":"Gary S."},{"family":"Reitsma","given":"Johannes B."},{"family":"Kleijnen","given":"Jos"},{"family":"Mallett","given":"Sue"},{"literal":"PROBAST Group†"}],"issued":{"date-parts":[["2019",1,1]]}}}],"schema":"https://github.com/citation-style-language/schema/raw/master/csl-citation.json"} </w:instrText>
      </w:r>
      <w:r w:rsidR="00CE06F8">
        <w:rPr>
          <w:rFonts w:ascii="Times New Roman" w:hAnsi="Times New Roman" w:cs="Times New Roman"/>
        </w:rPr>
        <w:fldChar w:fldCharType="separate"/>
      </w:r>
      <w:r w:rsidR="00C03FD1" w:rsidRPr="00C03FD1">
        <w:rPr>
          <w:rFonts w:ascii="Times New Roman" w:hAnsi="Times New Roman" w:cs="Times New Roman"/>
          <w:kern w:val="0"/>
          <w:vertAlign w:val="superscript"/>
        </w:rPr>
        <w:t>35,36</w:t>
      </w:r>
      <w:r w:rsidR="00CE06F8">
        <w:rPr>
          <w:rFonts w:ascii="Times New Roman" w:hAnsi="Times New Roman" w:cs="Times New Roman"/>
        </w:rPr>
        <w:fldChar w:fldCharType="end"/>
      </w:r>
      <w:r w:rsidRPr="00904852">
        <w:rPr>
          <w:rFonts w:ascii="Times New Roman" w:hAnsi="Times New Roman" w:cs="Times New Roman"/>
        </w:rPr>
        <w:t>.</w:t>
      </w:r>
    </w:p>
    <w:p w14:paraId="4549EBB1" w14:textId="078ABE1F" w:rsidR="00904852" w:rsidRPr="001E5C9F" w:rsidRDefault="00904852" w:rsidP="00904852">
      <w:pPr>
        <w:jc w:val="both"/>
        <w:rPr>
          <w:rFonts w:ascii="Times New Roman" w:hAnsi="Times New Roman" w:cs="Times New Roman"/>
        </w:rPr>
      </w:pPr>
      <w:r w:rsidRPr="00904852">
        <w:rPr>
          <w:rFonts w:ascii="Times New Roman" w:hAnsi="Times New Roman" w:cs="Times New Roman"/>
        </w:rPr>
        <w:t xml:space="preserve">Transparency artifacts developed for general AI can also strengthen medical LLM governance. Model Cards and Datasheets encourage disclosure of intended use, limitations, and evaluation settings, which is particularly important when results vary across protocols and models </w:t>
      </w:r>
      <w:r w:rsidR="001E5C9F">
        <w:rPr>
          <w:rFonts w:ascii="Times New Roman" w:hAnsi="Times New Roman" w:cs="Times New Roman"/>
        </w:rPr>
        <w:fldChar w:fldCharType="begin"/>
      </w:r>
      <w:r w:rsidR="00756ECB">
        <w:rPr>
          <w:rFonts w:ascii="Times New Roman" w:hAnsi="Times New Roman" w:cs="Times New Roman"/>
        </w:rPr>
        <w:instrText xml:space="preserve"> ADDIN ZOTERO_ITEM CSL_CITATION {"citationID":"27AbW8qX","properties":{"formattedCitation":"\\super 37,38\\nosupersub{}","plainCitation":"37,38","noteIndex":0},"citationItems":[{"id":1195,"uris":["http://zotero.org/users/14545145/items/DMGMX7SG"],"itemData":{"id":1195,"type":"paper-conference","abstract":"Trained machine learning models are increasingly used to perform high-impact tasks in areas such as law enforcement, medicine, education, and employment. In order to clarify the intended use cases of machine learning models and minimize their usage in contexts for which they are not well suited, we recommend that released models be accompanied by documentation detailing their performance characteristics. In this paper, we propose a framework that we call model cards, to encourage such transparent model reporting. Model cards are short documents accompanying trained machine learning models that provide benchmarked evaluation in a variety of conditions, such as across different cultural, demographic, or phenotypic groups (e.g., race, geographic location, sex, Fitzpatrick skin type [15]) and intersectional groups (e.g., age and race, or sex and Fitzpatrick skin type) that are relevant to the intended application domains. Model cards also disclose the context in which models are intended to be used, details of the performance evaluation procedures, and other relevant information. While we focus primarily on human-centered machine learning models in the application fields of computer vision and natural language processing, this framework can be used to document any trained machine learning model. To solidify the concept, we provide cards for two supervised models: One trained to detect smiling faces in images, and one trained to detect toxic comments in text. We propose model cards as a step towards the responsible democratization of machine learning and related artificial intelligence technology, increasing transparency into how well artificial intelligence technology works. We hope this work encourages those releasing trained machine learning models to accompany model releases with similar detailed evaluation numbers and other relevant documentation.","collection-title":"FAT* '19","container-title":"Proceedings of the Conference on Fairness, Accountability, and Transparency","DOI":"10.1145/3287560.3287596","event-place":"New York, NY, USA","ISBN":"978-1-4503-6125-5","page":"220–229","publisher":"Association for Computing Machinery","publisher-place":"New York, NY, USA","source":"ACM Digital Library","title":"Model Cards for Model Reporting","URL":"https://doi.org/10.1145/3287560.3287596","author":[{"family":"Mitchell","given":"Margaret"},{"family":"Wu","given":"Simone"},{"family":"Zaldivar","given":"Andrew"},{"family":"Barnes","given":"Parker"},{"family":"Vasserman","given":"Lucy"},{"family":"Hutchinson","given":"Ben"},{"family":"Spitzer","given":"Elena"},{"family":"Raji","given":"Inioluwa Deborah"},{"family":"Gebru","given":"Timnit"}],"accessed":{"date-parts":[["2026",1,7]]},"issued":{"date-parts":[["2019",1,29]]}}},{"id":1240,"uris":["http://zotero.org/users/14545145/items/W2AD7D7Z"],"itemData":{"id":1240,"type":"article","abstract":"The machine learning community currently has no standardized process for documenting datasets, which can lead to severe consequences in high-stakes domains. To address this gap, we propose datasheets for datasets. In the electronics industry, every component, no matter how simple or complex, is accompanied with a datasheet that describes its operating characteristics, test results, recommended uses, and other information. By analogy, we propose that every dataset be accompanied with a datasheet that documents its motivation, composition, collection process, recommended uses, and so on. Datasheets for datasets will facilitate better communication between dataset creators and dataset consumers, and encourage the machine learning community to prioritize transparency and accountability.","DOI":"10.48550/arXiv.1803.09010","note":"arXiv:1803.09010 [cs]","number":"arXiv:1803.09010","publisher":"arXiv","source":"arXiv.org","title":"Datasheets for Datasets","URL":"http://arxiv.org/abs/1803.09010","author":[{"family":"Gebru","given":"Timnit"},{"family":"Morgenstern","given":"Jamie"},{"family":"Vecchione","given":"Briana"},{"family":"Vaughan","given":"Jennifer Wortman"},{"family":"Wallach","given":"Hanna"},{"family":"Daumé","given":"Hal"},{"family":"Crawford","given":"Kate"}],"accessed":{"date-parts":[["2026",1,9]]},"issued":{"date-parts":[["2021",12,1]]}}}],"schema":"https://github.com/citation-style-language/schema/raw/master/csl-citation.json"} </w:instrText>
      </w:r>
      <w:r w:rsidR="001E5C9F">
        <w:rPr>
          <w:rFonts w:ascii="Times New Roman" w:hAnsi="Times New Roman" w:cs="Times New Roman"/>
        </w:rPr>
        <w:fldChar w:fldCharType="separate"/>
      </w:r>
      <w:r w:rsidR="00756ECB" w:rsidRPr="00756ECB">
        <w:rPr>
          <w:rFonts w:ascii="Times New Roman" w:hAnsi="Times New Roman" w:cs="Times New Roman"/>
          <w:kern w:val="0"/>
          <w:vertAlign w:val="superscript"/>
        </w:rPr>
        <w:t>37,38</w:t>
      </w:r>
      <w:r w:rsidR="001E5C9F">
        <w:rPr>
          <w:rFonts w:ascii="Times New Roman" w:hAnsi="Times New Roman" w:cs="Times New Roman"/>
        </w:rPr>
        <w:fldChar w:fldCharType="end"/>
      </w:r>
      <w:r w:rsidRPr="00904852">
        <w:rPr>
          <w:rFonts w:ascii="Times New Roman" w:hAnsi="Times New Roman" w:cs="Times New Roman"/>
        </w:rPr>
        <w:t>. Human</w:t>
      </w:r>
      <w:r w:rsidR="001348D7">
        <w:rPr>
          <w:rFonts w:ascii="Times New Roman" w:hAnsi="Times New Roman" w:cs="Times New Roman" w:hint="eastAsia"/>
        </w:rPr>
        <w:t>-</w:t>
      </w:r>
      <w:r w:rsidRPr="00904852">
        <w:rPr>
          <w:rFonts w:ascii="Times New Roman" w:hAnsi="Times New Roman" w:cs="Times New Roman"/>
        </w:rPr>
        <w:t xml:space="preserve">AI interaction guidance further suggests that systems should be designed to support appropriate user reliance rather than maximizing automation by default </w:t>
      </w:r>
      <w:r w:rsidR="001E5C9F">
        <w:rPr>
          <w:rFonts w:ascii="Times New Roman" w:hAnsi="Times New Roman" w:cs="Times New Roman"/>
        </w:rPr>
        <w:fldChar w:fldCharType="begin"/>
      </w:r>
      <w:r w:rsidR="001E5C9F">
        <w:rPr>
          <w:rFonts w:ascii="Times New Roman" w:hAnsi="Times New Roman" w:cs="Times New Roman"/>
        </w:rPr>
        <w:instrText xml:space="preserve"> ADDIN ZOTERO_ITEM CSL_CITATION {"citationID":"fMSUQmhF","properties":{"formattedCitation":"\\super 39\\nosupersub{}","plainCitation":"39","noteIndex":0},"citationItems":[{"id":1209,"uris":["http://zotero.org/users/14545145/items/SCVB9PRU"],"itemData":{"id":1209,"type":"paper-conference","abstract":"Advances in artificial intelligence (AI) frame opportunities and challenges for user interface design. Principles for human-AI interaction have been discussed in the human-computer interaction community for over two decades, but more study and innovation are needed in light of advances in AI and the growing uses of AI technologies in human-facing applications. We propose 18 generally applicable design guidelines for human-AI interaction. These guidelines are validated through multiple rounds of evaluation including a user study with 49 design practitioners who tested the guidelines against 20 popular AI-infused products. The results verify the relevance of the guidelines over a spectrum of interaction scenarios and reveal gaps in our knowledge, highlighting opportunities for further research. Based on the evaluations, we believe the set of design guidelines can serve as a resource to practitioners working on the design of applications and features that harness AI technologies, and to researchers interested in the further development of human-AI interaction design principles.","collection-title":"CHI '19","container-title":"Proceedings of the 2019 CHI Conference on Human Factors in Computing Systems","DOI":"10.1145/3290605.3300233","event-place":"New York, NY, USA","ISBN":"978-1-4503-5970-2","page":"1–13","publisher":"Association for Computing Machinery","publisher-place":"New York, NY, USA","source":"ACM Digital Library","title":"Guidelines for Human-AI Interaction","URL":"https://doi.org/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2026",1,7]]},"issued":{"date-parts":[["2019",5,2]]}}}],"schema":"https://github.com/citation-style-language/schema/raw/master/csl-citation.json"} </w:instrText>
      </w:r>
      <w:r w:rsidR="001E5C9F">
        <w:rPr>
          <w:rFonts w:ascii="Times New Roman" w:hAnsi="Times New Roman" w:cs="Times New Roman"/>
        </w:rPr>
        <w:fldChar w:fldCharType="separate"/>
      </w:r>
      <w:r w:rsidR="001E5C9F" w:rsidRPr="001E5C9F">
        <w:rPr>
          <w:rFonts w:ascii="Times New Roman" w:hAnsi="Times New Roman" w:cs="Times New Roman"/>
          <w:kern w:val="0"/>
          <w:vertAlign w:val="superscript"/>
        </w:rPr>
        <w:t>39</w:t>
      </w:r>
      <w:r w:rsidR="001E5C9F">
        <w:rPr>
          <w:rFonts w:ascii="Times New Roman" w:hAnsi="Times New Roman" w:cs="Times New Roman"/>
        </w:rPr>
        <w:fldChar w:fldCharType="end"/>
      </w:r>
      <w:r w:rsidRPr="00904852">
        <w:rPr>
          <w:rFonts w:ascii="Times New Roman" w:hAnsi="Times New Roman" w:cs="Times New Roman"/>
        </w:rPr>
        <w:t>. In this light, AIRA-style metrics can be operationalized as “appropriate reliance” indicators: a workflow whose damage-to-rescue ratio exceeds 1.0 should not be enabled by default in clinical settings, even if it occasionally improves performance on difficult items.</w:t>
      </w:r>
    </w:p>
    <w:p w14:paraId="4E80D456" w14:textId="2376290D" w:rsidR="00904852" w:rsidRPr="00904852" w:rsidRDefault="00904852" w:rsidP="00114A84">
      <w:pPr>
        <w:jc w:val="both"/>
        <w:rPr>
          <w:rFonts w:ascii="Times New Roman" w:hAnsi="Times New Roman" w:cs="Times New Roman"/>
        </w:rPr>
      </w:pPr>
      <w:r w:rsidRPr="00904852">
        <w:rPr>
          <w:rFonts w:ascii="Times New Roman" w:hAnsi="Times New Roman" w:cs="Times New Roman"/>
        </w:rPr>
        <w:t xml:space="preserve">The net-negative safety profile of agentic reasoning in our setting should not be read as an </w:t>
      </w:r>
      <w:r w:rsidRPr="00904852">
        <w:rPr>
          <w:rFonts w:ascii="Times New Roman" w:hAnsi="Times New Roman" w:cs="Times New Roman"/>
        </w:rPr>
        <w:lastRenderedPageBreak/>
        <w:t>argument against agentic systems per se, but as evidence that verification and control must be first-class design goals. Three concrete directions follow</w:t>
      </w:r>
      <w:r w:rsidR="000552EE">
        <w:rPr>
          <w:rFonts w:ascii="Times New Roman" w:hAnsi="Times New Roman" w:cs="Times New Roman" w:hint="eastAsia"/>
        </w:rPr>
        <w:t>:</w:t>
      </w:r>
      <w:r w:rsidRPr="00904852">
        <w:rPr>
          <w:rFonts w:ascii="Times New Roman" w:hAnsi="Times New Roman" w:cs="Times New Roman"/>
        </w:rPr>
        <w:t xml:space="preserve"> </w:t>
      </w:r>
      <w:r w:rsidR="000552EE">
        <w:rPr>
          <w:rFonts w:ascii="Times New Roman" w:hAnsi="Times New Roman" w:cs="Times New Roman" w:hint="eastAsia"/>
        </w:rPr>
        <w:t xml:space="preserve">1. </w:t>
      </w:r>
      <w:r w:rsidR="000552EE">
        <w:rPr>
          <w:rFonts w:ascii="Times New Roman" w:hAnsi="Times New Roman" w:cs="Times New Roman"/>
        </w:rPr>
        <w:t>Add</w:t>
      </w:r>
      <w:r w:rsidRPr="00904852">
        <w:rPr>
          <w:rFonts w:ascii="Times New Roman" w:hAnsi="Times New Roman" w:cs="Times New Roman"/>
        </w:rPr>
        <w:t xml:space="preserve"> external verification pathways</w:t>
      </w:r>
      <w:r w:rsidR="000552EE">
        <w:rPr>
          <w:rFonts w:ascii="Times New Roman" w:hAnsi="Times New Roman" w:cs="Times New Roman" w:hint="eastAsia"/>
        </w:rPr>
        <w:t>,</w:t>
      </w:r>
      <w:r w:rsidRPr="00904852">
        <w:rPr>
          <w:rFonts w:ascii="Times New Roman" w:hAnsi="Times New Roman" w:cs="Times New Roman"/>
        </w:rPr>
        <w:t xml:space="preserve"> </w:t>
      </w:r>
      <w:r w:rsidR="000552EE">
        <w:rPr>
          <w:rFonts w:ascii="Times New Roman" w:hAnsi="Times New Roman" w:cs="Times New Roman" w:hint="eastAsia"/>
        </w:rPr>
        <w:t>t</w:t>
      </w:r>
      <w:r w:rsidRPr="00904852">
        <w:rPr>
          <w:rFonts w:ascii="Times New Roman" w:hAnsi="Times New Roman" w:cs="Times New Roman"/>
        </w:rPr>
        <w:t xml:space="preserve">ool-using and retrieval-augmented approaches can ground answers in verifiable sources and may be necessary to address refractory cold spots that persist across prompting strategies </w:t>
      </w:r>
      <w:r w:rsidR="001E5C9F">
        <w:rPr>
          <w:rFonts w:ascii="Times New Roman" w:hAnsi="Times New Roman" w:cs="Times New Roman"/>
        </w:rPr>
        <w:fldChar w:fldCharType="begin"/>
      </w:r>
      <w:r w:rsidR="001E5C9F">
        <w:rPr>
          <w:rFonts w:ascii="Times New Roman" w:hAnsi="Times New Roman" w:cs="Times New Roman"/>
        </w:rPr>
        <w:instrText xml:space="preserve"> ADDIN ZOTERO_ITEM CSL_CITATION {"citationID":"7CtDXILV","properties":{"formattedCitation":"\\super 23,25,27,28\\nosupersub{}","plainCitation":"23,25,27,28","noteIndex":0},"citationItems":[{"id":1174,"uris":["http://zotero.org/users/14545145/items/WBML9SM7"],"itemData":{"id":1174,"type":"article-journal","abstract":"Autonomous agents have long been a research focus in academic and industry communities. Previous research often focuses on training agents with limited knowledge within isolated environments, which diverges significantly from human learning processes, and makes the agents hard to achieve human-like decisions. Recently, through the acquisition of vast amounts of Web knowledge, large language models (LLMs) have shown potential in human-level intelligence, leading to a surge in research on LLM-based autonomous agents. In this paper, we present a comprehensive survey of these studies, delivering a systematic review of LLM-based autonomous agents from a holistic perspective. We first discuss the construction of LLM-based autonomous agents, proposing a unified framework that encompasses much of previous work. Then, we present a overview of the diverse applications of LLM-based autonomous agents in social science, natural science, and engineering. Finally, we delve into the evaluation strategies commonly used for LLM-based autonomous agents. Based on the previous studies, we also present several challenges and future directions in this field.","container-title":"Frontiers of Computer Science","DOI":"10.1007/s11704-024-40231-1","ISSN":"2095-2236","issue":"6","journalAbbreviation":"Front. Comput. Sci.","language":"en","page":"186345","source":"Springer Link","title":"A survey on large language model based autonomous agents","volume":"18","author":[{"family":"Wang","given":"Lei"},{"family":"Ma","given":"Chen"},{"family":"Feng","given":"Xueyang"},{"family":"Zhang","given":"Zeyu"},{"family":"Yang","given":"Hao"},{"family":"Zhang","given":"Jingsen"},{"family":"Chen","given":"Zhiyuan"},{"family":"Tang","given":"Jiakai"},{"family":"Chen","given":"Xu"},{"family":"Lin","given":"Yankai"},{"family":"Zhao","given":"Wayne Xin"},{"family":"Wei","given":"Zhewei"},{"family":"Wen","given":"Jirong"}],"issued":{"date-parts":[["2024",3,22]]}}},{"id":1156,"uris":["http://zotero.org/users/14545145/items/XBFXVFI2"],"itemData":{"id":1156,"type":"article","abstract":"While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1,7]]},"issued":{"date-parts":[["2023",3,10]]}}},{"id":1172,"uris":["http://zotero.org/users/14545145/items/E9DLJKAK"],"itemData":{"id":1172,"type":"paper-conference","abstract":"Language model pre-training has been shown to capture a surprising amount of world knowledge, crucial for NLP tasks such as question answering. However, this knowledge is stored implicitly in the parameters of a neural network, requiring everlarger networks to cover more facts.To capture knowledge in a more modular and interpretable way, we augment language model pretraining with a latent knowledge retriever, which allows the model to retrieve and attend over documents from a large corpus such as Wikipedia, used during pre-training, fine-tuning and inference. For the first time, we show how to pre-train such a knowledge retriever in an unsupervised manner, using masked language modeling as the learning signal and backpropagating through a retrieval step that considers millions of documents.We demonstrate the effectiveness of Retrieval-Augmented Language Model pretraining (REALM) by fine-tuning on the challenging task of Open-domain Question Answering (Open-QA). We compare against state-of-the-art models for both explicit and implicit knowledge storage on three popular Open-QA benchmarks, and find that we outperform all previous methods by a significant margin (4-16% absolute accuracy), while also providing qualitative benefits such as interpretability and modularity.","collection-title":"ICML'20","container-title":"Proceedings of the 37th International Conference on Machine Learning","page":"3929–3938","publisher":"JMLR.org","source":"ACM Digital Library","title":"REALM: retrieval-augmented language model pre-training","title-short":"REALM","volume":"119","author":[{"family":"Guu","given":"Kelvin"},{"family":"Lee","given":"Kenton"},{"family":"Tung","given":"Zora"},{"family":"Pasupat","given":"Panupong"},{"family":"Chang","given":"Ming-Wei"}],"accessed":{"date-parts":[["2026",1,7]]},"issued":{"date-parts":[["2020",7,13]]}}},{"id":1173,"uris":["http://zotero.org/users/14545145/items/8VAI5VL7"],"itemData":{"id":1173,"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1,7]]},"issued":{"date-parts":[["2020"]]}}}],"schema":"https://github.com/citation-style-language/schema/raw/master/csl-citation.json"} </w:instrText>
      </w:r>
      <w:r w:rsidR="001E5C9F">
        <w:rPr>
          <w:rFonts w:ascii="Times New Roman" w:hAnsi="Times New Roman" w:cs="Times New Roman"/>
        </w:rPr>
        <w:fldChar w:fldCharType="separate"/>
      </w:r>
      <w:r w:rsidR="001E5C9F" w:rsidRPr="001E5C9F">
        <w:rPr>
          <w:rFonts w:ascii="Times New Roman" w:hAnsi="Times New Roman" w:cs="Times New Roman"/>
          <w:kern w:val="0"/>
          <w:vertAlign w:val="superscript"/>
        </w:rPr>
        <w:t>23,25,27,28</w:t>
      </w:r>
      <w:r w:rsidR="001E5C9F">
        <w:rPr>
          <w:rFonts w:ascii="Times New Roman" w:hAnsi="Times New Roman" w:cs="Times New Roman"/>
        </w:rPr>
        <w:fldChar w:fldCharType="end"/>
      </w:r>
      <w:r w:rsidRPr="00904852">
        <w:rPr>
          <w:rFonts w:ascii="Times New Roman" w:hAnsi="Times New Roman" w:cs="Times New Roman"/>
        </w:rPr>
        <w:t>. Retrieval-augmented pretraining and generation provide a blueprint for integrating external checks rather than relying solely on self-critique</w:t>
      </w:r>
      <w:r w:rsidR="001E5C9F">
        <w:rPr>
          <w:rFonts w:ascii="Times New Roman" w:hAnsi="Times New Roman" w:cs="Times New Roman" w:hint="eastAsia"/>
        </w:rPr>
        <w:t xml:space="preserve"> </w:t>
      </w:r>
      <w:r w:rsidR="001E5C9F">
        <w:rPr>
          <w:rFonts w:ascii="Times New Roman" w:hAnsi="Times New Roman" w:cs="Times New Roman"/>
        </w:rPr>
        <w:fldChar w:fldCharType="begin"/>
      </w:r>
      <w:r w:rsidR="001E5C9F">
        <w:rPr>
          <w:rFonts w:ascii="Times New Roman" w:hAnsi="Times New Roman" w:cs="Times New Roman"/>
        </w:rPr>
        <w:instrText xml:space="preserve"> ADDIN ZOTERO_ITEM CSL_CITATION {"citationID":"qZZ6EPy8","properties":{"formattedCitation":"\\super 27,28\\nosupersub{}","plainCitation":"27,28","noteIndex":0},"citationItems":[{"id":1172,"uris":["http://zotero.org/users/14545145/items/E9DLJKAK"],"itemData":{"id":1172,"type":"paper-conference","abstract":"Language model pre-training has been shown to capture a surprising amount of world knowledge, crucial for NLP tasks such as question answering. However, this knowledge is stored implicitly in the parameters of a neural network, requiring everlarger networks to cover more facts.To capture knowledge in a more modular and interpretable way, we augment language model pretraining with a latent knowledge retriever, which allows the model to retrieve and attend over documents from a large corpus such as Wikipedia, used during pre-training, fine-tuning and inference. For the first time, we show how to pre-train such a knowledge retriever in an unsupervised manner, using masked language modeling as the learning signal and backpropagating through a retrieval step that considers millions of documents.We demonstrate the effectiveness of Retrieval-Augmented Language Model pretraining (REALM) by fine-tuning on the challenging task of Open-domain Question Answering (Open-QA). We compare against state-of-the-art models for both explicit and implicit knowledge storage on three popular Open-QA benchmarks, and find that we outperform all previous methods by a significant margin (4-16% absolute accuracy), while also providing qualitative benefits such as interpretability and modularity.","collection-title":"ICML'20","container-title":"Proceedings of the 37th International Conference on Machine Learning","page":"3929–3938","publisher":"JMLR.org","source":"ACM Digital Library","title":"REALM: retrieval-augmented language model pre-training","title-short":"REALM","volume":"119","author":[{"family":"Guu","given":"Kelvin"},{"family":"Lee","given":"Kenton"},{"family":"Tung","given":"Zora"},{"family":"Pasupat","given":"Panupong"},{"family":"Chang","given":"Ming-Wei"}],"accessed":{"date-parts":[["2026",1,7]]},"issued":{"date-parts":[["2020",7,13]]}}},{"id":1173,"uris":["http://zotero.org/users/14545145/items/8VAI5VL7"],"itemData":{"id":1173,"type":"paper-conferenc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1,7]]},"issued":{"date-parts":[["2020"]]}}}],"schema":"https://github.com/citation-style-language/schema/raw/master/csl-citation.json"} </w:instrText>
      </w:r>
      <w:r w:rsidR="001E5C9F">
        <w:rPr>
          <w:rFonts w:ascii="Times New Roman" w:hAnsi="Times New Roman" w:cs="Times New Roman"/>
        </w:rPr>
        <w:fldChar w:fldCharType="separate"/>
      </w:r>
      <w:r w:rsidR="001E5C9F" w:rsidRPr="001E5C9F">
        <w:rPr>
          <w:rFonts w:ascii="Times New Roman" w:hAnsi="Times New Roman" w:cs="Times New Roman"/>
          <w:kern w:val="0"/>
          <w:vertAlign w:val="superscript"/>
        </w:rPr>
        <w:t>27,28</w:t>
      </w:r>
      <w:r w:rsidR="001E5C9F">
        <w:rPr>
          <w:rFonts w:ascii="Times New Roman" w:hAnsi="Times New Roman" w:cs="Times New Roman"/>
        </w:rPr>
        <w:fldChar w:fldCharType="end"/>
      </w:r>
      <w:r w:rsidRPr="00904852">
        <w:rPr>
          <w:rFonts w:ascii="Times New Roman" w:hAnsi="Times New Roman" w:cs="Times New Roman"/>
        </w:rPr>
        <w:t>. Importantly, verification should target both correctness and stability: detecting when a workflow has stabilized an incorrect rationale may require cross-checking against trusted references or structured medical knowledge bases.</w:t>
      </w:r>
      <w:r w:rsidR="000552EE">
        <w:rPr>
          <w:rFonts w:ascii="Times New Roman" w:hAnsi="Times New Roman" w:cs="Times New Roman" w:hint="eastAsia"/>
        </w:rPr>
        <w:t xml:space="preserve"> </w:t>
      </w:r>
      <w:r w:rsidRPr="00904852">
        <w:rPr>
          <w:rFonts w:ascii="Times New Roman" w:hAnsi="Times New Roman" w:cs="Times New Roman"/>
        </w:rPr>
        <w:t>2</w:t>
      </w:r>
      <w:r w:rsidR="000552EE">
        <w:rPr>
          <w:rFonts w:ascii="Times New Roman" w:hAnsi="Times New Roman" w:cs="Times New Roman" w:hint="eastAsia"/>
        </w:rPr>
        <w:t>.</w:t>
      </w:r>
      <w:r w:rsidRPr="00904852">
        <w:rPr>
          <w:rFonts w:ascii="Times New Roman" w:hAnsi="Times New Roman" w:cs="Times New Roman"/>
        </w:rPr>
        <w:t xml:space="preserve"> Use selective activation rather than universal agentic prompting. Agentic workflows should be triggered </w:t>
      </w:r>
      <w:proofErr w:type="gramStart"/>
      <w:r w:rsidRPr="00904852">
        <w:rPr>
          <w:rFonts w:ascii="Times New Roman" w:hAnsi="Times New Roman" w:cs="Times New Roman"/>
        </w:rPr>
        <w:t>conditionally—</w:t>
      </w:r>
      <w:proofErr w:type="gramEnd"/>
      <w:r w:rsidRPr="00904852">
        <w:rPr>
          <w:rFonts w:ascii="Times New Roman" w:hAnsi="Times New Roman" w:cs="Times New Roman"/>
        </w:rPr>
        <w:t xml:space="preserve">e.g., for items where baseline uncertainty is high, or where retrieval indicates insufficient evidence—rather than applied indiscriminately. Modern uncertainty estimation methods (ensembles, Bayesian approximations, calibration) can support such gating, and evaluation under dataset shift should be routine given the distributional variability of clinical inputs </w:t>
      </w:r>
      <w:r w:rsidR="001E5C9F">
        <w:rPr>
          <w:rFonts w:ascii="Times New Roman" w:hAnsi="Times New Roman" w:cs="Times New Roman"/>
        </w:rPr>
        <w:fldChar w:fldCharType="begin"/>
      </w:r>
      <w:r w:rsidR="00E1071B">
        <w:rPr>
          <w:rFonts w:ascii="Times New Roman" w:hAnsi="Times New Roman" w:cs="Times New Roman"/>
        </w:rPr>
        <w:instrText xml:space="preserve"> ADDIN ZOTERO_ITEM CSL_CITATION {"citationID":"DrrBaliw","properties":{"formattedCitation":"\\super 40\\uc0\\u8211{}44\\nosupersub{}","plainCitation":"40–44","noteIndex":0},"citationItems":[{"id":1186,"uris":["http://zotero.org/users/14545145/items/5SGHZ9C2"],"itemData":{"id":1186,"type":"paper-conference","abstract":"Deep learning tools have gained tremendous attention in applied machine learning. However such tools for regression and classification do not capture model uncertainty. In comparison, Bayesian models offer a mathematically grounded framework to reason about model uncertainty, but usually come with a prohibitive computational cost. In this paper we develop a new theoretical framework casting dropout training in deep neural networks (NNs) as approximate Bayesian inference in deep Gaussian processes. A direct result of this theory gives us tools to model uncertainty with dropout NNs - extracting information from existing models that has been thrown away so far. This mitigates the problem of representing uncertainty in deep learning without sacrificing either computational complexity or test accuracy. We perform an extensive study of the properties of dropout's uncertainty. Various network architectures and nonlinearities are assessed on tasks of regression and classification, using MNIST as an example. We show a considerable improvement in predictive log-likelihood and RMSE compared to existing state-of-the-art methods, and finish by using dropout's uncertainty in deep reinforcement learning.","collection-title":"ICML'16","container-title":"Proceedings of the 33rd International Conference on International Conference on Machine Learning - Volume 48","event-place":"New York, NY, USA","page":"1050–1059","publisher":"JMLR.org","publisher-place":"New York, NY, USA","source":"ACM Digital Library","title":"Dropout as a Bayesian approximation: representing model uncertainty in deep learning","title-short":"Dropout as a Bayesian approximation","author":[{"family":"Gal","given":"Yarin"},{"family":"Ghahramani","given":"Zoubin"}],"accessed":{"date-parts":[["2026",1,7]]},"issued":{"date-parts":[["2016",6,19]]}}},{"id":1187,"uris":["http://zotero.org/users/14545145/items/Z655IGVE"],"itemData":{"id":1187,"type":"paper-conference","container-title":"Advances in Neural Information Processing Systems","publisher":"Curran Associates, Inc.","source":"Neural Information Processing Systems","title":"Simple and Scalable Predictive Uncertainty Estimation using Deep Ensembles","URL":"https://proceedings.neurips.cc/paper_files/paper/2017/hash/9ef2ed4b7fd2c810847ffa5fa85bce38-Abstract.html","volume":"30","author":[{"family":"Lakshminarayanan","given":"Balaji"},{"family":"Pritzel","given":"Alexander"},{"family":"Blundell","given":"Charles"}],"accessed":{"date-parts":[["2026",1,7]]},"issued":{"date-parts":[["2017"]]}}},{"id":1189,"uris":["http://zotero.org/users/14545145/items/3JYQXT7X"],"itemData":{"id":1189,"type":"article-journal","abstract":"Over the last decade, neural networks have reached almost every field of science and become a crucial part of various real world applications. Due to the increasing spread, confidence in neural network predictions has become more and more important. However, basic neural networks do not deliver certainty estimates or suffer from over- or under-confidence, i.e. are badly calibrated. To overcome this, many researchers have been working on understanding and quantifying uncertainty in a neural network’s prediction. As a result, different types and sources of uncertainty have been identified and various approaches to measure and quantify uncertainty in neural networks have been proposed. This work gives a comprehensive overview of uncertainty estimation in neural networks, reviews recent advances in the field, highlights current challenges, and identifies potential research opportunities. It is intended to give anyone interested in uncertainty estimation in neural networks a broad overview and introduction, without presupposing prior knowledge in this field. For that, a comprehensive introduction to the most crucial sources of uncertainty is given and their separation into reducible model uncertainty and irreducible data uncertainty is presented. The modeling of these uncertainties based on deterministic neural networks, Bayesian neural networks (BNNs), ensemble of neural networks, and test-time data augmentation approaches is introduced and different branches of these fields as well as the latest developments are discussed. For a practical application, we discuss different measures of uncertainty, approaches for calibrating neural networks, and give an overview of existing baselines and available implementations. Different examples from the wide spectrum of challenges in the fields of medical image analysis, robotics, and earth observation give an idea of the needs and challenges regarding uncertainties in the practical applications of neural networks. Additionally, the practical limitations of uncertainty quantification methods in neural networks for mission- and safety-critical real world applications are discussed and an outlook on the next steps towards a broader usage of such methods is given.","container-title":"Artificial Intelligence Review","DOI":"10.1007/s10462-023-10562-9","ISSN":"1573-7462","issue":"1","journalAbbreviation":"Artif Intell Rev","language":"en","page":"1513-1589","source":"Springer Link","title":"A survey of uncertainty in deep neural networks","volume":"56","author":[{"family":"Gawlikowski","given":"Jakob"},{"family":"Tassi","given":"Cedrique Rovile Njieutcheu"},{"family":"Ali","given":"Mohsin"},{"family":"Lee","given":"Jongseok"},{"family":"Humt","given":"Matthias"},{"family":"Feng","given":"Jianxiang"},{"family":"Kruspe","given":"Anna"},{"family":"Triebel","given":"Rudolph"},{"family":"Jung","given":"Peter"},{"family":"Roscher","given":"Ribana"},{"family":"Shahzad","given":"Muhammad"},{"family":"Yang","given":"Wen"},{"family":"Bamler","given":"Richard"},{"family":"Zhu","given":"Xiao Xiang"}],"issued":{"date-parts":[["2023",10,1]]}}},{"id":1191,"uris":["http://zotero.org/users/14545145/items/92IFTS4K"],"itemData":{"id":1191,"type":"paper-conference","abstract":"Confidence calibration – the problem of predicting probability estimates representative of the true correctness likelihood – is important for classification models in many applications. We discover that modern neural networks, unlike those from a decade ago, are poorly calibrated. Through extensive experiments, we observe that depth, width, weight decay, and Batch Normalization are important factors influencing calibration. We evaluate the performance of various post-processing calibration methods on state-of-the-art architectures with image and document classification datasets. Our analysis and experiments not only offer insights into neural network learning, but also provide a simple and straightforward recipe for practical settings: on most datasets, temperature scaling – a single-parameter variant of Platt Scaling – is surprisingly effective at calibrating predictions.","container-title":"Proceedings of the 34th International Conference on Machine Learning","event-title":"International Conference on Machine Learning","language":"en","note":"ISSN: 2640-3498","page":"1321-1330","publisher":"PMLR","source":"proceedings.mlr.press","title":"On Calibration of Modern Neural Networks","URL":"https://proceedings.mlr.press/v70/guo17a.html","author":[{"family":"Guo","given":"Chuan"},{"family":"Pleiss","given":"Geoff"},{"family":"Sun","given":"Yu"},{"family":"Weinberger","given":"Kilian Q."}],"accessed":{"date-parts":[["2026",1,7]]},"issued":{"date-parts":[["2017",7,17]]}}},{"id":1235,"uris":["http://zotero.org/users/14545145/items/MRKDFJQZ"],"itemData":{"id":1235,"type":"paper-conference","container-title":"Advances in Neural Information Processing Systems","publisher":"Curran Associates, Inc.","source":"Neural Information Processing Systems","title":"Can you trust your model' s uncertainty? Evaluating predictive uncertainty under dataset shift","title-short":"Can you trust your model' s uncertainty?","URL":"https://proceedings.neurips.cc/paper/2019/hash/8558cb408c1d76621371888657d2eb1d-Abstract.html","volume":"32","author":[{"family":"Ovadia","given":"Yaniv"},{"family":"Fertig","given":"Emily"},{"family":"Ren","given":"Jie"},{"family":"Nado","given":"Zachary"},{"family":"Sculley","given":"D."},{"family":"Nowozin","given":"Sebastian"},{"family":"Dillon","given":"Joshua"},{"family":"Lakshminarayanan","given":"Balaji"},{"family":"Snoek","given":"Jasper"}],"accessed":{"date-parts":[["2026",1,8]]},"issued":{"date-parts":[["2019"]]}}}],"schema":"https://github.com/citation-style-language/schema/raw/master/csl-citation.json"} </w:instrText>
      </w:r>
      <w:r w:rsidR="001E5C9F">
        <w:rPr>
          <w:rFonts w:ascii="Times New Roman" w:hAnsi="Times New Roman" w:cs="Times New Roman"/>
        </w:rPr>
        <w:fldChar w:fldCharType="separate"/>
      </w:r>
      <w:r w:rsidR="00E1071B" w:rsidRPr="00E1071B">
        <w:rPr>
          <w:rFonts w:ascii="Times New Roman" w:hAnsi="Times New Roman" w:cs="Times New Roman"/>
          <w:kern w:val="0"/>
          <w:vertAlign w:val="superscript"/>
        </w:rPr>
        <w:t>40–44</w:t>
      </w:r>
      <w:r w:rsidR="001E5C9F">
        <w:rPr>
          <w:rFonts w:ascii="Times New Roman" w:hAnsi="Times New Roman" w:cs="Times New Roman"/>
        </w:rPr>
        <w:fldChar w:fldCharType="end"/>
      </w:r>
      <w:r w:rsidRPr="00904852">
        <w:rPr>
          <w:rFonts w:ascii="Times New Roman" w:hAnsi="Times New Roman" w:cs="Times New Roman"/>
        </w:rPr>
        <w:t>. The key principle is “do no harm”: do not apply a complex workflow to a case where the baseline is already robust and correct if the workflow introduces a nontrivial risk of iatrogenic reversal.</w:t>
      </w:r>
      <w:r w:rsidR="000552EE">
        <w:rPr>
          <w:rFonts w:ascii="Times New Roman" w:hAnsi="Times New Roman" w:cs="Times New Roman" w:hint="eastAsia"/>
        </w:rPr>
        <w:t xml:space="preserve"> 3. </w:t>
      </w:r>
      <w:r w:rsidRPr="00904852">
        <w:rPr>
          <w:rFonts w:ascii="Times New Roman" w:hAnsi="Times New Roman" w:cs="Times New Roman"/>
        </w:rPr>
        <w:t xml:space="preserve">Separate roles and diversify critics. Using the same model for Planner, Reasoner, and Critic may encourage correlated errors and confirmation bias. The broader LLM agent literature emphasizes role specialization and multi-agent compositions </w:t>
      </w:r>
      <w:r w:rsidR="00E1071B">
        <w:rPr>
          <w:rFonts w:ascii="Times New Roman" w:hAnsi="Times New Roman" w:cs="Times New Roman"/>
        </w:rPr>
        <w:fldChar w:fldCharType="begin"/>
      </w:r>
      <w:r w:rsidR="00E1071B">
        <w:rPr>
          <w:rFonts w:ascii="Times New Roman" w:hAnsi="Times New Roman" w:cs="Times New Roman"/>
        </w:rPr>
        <w:instrText xml:space="preserve"> ADDIN ZOTERO_ITEM CSL_CITATION {"citationID":"5JbfXJ3p","properties":{"formattedCitation":"\\super 23\\nosupersub{}","plainCitation":"23","noteIndex":0},"citationItems":[{"id":1174,"uris":["http://zotero.org/users/14545145/items/WBML9SM7"],"itemData":{"id":1174,"type":"article-journal","abstract":"Autonomous agents have long been a research focus in academic and industry communities. Previous research often focuses on training agents with limited knowledge within isolated environments, which diverges significantly from human learning processes, and makes the agents hard to achieve human-like decisions. Recently, through the acquisition of vast amounts of Web knowledge, large language models (LLMs) have shown potential in human-level intelligence, leading to a surge in research on LLM-based autonomous agents. In this paper, we present a comprehensive survey of these studies, delivering a systematic review of LLM-based autonomous agents from a holistic perspective. We first discuss the construction of LLM-based autonomous agents, proposing a unified framework that encompasses much of previous work. Then, we present a overview of the diverse applications of LLM-based autonomous agents in social science, natural science, and engineering. Finally, we delve into the evaluation strategies commonly used for LLM-based autonomous agents. Based on the previous studies, we also present several challenges and future directions in this field.","container-title":"Frontiers of Computer Science","DOI":"10.1007/s11704-024-40231-1","ISSN":"2095-2236","issue":"6","journalAbbreviation":"Front. Comput. Sci.","language":"en","page":"186345","source":"Springer Link","title":"A survey on large language model based autonomous agents","volume":"18","author":[{"family":"Wang","given":"Lei"},{"family":"Ma","given":"Chen"},{"family":"Feng","given":"Xueyang"},{"family":"Zhang","given":"Zeyu"},{"family":"Yang","given":"Hao"},{"family":"Zhang","given":"Jingsen"},{"family":"Chen","given":"Zhiyuan"},{"family":"Tang","given":"Jiakai"},{"family":"Chen","given":"Xu"},{"family":"Lin","given":"Yankai"},{"family":"Zhao","given":"Wayne Xin"},{"family":"Wei","given":"Zhewei"},{"family":"Wen","given":"Jirong"}],"issued":{"date-parts":[["2024",3,22]]}}}],"schema":"https://github.com/citation-style-language/schema/raw/master/csl-citation.json"} </w:instrText>
      </w:r>
      <w:r w:rsidR="00E1071B">
        <w:rPr>
          <w:rFonts w:ascii="Times New Roman" w:hAnsi="Times New Roman" w:cs="Times New Roman"/>
        </w:rPr>
        <w:fldChar w:fldCharType="separate"/>
      </w:r>
      <w:r w:rsidR="00E1071B" w:rsidRPr="00E1071B">
        <w:rPr>
          <w:rFonts w:ascii="Times New Roman" w:hAnsi="Times New Roman" w:cs="Times New Roman"/>
          <w:kern w:val="0"/>
          <w:vertAlign w:val="superscript"/>
        </w:rPr>
        <w:t>23</w:t>
      </w:r>
      <w:r w:rsidR="00E1071B">
        <w:rPr>
          <w:rFonts w:ascii="Times New Roman" w:hAnsi="Times New Roman" w:cs="Times New Roman"/>
        </w:rPr>
        <w:fldChar w:fldCharType="end"/>
      </w:r>
      <w:r w:rsidRPr="00904852">
        <w:rPr>
          <w:rFonts w:ascii="Times New Roman" w:hAnsi="Times New Roman" w:cs="Times New Roman"/>
        </w:rPr>
        <w:t>. In medical contexts, “critique” should ideally be performed by a genuinely independent verifier (a different model family, a tool-enabled checker, or a constrained rule-based validator), not a re-prompted instance of the same system that produced the initial rationale.</w:t>
      </w:r>
    </w:p>
    <w:p w14:paraId="2F30CAAD" w14:textId="28C9E740" w:rsidR="00904852" w:rsidRPr="00114A84" w:rsidRDefault="00904852" w:rsidP="00904852">
      <w:pPr>
        <w:jc w:val="both"/>
        <w:rPr>
          <w:rFonts w:ascii="Times New Roman" w:hAnsi="Times New Roman" w:cs="Times New Roman"/>
        </w:rPr>
      </w:pPr>
      <w:r w:rsidRPr="00904852">
        <w:rPr>
          <w:rFonts w:ascii="Times New Roman" w:hAnsi="Times New Roman" w:cs="Times New Roman"/>
        </w:rPr>
        <w:t xml:space="preserve">This study has limitations. The CMCA benchmark is a multiple-choice examination and cannot fully capture the interactive, multimodal, and context-rich nature of real clinical practice. The evaluation was conducted in Chinese, and language-specific tokenization and medical terminology may influence both performance and stability. Although the exam date reduces the likelihood of training-set leakage, it does not eliminate the possibility of post-exam contamination, which remains a known concern for large models trained on broad web corpora </w:t>
      </w:r>
      <w:r w:rsidR="00E1071B">
        <w:rPr>
          <w:rFonts w:ascii="Times New Roman" w:hAnsi="Times New Roman" w:cs="Times New Roman"/>
        </w:rPr>
        <w:fldChar w:fldCharType="begin"/>
      </w:r>
      <w:r w:rsidR="00E1071B">
        <w:rPr>
          <w:rFonts w:ascii="Times New Roman" w:hAnsi="Times New Roman" w:cs="Times New Roman"/>
        </w:rPr>
        <w:instrText xml:space="preserve"> ADDIN ZOTERO_ITEM CSL_CITATION {"citationID":"DOs41GjW","properties":{"formattedCitation":"\\super 45\\nosupersub{}","plainCitation":"45","noteIndex":0},"citationItems":[{"id":1184,"uris":["http://zotero.org/users/14545145/items/BZII7WEC"],"itemData":{"id":1184,"type":"article","abstract":"It has become common to publish large (billion parameter) language models that have been trained on private datasets. This paper demonstrates that in such settings, an adversary can perform a training data extraction attack to recover individual training examples by querying the language model. We demonstrate our attack on GPT-2, a language model trained on scrapes of the public Internet, and are able to extract hundreds of verbatim text sequences from the model's training data. These extracted examples include (public) personally identifiable information (names, phone numbers, and email addresses), IRC conversations, code, and 128-bit UUIDs. Our attack is possible even though each of the above sequences are included in just one document in the training data. We comprehensively evaluate our extraction attack to understand the factors that contribute to its success. Worryingly, we find that larger models are more vulnerable than smaller models. We conclude by drawing lessons and discussing possible safeguards for training large language models.","DOI":"10.48550/arXiv.2012.07805","note":"arXiv:2012.07805 [cs]\nversion: 2","number":"arXiv:2012.07805","publisher":"arXiv","source":"arXiv.org","title":"Extracting Training Data from Large Language Models","URL":"http://arxiv.org/abs/2012.07805","author":[{"family":"Carlini","given":"Nicholas"},{"family":"Tramer","given":"Florian"},{"family":"Wallace","given":"Eric"},{"family":"Jagielski","given":"Matthew"},{"family":"Herbert-Voss","given":"Ariel"},{"family":"Lee","given":"Katherine"},{"family":"Roberts","given":"Adam"},{"family":"Brown","given":"Tom"},{"family":"Song","given":"Dawn"},{"family":"Erlingsson","given":"Ulfar"},{"family":"Oprea","given":"Alina"},{"family":"Raffel","given":"Colin"}],"accessed":{"date-parts":[["2026",1,7]]},"issued":{"date-parts":[["2021",6,15]]}}}],"schema":"https://github.com/citation-style-language/schema/raw/master/csl-citation.json"} </w:instrText>
      </w:r>
      <w:r w:rsidR="00E1071B">
        <w:rPr>
          <w:rFonts w:ascii="Times New Roman" w:hAnsi="Times New Roman" w:cs="Times New Roman"/>
        </w:rPr>
        <w:fldChar w:fldCharType="separate"/>
      </w:r>
      <w:r w:rsidR="00E1071B" w:rsidRPr="00E1071B">
        <w:rPr>
          <w:rFonts w:ascii="Times New Roman" w:hAnsi="Times New Roman" w:cs="Times New Roman"/>
          <w:kern w:val="0"/>
          <w:vertAlign w:val="superscript"/>
        </w:rPr>
        <w:t>45</w:t>
      </w:r>
      <w:r w:rsidR="00E1071B">
        <w:rPr>
          <w:rFonts w:ascii="Times New Roman" w:hAnsi="Times New Roman" w:cs="Times New Roman"/>
        </w:rPr>
        <w:fldChar w:fldCharType="end"/>
      </w:r>
      <w:r w:rsidRPr="00904852">
        <w:rPr>
          <w:rFonts w:ascii="Times New Roman" w:hAnsi="Times New Roman" w:cs="Times New Roman"/>
        </w:rPr>
        <w:t>. Finally, our agentic workflow represents one design point (Planner–Reasoner–Critic, same underlying model, no external tools); alternative agentic designs and verification-augmented systems may shift the harm–benefit profile.</w:t>
      </w:r>
    </w:p>
    <w:p w14:paraId="7F9C35EE" w14:textId="4420767B" w:rsidR="00904852" w:rsidRPr="00904852" w:rsidRDefault="00904852" w:rsidP="00904852">
      <w:pPr>
        <w:jc w:val="both"/>
        <w:rPr>
          <w:rFonts w:ascii="Times New Roman" w:hAnsi="Times New Roman" w:cs="Times New Roman"/>
        </w:rPr>
      </w:pPr>
      <w:r w:rsidRPr="00904852">
        <w:rPr>
          <w:rFonts w:ascii="Times New Roman" w:hAnsi="Times New Roman" w:cs="Times New Roman"/>
        </w:rPr>
        <w:t xml:space="preserve">Future work should therefore test: </w:t>
      </w:r>
      <w:r w:rsidR="00114A84">
        <w:rPr>
          <w:rFonts w:ascii="Times New Roman" w:hAnsi="Times New Roman" w:cs="Times New Roman" w:hint="eastAsia"/>
        </w:rPr>
        <w:t>1.</w:t>
      </w:r>
      <w:r w:rsidRPr="00904852">
        <w:rPr>
          <w:rFonts w:ascii="Times New Roman" w:hAnsi="Times New Roman" w:cs="Times New Roman"/>
        </w:rPr>
        <w:t xml:space="preserve"> verification-augmented agents (retrieval/tool use with auditable checks); </w:t>
      </w:r>
      <w:r w:rsidR="00114A84">
        <w:rPr>
          <w:rFonts w:ascii="Times New Roman" w:hAnsi="Times New Roman" w:cs="Times New Roman" w:hint="eastAsia"/>
        </w:rPr>
        <w:t>2.</w:t>
      </w:r>
      <w:r w:rsidRPr="00904852">
        <w:rPr>
          <w:rFonts w:ascii="Times New Roman" w:hAnsi="Times New Roman" w:cs="Times New Roman"/>
        </w:rPr>
        <w:t xml:space="preserve"> uncertainty-aware gating policies that minimize iatrogenic flips; </w:t>
      </w:r>
      <w:r w:rsidR="00114A84">
        <w:rPr>
          <w:rFonts w:ascii="Times New Roman" w:hAnsi="Times New Roman" w:cs="Times New Roman" w:hint="eastAsia"/>
        </w:rPr>
        <w:t>3.</w:t>
      </w:r>
      <w:r w:rsidRPr="00904852">
        <w:rPr>
          <w:rFonts w:ascii="Times New Roman" w:hAnsi="Times New Roman" w:cs="Times New Roman"/>
        </w:rPr>
        <w:t xml:space="preserve"> protocol robustness across languages and clinical subdomains; and </w:t>
      </w:r>
      <w:r w:rsidR="00114A84">
        <w:rPr>
          <w:rFonts w:ascii="Times New Roman" w:hAnsi="Times New Roman" w:cs="Times New Roman" w:hint="eastAsia"/>
        </w:rPr>
        <w:t>4.</w:t>
      </w:r>
      <w:r w:rsidRPr="00904852">
        <w:rPr>
          <w:rFonts w:ascii="Times New Roman" w:hAnsi="Times New Roman" w:cs="Times New Roman"/>
        </w:rPr>
        <w:t xml:space="preserve"> prospective evaluations where clinician behavior and trust calibration are measured alongside correctness. In parallel, benchmarking practices should increasingly align with medical reporting standards and safety governance principles, including explicit documentation of model updates, evaluation variance, and failure modes </w:t>
      </w:r>
      <w:r w:rsidR="008C3627">
        <w:rPr>
          <w:rFonts w:ascii="Times New Roman" w:hAnsi="Times New Roman" w:cs="Times New Roman"/>
        </w:rPr>
        <w:fldChar w:fldCharType="begin"/>
      </w:r>
      <w:r w:rsidR="008C3627">
        <w:rPr>
          <w:rFonts w:ascii="Times New Roman" w:hAnsi="Times New Roman" w:cs="Times New Roman"/>
        </w:rPr>
        <w:instrText xml:space="preserve"> ADDIN ZOTERO_ITEM CSL_CITATION {"citationID":"cMHYNEUt","properties":{"formattedCitation":"\\super 46\\nosupersub{}","plainCitation":"46","noteIndex":0},"citationItems":[{"id":1237,"uris":["http://zotero.org/users/14545145/items/DCSNMZY4"],"itemData":{"id":1237,"type":"book","abstract":"See: https://www.who.int/publications/i/item/9789240029200: The WHO guidance on Ethics &amp; Governance of Artificial Intelligence for Health is the product of eighteen months of deliberation amongst leading experts in ethics, digital technology, law, human rights, as well as experts from Ministries of Health. While new technologies that use artificial intelligence hold great promise to improve diagnosis, treatment, health research and drug development and to support governments carrying out public health functions, including surveillance and outbreak response, such technologies, according to the report, must put ethics and human rights at the heart of its design, deployment, and use.The report identifies the ethical challenges and risks with the use of artificial intelligence of health, six consensus principles to ensure AI works to the public benefit of all countries. It also contains a set of recommendations that can ensure the governance of artificial intelligence for health maximizes the promise of the technology and holds all stakeholders – in the public and private sector – accountable and responsive to the healthcare workers who will rely on these technologies and the communities and individuals whose health will be affected by its use.","source":"ResearchGate","title":"ETHICS AND GOVERNANCE OF ARTIFICIAL INTELLIGENCE FOR HEALTH: WHO GUIDANCE","title-short":"ETHICS AND GOVERNANCE OF ARTIFICIAL INTELLIGENCE FOR HEALTH","author":[{"family":"Reis","given":"Andreas"},{"literal":"Alois"},{"family":"Malpani","given":"Rohit"},{"family":"Vayena","given":"Effy"},{"family":"Majumder","given":"Partha"},{"family":"Swaminathan","given":"Soumya"},{"family":"Pujari","given":"Sameer"},{"family":"Reeder","given":"John"},{"family":"Mariano","given":"Bernardo"},{"family":"Shorbachi","given":"Narjeeb"},{"family":"Ema","given":"Arisa"},{"family":"Ghoulia","given":"Amel"},{"family":"Gibson","given":"Jeniffer"},{"family":"Goodman","given":"Kenneth"},{"family":"hoven","given":"Jeroen","non-dropping-particle":"van den"},{"family":"Jayaram","given":"Malavika"},{"family":"Jjingo","given":"Daudi"},{"family":"Leong","given":"Yun"},{"family":"London","given":"Alex"},{"family":"Singh","given":"Jerome"}],"issued":{"date-parts":[["2021",6,28]]}}}],"schema":"https://github.com/citation-style-language/schema/raw/master/csl-citation.json"} </w:instrText>
      </w:r>
      <w:r w:rsidR="008C3627">
        <w:rPr>
          <w:rFonts w:ascii="Times New Roman" w:hAnsi="Times New Roman" w:cs="Times New Roman"/>
        </w:rPr>
        <w:fldChar w:fldCharType="separate"/>
      </w:r>
      <w:r w:rsidR="008C3627" w:rsidRPr="008C3627">
        <w:rPr>
          <w:rFonts w:ascii="Times New Roman" w:hAnsi="Times New Roman" w:cs="Times New Roman"/>
          <w:kern w:val="0"/>
          <w:vertAlign w:val="superscript"/>
        </w:rPr>
        <w:t>46</w:t>
      </w:r>
      <w:r w:rsidR="008C3627">
        <w:rPr>
          <w:rFonts w:ascii="Times New Roman" w:hAnsi="Times New Roman" w:cs="Times New Roman"/>
        </w:rPr>
        <w:fldChar w:fldCharType="end"/>
      </w:r>
      <w:r w:rsidRPr="00904852">
        <w:rPr>
          <w:rFonts w:ascii="Times New Roman" w:hAnsi="Times New Roman" w:cs="Times New Roman"/>
        </w:rPr>
        <w:t>.</w:t>
      </w:r>
    </w:p>
    <w:p w14:paraId="420DCA94" w14:textId="3B2C8BC6" w:rsidR="00904852" w:rsidRPr="00114A84" w:rsidRDefault="00904852" w:rsidP="00114A84">
      <w:pPr>
        <w:pStyle w:val="a9"/>
        <w:numPr>
          <w:ilvl w:val="0"/>
          <w:numId w:val="5"/>
        </w:numPr>
        <w:jc w:val="both"/>
        <w:rPr>
          <w:rFonts w:ascii="Times New Roman" w:hAnsi="Times New Roman" w:cs="Times New Roman"/>
          <w:b/>
          <w:bCs/>
          <w:sz w:val="28"/>
          <w:szCs w:val="32"/>
        </w:rPr>
      </w:pPr>
      <w:r w:rsidRPr="00114A84">
        <w:rPr>
          <w:rFonts w:ascii="Times New Roman" w:hAnsi="Times New Roman" w:cs="Times New Roman"/>
          <w:b/>
          <w:bCs/>
          <w:sz w:val="28"/>
          <w:szCs w:val="32"/>
        </w:rPr>
        <w:lastRenderedPageBreak/>
        <w:t>Conclusion</w:t>
      </w:r>
    </w:p>
    <w:p w14:paraId="26216257" w14:textId="2C39AB8F" w:rsidR="00904852" w:rsidRPr="00904852" w:rsidRDefault="00904852" w:rsidP="00904852">
      <w:pPr>
        <w:jc w:val="both"/>
        <w:rPr>
          <w:rFonts w:ascii="Times New Roman" w:hAnsi="Times New Roman" w:cs="Times New Roman"/>
        </w:rPr>
      </w:pPr>
      <w:r w:rsidRPr="00904852">
        <w:rPr>
          <w:rFonts w:ascii="Times New Roman" w:hAnsi="Times New Roman" w:cs="Times New Roman"/>
        </w:rPr>
        <w:t>In summary, our repeated-measures evaluation indicates that agentic workflows can impose a “reliability tax” in medical exam settings—decreasing accuracy, reducing self-consistency, and introducing iatrogenic errors that outweigh rescues. The persistence of nondeterminism at temperature = 0.0 implies that observed instability is a practical lower bound for deployment, and multi-step pipelines may amplify this variability. For clinical translation, the key message is not that reasoning is futile, but that deliberation without verification and safety accounting is insufficient. Medical LLM evaluation should therefore move beyond single-pass accuracy to incorporate repeated-measures reliability, explicit iatrogenic risk quantification, and reporting practices aligned with clinical AI governance.</w:t>
      </w:r>
    </w:p>
    <w:p w14:paraId="1706980A" w14:textId="77777777" w:rsidR="00A3262B" w:rsidRDefault="00A3262B" w:rsidP="008A10DE">
      <w:pPr>
        <w:jc w:val="both"/>
        <w:rPr>
          <w:rFonts w:ascii="Times New Roman" w:hAnsi="Times New Roman" w:cs="Times New Roman"/>
          <w:b/>
          <w:bCs/>
        </w:rPr>
      </w:pPr>
    </w:p>
    <w:p w14:paraId="20EB9BFD" w14:textId="747A6877" w:rsidR="00BD4F71" w:rsidRPr="00BD4F71" w:rsidRDefault="00BD4F71" w:rsidP="008A10DE">
      <w:pPr>
        <w:jc w:val="both"/>
        <w:rPr>
          <w:rFonts w:ascii="Times New Roman" w:hAnsi="Times New Roman" w:cs="Times New Roman"/>
          <w:b/>
          <w:bCs/>
        </w:rPr>
      </w:pPr>
      <w:r w:rsidRPr="00BD4F71">
        <w:rPr>
          <w:rFonts w:ascii="Times New Roman" w:hAnsi="Times New Roman" w:cs="Times New Roman"/>
          <w:b/>
          <w:bCs/>
        </w:rPr>
        <w:t>Generative AI use statement</w:t>
      </w:r>
    </w:p>
    <w:p w14:paraId="16AC7473" w14:textId="6570514B" w:rsidR="00BD4F71" w:rsidRDefault="00BD4F71" w:rsidP="008A10DE">
      <w:pPr>
        <w:jc w:val="both"/>
        <w:rPr>
          <w:rFonts w:ascii="Times New Roman" w:hAnsi="Times New Roman" w:cs="Times New Roman"/>
        </w:rPr>
      </w:pPr>
      <w:r w:rsidRPr="00BD4F71">
        <w:rPr>
          <w:rFonts w:ascii="Times New Roman" w:hAnsi="Times New Roman" w:cs="Times New Roman"/>
        </w:rPr>
        <w:t>The authors declare that no generative AI or AI-assisted technologies were used to write, revise, or language-edit this manuscript. Large language models were accessed via APIs solely as experimental systems to generate benchmark responses under the protocols described in the Methods. The authors take full responsibility for the content of this publication.</w:t>
      </w:r>
    </w:p>
    <w:p w14:paraId="20D5BAA5" w14:textId="182AC4F9" w:rsidR="00BD4F71" w:rsidRDefault="00BD4F71" w:rsidP="00DB2CD5">
      <w:pPr>
        <w:jc w:val="both"/>
        <w:rPr>
          <w:rFonts w:ascii="Times New Roman" w:hAnsi="Times New Roman" w:cs="Times New Roman"/>
          <w:b/>
          <w:bCs/>
        </w:rPr>
      </w:pPr>
      <w:r w:rsidRPr="00BD4F71">
        <w:rPr>
          <w:rFonts w:ascii="Times New Roman" w:hAnsi="Times New Roman" w:cs="Times New Roman"/>
          <w:b/>
          <w:bCs/>
        </w:rPr>
        <w:t>Author Contributions</w:t>
      </w:r>
    </w:p>
    <w:p w14:paraId="53790615" w14:textId="69AC659F" w:rsidR="00BD4F71" w:rsidRPr="00A3262B" w:rsidRDefault="00A3262B" w:rsidP="00DB2CD5">
      <w:pPr>
        <w:jc w:val="both"/>
        <w:rPr>
          <w:rFonts w:ascii="Times New Roman" w:hAnsi="Times New Roman" w:cs="Times New Roman"/>
        </w:rPr>
      </w:pPr>
      <w:r w:rsidRPr="00A3262B">
        <w:rPr>
          <w:rFonts w:ascii="Times New Roman" w:hAnsi="Times New Roman" w:cs="Times New Roman"/>
        </w:rPr>
        <w:t xml:space="preserve">Wanzhe Liao and Haopeng Hong: Conceptualization, Methodology, Software, Formal analysis, Visualization, Writing—original draft. Shuai Zuo, </w:t>
      </w:r>
      <w:proofErr w:type="spellStart"/>
      <w:r w:rsidRPr="00A3262B">
        <w:rPr>
          <w:rFonts w:ascii="Times New Roman" w:hAnsi="Times New Roman" w:cs="Times New Roman"/>
        </w:rPr>
        <w:t>Yongzhuo</w:t>
      </w:r>
      <w:proofErr w:type="spellEnd"/>
      <w:r w:rsidRPr="00A3262B">
        <w:rPr>
          <w:rFonts w:ascii="Times New Roman" w:hAnsi="Times New Roman" w:cs="Times New Roman"/>
        </w:rPr>
        <w:t xml:space="preserve"> Liu, </w:t>
      </w:r>
      <w:proofErr w:type="spellStart"/>
      <w:r w:rsidRPr="00A3262B">
        <w:rPr>
          <w:rFonts w:ascii="Times New Roman" w:hAnsi="Times New Roman" w:cs="Times New Roman"/>
        </w:rPr>
        <w:t>Jiaxu</w:t>
      </w:r>
      <w:proofErr w:type="spellEnd"/>
      <w:r w:rsidRPr="00A3262B">
        <w:rPr>
          <w:rFonts w:ascii="Times New Roman" w:hAnsi="Times New Roman" w:cs="Times New Roman"/>
        </w:rPr>
        <w:t xml:space="preserve"> Zhao, and </w:t>
      </w:r>
      <w:proofErr w:type="spellStart"/>
      <w:r w:rsidRPr="00A3262B">
        <w:rPr>
          <w:rFonts w:ascii="Times New Roman" w:hAnsi="Times New Roman" w:cs="Times New Roman"/>
        </w:rPr>
        <w:t>Shanwen</w:t>
      </w:r>
      <w:proofErr w:type="spellEnd"/>
      <w:r w:rsidRPr="00A3262B">
        <w:rPr>
          <w:rFonts w:ascii="Times New Roman" w:hAnsi="Times New Roman" w:cs="Times New Roman"/>
        </w:rPr>
        <w:t xml:space="preserve"> Chen: Investigation, Data curation, Validation, Writing—review &amp; editing. </w:t>
      </w:r>
      <w:proofErr w:type="spellStart"/>
      <w:r w:rsidRPr="00A3262B">
        <w:rPr>
          <w:rFonts w:ascii="Times New Roman" w:hAnsi="Times New Roman" w:cs="Times New Roman"/>
        </w:rPr>
        <w:t>Pengyuan</w:t>
      </w:r>
      <w:proofErr w:type="spellEnd"/>
      <w:r w:rsidRPr="00A3262B">
        <w:rPr>
          <w:rFonts w:ascii="Times New Roman" w:hAnsi="Times New Roman" w:cs="Times New Roman"/>
        </w:rPr>
        <w:t xml:space="preserve"> Wang: Conceptualization, Supervision, Project administration, Funding acquisition, Writing—review &amp; editing. Wanzhe Liao and Haopeng Hong contributed equally to this work. All authors read and </w:t>
      </w:r>
      <w:proofErr w:type="gramStart"/>
      <w:r w:rsidRPr="00A3262B">
        <w:rPr>
          <w:rFonts w:ascii="Times New Roman" w:hAnsi="Times New Roman" w:cs="Times New Roman"/>
        </w:rPr>
        <w:t>approved</w:t>
      </w:r>
      <w:proofErr w:type="gramEnd"/>
      <w:r w:rsidRPr="00A3262B">
        <w:rPr>
          <w:rFonts w:ascii="Times New Roman" w:hAnsi="Times New Roman" w:cs="Times New Roman"/>
        </w:rPr>
        <w:t xml:space="preserve"> the final manuscript.</w:t>
      </w:r>
    </w:p>
    <w:p w14:paraId="589093F9" w14:textId="162B93E7" w:rsidR="00DB2CD5" w:rsidRPr="003A305A" w:rsidRDefault="00DB2CD5" w:rsidP="00DB2CD5">
      <w:pPr>
        <w:jc w:val="both"/>
        <w:rPr>
          <w:rFonts w:ascii="Times New Roman" w:hAnsi="Times New Roman" w:cs="Times New Roman"/>
          <w:b/>
          <w:bCs/>
        </w:rPr>
      </w:pPr>
      <w:r w:rsidRPr="003A305A">
        <w:rPr>
          <w:rFonts w:ascii="Times New Roman" w:hAnsi="Times New Roman" w:cs="Times New Roman"/>
          <w:b/>
          <w:bCs/>
        </w:rPr>
        <w:t xml:space="preserve">Data </w:t>
      </w:r>
      <w:r>
        <w:rPr>
          <w:rFonts w:ascii="Times New Roman" w:hAnsi="Times New Roman" w:cs="Times New Roman" w:hint="eastAsia"/>
          <w:b/>
          <w:bCs/>
        </w:rPr>
        <w:t>Availability</w:t>
      </w:r>
    </w:p>
    <w:p w14:paraId="3D899DCF" w14:textId="4DCF90AC" w:rsidR="00DB2CD5" w:rsidRPr="00293361" w:rsidRDefault="006D3CA3" w:rsidP="00DB2CD5">
      <w:pPr>
        <w:jc w:val="both"/>
        <w:rPr>
          <w:rFonts w:ascii="Times New Roman" w:hAnsi="Times New Roman" w:cs="Times New Roman"/>
          <w:sz w:val="21"/>
          <w:szCs w:val="21"/>
        </w:rPr>
      </w:pPr>
      <w:r>
        <w:rPr>
          <w:rFonts w:ascii="Times New Roman" w:hAnsi="Times New Roman" w:cs="Times New Roman" w:hint="eastAsia"/>
          <w:sz w:val="21"/>
          <w:szCs w:val="21"/>
        </w:rPr>
        <w:t>Source</w:t>
      </w:r>
      <w:r w:rsidR="00DB2CD5">
        <w:rPr>
          <w:rFonts w:ascii="Times New Roman" w:hAnsi="Times New Roman" w:cs="Times New Roman" w:hint="eastAsia"/>
          <w:sz w:val="21"/>
          <w:szCs w:val="21"/>
        </w:rPr>
        <w:t xml:space="preserve"> codes </w:t>
      </w:r>
      <w:r>
        <w:rPr>
          <w:rFonts w:ascii="Times New Roman" w:hAnsi="Times New Roman" w:cs="Times New Roman" w:hint="eastAsia"/>
          <w:sz w:val="21"/>
          <w:szCs w:val="21"/>
        </w:rPr>
        <w:t>of</w:t>
      </w:r>
      <w:r w:rsidR="00DB2CD5" w:rsidRPr="00293361">
        <w:rPr>
          <w:rFonts w:ascii="Times New Roman" w:hAnsi="Times New Roman" w:cs="Times New Roman"/>
          <w:sz w:val="21"/>
          <w:szCs w:val="21"/>
        </w:rPr>
        <w:t xml:space="preserve"> the </w:t>
      </w:r>
      <w:r w:rsidR="00DB2CD5">
        <w:rPr>
          <w:rFonts w:ascii="Times New Roman" w:hAnsi="Times New Roman" w:cs="Times New Roman" w:hint="eastAsia"/>
          <w:sz w:val="21"/>
          <w:szCs w:val="21"/>
        </w:rPr>
        <w:t xml:space="preserve">study </w:t>
      </w:r>
      <w:r w:rsidR="00DB2CD5">
        <w:rPr>
          <w:rFonts w:ascii="Times New Roman" w:hAnsi="Times New Roman" w:cs="Times New Roman"/>
          <w:sz w:val="21"/>
          <w:szCs w:val="21"/>
        </w:rPr>
        <w:t>were</w:t>
      </w:r>
      <w:r w:rsidR="00DB2CD5">
        <w:rPr>
          <w:rFonts w:ascii="Times New Roman" w:hAnsi="Times New Roman" w:cs="Times New Roman" w:hint="eastAsia"/>
          <w:sz w:val="21"/>
          <w:szCs w:val="21"/>
        </w:rPr>
        <w:t xml:space="preserve"> </w:t>
      </w:r>
      <w:r w:rsidR="00DB2CD5">
        <w:rPr>
          <w:rFonts w:ascii="Times New Roman" w:hAnsi="Times New Roman" w:cs="Times New Roman"/>
          <w:sz w:val="21"/>
          <w:szCs w:val="21"/>
        </w:rPr>
        <w:t>available</w:t>
      </w:r>
      <w:r w:rsidR="00DB2CD5">
        <w:rPr>
          <w:rFonts w:ascii="Times New Roman" w:hAnsi="Times New Roman" w:cs="Times New Roman" w:hint="eastAsia"/>
          <w:sz w:val="21"/>
          <w:szCs w:val="21"/>
        </w:rPr>
        <w:t xml:space="preserve"> in</w:t>
      </w:r>
      <w:r>
        <w:rPr>
          <w:rFonts w:ascii="Times New Roman" w:hAnsi="Times New Roman" w:cs="Times New Roman" w:hint="eastAsia"/>
          <w:sz w:val="21"/>
          <w:szCs w:val="21"/>
        </w:rPr>
        <w:t xml:space="preserve"> h</w:t>
      </w:r>
      <w:r w:rsidRPr="006D3CA3">
        <w:rPr>
          <w:rFonts w:ascii="Times New Roman" w:hAnsi="Times New Roman" w:cs="Times New Roman" w:hint="eastAsia"/>
          <w:sz w:val="21"/>
          <w:szCs w:val="21"/>
        </w:rPr>
        <w:t>ttps://github.com/Wanzhe-Liao/LLM-Benchmarks-on-Clinical-Medicine-Examination</w:t>
      </w:r>
      <w:r w:rsidR="00DB2CD5">
        <w:rPr>
          <w:rFonts w:ascii="Times New Roman" w:hAnsi="Times New Roman" w:cs="Times New Roman" w:hint="eastAsia"/>
          <w:sz w:val="21"/>
          <w:szCs w:val="21"/>
        </w:rPr>
        <w:t xml:space="preserve">. Detailed information will be available upon request, please contact </w:t>
      </w:r>
      <w:r w:rsidRPr="006D3CA3">
        <w:rPr>
          <w:rFonts w:ascii="Times New Roman" w:hAnsi="Times New Roman" w:cs="Times New Roman"/>
          <w:sz w:val="21"/>
          <w:szCs w:val="21"/>
        </w:rPr>
        <w:t>pengyuan_wang@bjmu.edu.cn</w:t>
      </w:r>
      <w:r w:rsidR="00DB2CD5">
        <w:rPr>
          <w:rFonts w:ascii="Times New Roman" w:hAnsi="Times New Roman" w:cs="Times New Roman" w:hint="eastAsia"/>
          <w:sz w:val="21"/>
          <w:szCs w:val="21"/>
        </w:rPr>
        <w:t>.</w:t>
      </w:r>
    </w:p>
    <w:p w14:paraId="6377ECAF" w14:textId="77777777" w:rsidR="00DB2CD5" w:rsidRPr="003A305A" w:rsidRDefault="00DB2CD5" w:rsidP="00DB2CD5">
      <w:pPr>
        <w:jc w:val="both"/>
        <w:rPr>
          <w:rFonts w:ascii="Times New Roman" w:hAnsi="Times New Roman" w:cs="Times New Roman"/>
          <w:b/>
          <w:bCs/>
        </w:rPr>
      </w:pPr>
      <w:r w:rsidRPr="003A305A">
        <w:rPr>
          <w:rFonts w:ascii="Times New Roman" w:hAnsi="Times New Roman" w:cs="Times New Roman" w:hint="eastAsia"/>
          <w:b/>
          <w:bCs/>
        </w:rPr>
        <w:t>Eth</w:t>
      </w:r>
      <w:r w:rsidRPr="003A305A">
        <w:rPr>
          <w:rFonts w:ascii="Times New Roman" w:hAnsi="Times New Roman" w:cs="Times New Roman"/>
          <w:b/>
          <w:bCs/>
        </w:rPr>
        <w:t>ical approval</w:t>
      </w:r>
    </w:p>
    <w:p w14:paraId="0ABFD14A" w14:textId="57077A86" w:rsidR="00DB2CD5" w:rsidRPr="00293361" w:rsidRDefault="00DB2CD5" w:rsidP="00DB2CD5">
      <w:pPr>
        <w:jc w:val="both"/>
        <w:rPr>
          <w:rFonts w:ascii="Times New Roman" w:hAnsi="Times New Roman" w:cs="Times New Roman"/>
          <w:sz w:val="21"/>
          <w:szCs w:val="21"/>
        </w:rPr>
      </w:pPr>
      <w:r w:rsidRPr="00293361">
        <w:rPr>
          <w:rFonts w:ascii="Times New Roman" w:hAnsi="Times New Roman" w:cs="Times New Roman"/>
          <w:sz w:val="21"/>
          <w:szCs w:val="21"/>
        </w:rPr>
        <w:t xml:space="preserve">No ethics approval was needed </w:t>
      </w:r>
      <w:r>
        <w:rPr>
          <w:rFonts w:ascii="Times New Roman" w:hAnsi="Times New Roman" w:cs="Times New Roman" w:hint="eastAsia"/>
          <w:sz w:val="21"/>
          <w:szCs w:val="21"/>
        </w:rPr>
        <w:t xml:space="preserve">because </w:t>
      </w:r>
      <w:r>
        <w:rPr>
          <w:rFonts w:ascii="Times New Roman" w:hAnsi="Times New Roman" w:cs="Times New Roman" w:hint="eastAsia"/>
        </w:rPr>
        <w:t>t</w:t>
      </w:r>
      <w:r w:rsidRPr="00285421">
        <w:rPr>
          <w:rFonts w:ascii="Times New Roman" w:hAnsi="Times New Roman" w:cs="Times New Roman"/>
        </w:rPr>
        <w:t xml:space="preserve">he benchmark </w:t>
      </w:r>
      <w:r>
        <w:rPr>
          <w:rFonts w:ascii="Times New Roman" w:hAnsi="Times New Roman" w:cs="Times New Roman" w:hint="eastAsia"/>
        </w:rPr>
        <w:t xml:space="preserve">on CMCA </w:t>
      </w:r>
      <w:r w:rsidRPr="00285421">
        <w:rPr>
          <w:rFonts w:ascii="Times New Roman" w:hAnsi="Times New Roman" w:cs="Times New Roman"/>
        </w:rPr>
        <w:t>contains no patient-identifiable data</w:t>
      </w:r>
    </w:p>
    <w:p w14:paraId="7BCCC3F1" w14:textId="77777777" w:rsidR="00DB2CD5" w:rsidRPr="003A305A" w:rsidRDefault="00DB2CD5" w:rsidP="00DB2CD5">
      <w:pPr>
        <w:jc w:val="both"/>
        <w:rPr>
          <w:rFonts w:ascii="Times New Roman" w:hAnsi="Times New Roman" w:cs="Times New Roman"/>
          <w:b/>
          <w:bCs/>
        </w:rPr>
      </w:pPr>
      <w:r w:rsidRPr="003A305A">
        <w:rPr>
          <w:rFonts w:ascii="Times New Roman" w:hAnsi="Times New Roman" w:cs="Times New Roman"/>
          <w:b/>
          <w:bCs/>
        </w:rPr>
        <w:t>Declaration of Competing Interest</w:t>
      </w:r>
    </w:p>
    <w:p w14:paraId="7986005D" w14:textId="77777777" w:rsidR="00DB2CD5" w:rsidRPr="00293361" w:rsidRDefault="00DB2CD5" w:rsidP="00DB2CD5">
      <w:pPr>
        <w:jc w:val="both"/>
        <w:rPr>
          <w:rFonts w:ascii="Times New Roman" w:hAnsi="Times New Roman" w:cs="Times New Roman"/>
          <w:sz w:val="21"/>
          <w:szCs w:val="21"/>
        </w:rPr>
      </w:pPr>
      <w:r w:rsidRPr="00293361">
        <w:rPr>
          <w:rFonts w:ascii="Times New Roman" w:hAnsi="Times New Roman" w:cs="Times New Roman"/>
          <w:sz w:val="21"/>
          <w:szCs w:val="21"/>
        </w:rPr>
        <w:t>The authors declare no conflicts of interest.</w:t>
      </w:r>
    </w:p>
    <w:p w14:paraId="7FD90E72" w14:textId="77777777" w:rsidR="00DB2CD5" w:rsidRPr="003A305A" w:rsidRDefault="00DB2CD5" w:rsidP="00DB2CD5">
      <w:pPr>
        <w:jc w:val="both"/>
        <w:rPr>
          <w:rFonts w:ascii="Times New Roman" w:hAnsi="Times New Roman" w:cs="Times New Roman"/>
          <w:b/>
          <w:bCs/>
        </w:rPr>
      </w:pPr>
      <w:r w:rsidRPr="003A305A">
        <w:rPr>
          <w:rFonts w:ascii="Times New Roman" w:hAnsi="Times New Roman" w:cs="Times New Roman"/>
          <w:b/>
          <w:bCs/>
        </w:rPr>
        <w:lastRenderedPageBreak/>
        <w:t>Funding</w:t>
      </w:r>
    </w:p>
    <w:p w14:paraId="6A1D39B0" w14:textId="3D0BE521" w:rsidR="00DB2CD5" w:rsidRDefault="00BC30BA" w:rsidP="00BC30BA">
      <w:pPr>
        <w:jc w:val="both"/>
        <w:rPr>
          <w:rFonts w:ascii="Times New Roman" w:hAnsi="Times New Roman" w:cs="Times New Roman"/>
          <w:sz w:val="21"/>
          <w:szCs w:val="21"/>
        </w:rPr>
      </w:pPr>
      <w:r w:rsidRPr="00BC30BA">
        <w:rPr>
          <w:rFonts w:ascii="Times New Roman" w:hAnsi="Times New Roman" w:cs="Times New Roman" w:hint="eastAsia"/>
          <w:sz w:val="21"/>
          <w:szCs w:val="21"/>
        </w:rPr>
        <w:t>This study is funded by</w:t>
      </w:r>
      <w:r>
        <w:rPr>
          <w:rFonts w:ascii="Times New Roman" w:hAnsi="Times New Roman" w:cs="Times New Roman" w:hint="eastAsia"/>
          <w:sz w:val="21"/>
          <w:szCs w:val="21"/>
        </w:rPr>
        <w:t>:</w:t>
      </w:r>
      <w:r w:rsidRPr="00BC30BA">
        <w:rPr>
          <w:rFonts w:ascii="Times New Roman" w:hAnsi="Times New Roman" w:cs="Times New Roman" w:hint="eastAsia"/>
          <w:sz w:val="21"/>
          <w:szCs w:val="21"/>
        </w:rPr>
        <w:t xml:space="preserve"> 1. the National Natural Science Foundation of China (T2541067), 2. Joint Research Project of the Shijiazhuang-Peking University Cooperation Program; 3. Capital</w:t>
      </w:r>
      <w:r>
        <w:rPr>
          <w:rFonts w:ascii="Times New Roman" w:hAnsi="Times New Roman" w:cs="Times New Roman"/>
          <w:sz w:val="21"/>
          <w:szCs w:val="21"/>
        </w:rPr>
        <w:t>’</w:t>
      </w:r>
      <w:r w:rsidRPr="00BC30BA">
        <w:rPr>
          <w:rFonts w:ascii="Times New Roman" w:hAnsi="Times New Roman" w:cs="Times New Roman" w:hint="eastAsia"/>
          <w:sz w:val="21"/>
          <w:szCs w:val="21"/>
        </w:rPr>
        <w:t>s Funds for Health Improvement and Research (2024-4-40711); and 4. Beijing Natural Science Foundation (7262129); 5. Michigan Medicine-PKUHSC Joint Institute for Translational and Clinical Research; 6. National High-Level Hospital Clinical Research Funding (Youth Clinical Research Project of Peking University First Hospital</w:t>
      </w:r>
      <w:r>
        <w:rPr>
          <w:rFonts w:ascii="Times New Roman" w:hAnsi="Times New Roman" w:cs="Times New Roman" w:hint="eastAsia"/>
          <w:sz w:val="21"/>
          <w:szCs w:val="21"/>
        </w:rPr>
        <w:t xml:space="preserve">, </w:t>
      </w:r>
      <w:r w:rsidRPr="00BC30BA">
        <w:rPr>
          <w:rFonts w:ascii="Times New Roman" w:hAnsi="Times New Roman" w:cs="Times New Roman" w:hint="eastAsia"/>
          <w:sz w:val="21"/>
          <w:szCs w:val="21"/>
        </w:rPr>
        <w:t>2025YC07)</w:t>
      </w:r>
    </w:p>
    <w:p w14:paraId="35A3E122" w14:textId="77777777" w:rsidR="006D3CA3" w:rsidRDefault="006D3CA3" w:rsidP="00BC30BA">
      <w:pPr>
        <w:jc w:val="both"/>
        <w:rPr>
          <w:rFonts w:ascii="Times New Roman" w:hAnsi="Times New Roman" w:cs="Times New Roman"/>
          <w:b/>
          <w:bCs/>
          <w:sz w:val="28"/>
          <w:szCs w:val="28"/>
        </w:rPr>
      </w:pPr>
    </w:p>
    <w:p w14:paraId="280A2C2B" w14:textId="7060337B" w:rsidR="00BC30BA" w:rsidRPr="006D3CA3" w:rsidRDefault="006D3CA3" w:rsidP="00BC30BA">
      <w:pPr>
        <w:jc w:val="both"/>
        <w:rPr>
          <w:rFonts w:ascii="Times New Roman" w:hAnsi="Times New Roman" w:cs="Times New Roman"/>
          <w:b/>
          <w:bCs/>
          <w:sz w:val="28"/>
          <w:szCs w:val="28"/>
        </w:rPr>
      </w:pPr>
      <w:r w:rsidRPr="006D3CA3">
        <w:rPr>
          <w:rFonts w:ascii="Times New Roman" w:hAnsi="Times New Roman" w:cs="Times New Roman" w:hint="eastAsia"/>
          <w:b/>
          <w:bCs/>
          <w:sz w:val="28"/>
          <w:szCs w:val="28"/>
        </w:rPr>
        <w:t>References</w:t>
      </w:r>
    </w:p>
    <w:p w14:paraId="70839F36" w14:textId="77777777" w:rsidR="007943B3" w:rsidRPr="007943B3" w:rsidRDefault="006F05CD" w:rsidP="007943B3">
      <w:pPr>
        <w:pStyle w:val="af4"/>
        <w:rPr>
          <w:rFonts w:ascii="Times New Roman" w:hAnsi="Times New Roman" w:cs="Times New Roman"/>
        </w:rPr>
      </w:pPr>
      <w:r w:rsidRPr="00285421">
        <w:fldChar w:fldCharType="begin"/>
      </w:r>
      <w:r w:rsidR="007943B3">
        <w:rPr>
          <w:rFonts w:hint="eastAsia"/>
        </w:rPr>
        <w:instrText xml:space="preserve"> ADDIN ZOTERO_BIBL {"uncited":[],"omitted":[],"custom":[]} CSL_BIBLIOGRAPHY </w:instrText>
      </w:r>
      <w:r w:rsidRPr="00285421">
        <w:fldChar w:fldCharType="separate"/>
      </w:r>
      <w:r w:rsidR="007943B3" w:rsidRPr="007943B3">
        <w:rPr>
          <w:rFonts w:ascii="Times New Roman" w:hAnsi="Times New Roman" w:cs="Times New Roman"/>
        </w:rPr>
        <w:t>1.</w:t>
      </w:r>
      <w:r w:rsidR="007943B3" w:rsidRPr="007943B3">
        <w:rPr>
          <w:rFonts w:ascii="Times New Roman" w:hAnsi="Times New Roman" w:cs="Times New Roman"/>
        </w:rPr>
        <w:tab/>
        <w:t xml:space="preserve">Singhal, K. </w:t>
      </w:r>
      <w:r w:rsidR="007943B3" w:rsidRPr="007943B3">
        <w:rPr>
          <w:rFonts w:ascii="Times New Roman" w:hAnsi="Times New Roman" w:cs="Times New Roman"/>
          <w:i/>
          <w:iCs/>
        </w:rPr>
        <w:t>et al.</w:t>
      </w:r>
      <w:r w:rsidR="007943B3" w:rsidRPr="007943B3">
        <w:rPr>
          <w:rFonts w:ascii="Times New Roman" w:hAnsi="Times New Roman" w:cs="Times New Roman"/>
        </w:rPr>
        <w:t xml:space="preserve"> Large language models encode clinical knowledge. </w:t>
      </w:r>
      <w:r w:rsidR="007943B3" w:rsidRPr="007943B3">
        <w:rPr>
          <w:rFonts w:ascii="Times New Roman" w:hAnsi="Times New Roman" w:cs="Times New Roman"/>
          <w:i/>
          <w:iCs/>
        </w:rPr>
        <w:t>Nature</w:t>
      </w:r>
      <w:r w:rsidR="007943B3" w:rsidRPr="007943B3">
        <w:rPr>
          <w:rFonts w:ascii="Times New Roman" w:hAnsi="Times New Roman" w:cs="Times New Roman"/>
        </w:rPr>
        <w:t xml:space="preserve"> </w:t>
      </w:r>
      <w:r w:rsidR="007943B3" w:rsidRPr="007943B3">
        <w:rPr>
          <w:rFonts w:ascii="Times New Roman" w:hAnsi="Times New Roman" w:cs="Times New Roman"/>
          <w:b/>
          <w:bCs/>
        </w:rPr>
        <w:t>620</w:t>
      </w:r>
      <w:r w:rsidR="007943B3" w:rsidRPr="007943B3">
        <w:rPr>
          <w:rFonts w:ascii="Times New Roman" w:hAnsi="Times New Roman" w:cs="Times New Roman"/>
        </w:rPr>
        <w:t>, 172–180 (2023).</w:t>
      </w:r>
    </w:p>
    <w:p w14:paraId="047FBD27"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2.</w:t>
      </w:r>
      <w:r w:rsidRPr="007943B3">
        <w:rPr>
          <w:rFonts w:ascii="Times New Roman" w:hAnsi="Times New Roman" w:cs="Times New Roman"/>
        </w:rPr>
        <w:tab/>
        <w:t>Nori, H., King, N., McKinney, S. M., Carignan, D. &amp; Horvitz, E. Capabilities of GPT-4 on Medical Challenge Problems. Preprint at https://doi.org/10.48550/arXiv.2303.13375 (2023).</w:t>
      </w:r>
    </w:p>
    <w:p w14:paraId="33883DA3"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3.</w:t>
      </w:r>
      <w:r w:rsidRPr="007943B3">
        <w:rPr>
          <w:rFonts w:ascii="Times New Roman" w:hAnsi="Times New Roman" w:cs="Times New Roman"/>
        </w:rPr>
        <w:tab/>
        <w:t xml:space="preserve">Hüllermeier, E. &amp; Waegeman, W. Aleatoric and epistemic uncertainty in machine learning: an introduction to concepts and methods. </w:t>
      </w:r>
      <w:r w:rsidRPr="007943B3">
        <w:rPr>
          <w:rFonts w:ascii="Times New Roman" w:hAnsi="Times New Roman" w:cs="Times New Roman"/>
          <w:i/>
          <w:iCs/>
        </w:rPr>
        <w:t>Mach. Learn.</w:t>
      </w:r>
      <w:r w:rsidRPr="007943B3">
        <w:rPr>
          <w:rFonts w:ascii="Times New Roman" w:hAnsi="Times New Roman" w:cs="Times New Roman"/>
        </w:rPr>
        <w:t xml:space="preserve"> </w:t>
      </w:r>
      <w:r w:rsidRPr="007943B3">
        <w:rPr>
          <w:rFonts w:ascii="Times New Roman" w:hAnsi="Times New Roman" w:cs="Times New Roman"/>
          <w:b/>
          <w:bCs/>
        </w:rPr>
        <w:t>110</w:t>
      </w:r>
      <w:r w:rsidRPr="007943B3">
        <w:rPr>
          <w:rFonts w:ascii="Times New Roman" w:hAnsi="Times New Roman" w:cs="Times New Roman"/>
        </w:rPr>
        <w:t>, 457–506 (2021).</w:t>
      </w:r>
    </w:p>
    <w:p w14:paraId="0CB16019"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4.</w:t>
      </w:r>
      <w:r w:rsidRPr="007943B3">
        <w:rPr>
          <w:rFonts w:ascii="Times New Roman" w:hAnsi="Times New Roman" w:cs="Times New Roman"/>
        </w:rPr>
        <w:tab/>
        <w:t xml:space="preserve">Thirunavukarasu, A. J. </w:t>
      </w:r>
      <w:r w:rsidRPr="007943B3">
        <w:rPr>
          <w:rFonts w:ascii="Times New Roman" w:hAnsi="Times New Roman" w:cs="Times New Roman"/>
          <w:i/>
          <w:iCs/>
        </w:rPr>
        <w:t>et al.</w:t>
      </w:r>
      <w:r w:rsidRPr="007943B3">
        <w:rPr>
          <w:rFonts w:ascii="Times New Roman" w:hAnsi="Times New Roman" w:cs="Times New Roman"/>
        </w:rPr>
        <w:t xml:space="preserve"> Large language models in medicine. </w:t>
      </w:r>
      <w:r w:rsidRPr="007943B3">
        <w:rPr>
          <w:rFonts w:ascii="Times New Roman" w:hAnsi="Times New Roman" w:cs="Times New Roman"/>
          <w:i/>
          <w:iCs/>
        </w:rPr>
        <w:t>Nat. Med.</w:t>
      </w:r>
      <w:r w:rsidRPr="007943B3">
        <w:rPr>
          <w:rFonts w:ascii="Times New Roman" w:hAnsi="Times New Roman" w:cs="Times New Roman"/>
        </w:rPr>
        <w:t xml:space="preserve"> </w:t>
      </w:r>
      <w:r w:rsidRPr="007943B3">
        <w:rPr>
          <w:rFonts w:ascii="Times New Roman" w:hAnsi="Times New Roman" w:cs="Times New Roman"/>
          <w:b/>
          <w:bCs/>
        </w:rPr>
        <w:t>29</w:t>
      </w:r>
      <w:r w:rsidRPr="007943B3">
        <w:rPr>
          <w:rFonts w:ascii="Times New Roman" w:hAnsi="Times New Roman" w:cs="Times New Roman"/>
        </w:rPr>
        <w:t>, 1930–1940 (2023).</w:t>
      </w:r>
    </w:p>
    <w:p w14:paraId="0BC0564F"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5.</w:t>
      </w:r>
      <w:r w:rsidRPr="007943B3">
        <w:rPr>
          <w:rFonts w:ascii="Times New Roman" w:hAnsi="Times New Roman" w:cs="Times New Roman"/>
        </w:rPr>
        <w:tab/>
        <w:t xml:space="preserve">Jin, D. </w:t>
      </w:r>
      <w:r w:rsidRPr="007943B3">
        <w:rPr>
          <w:rFonts w:ascii="Times New Roman" w:hAnsi="Times New Roman" w:cs="Times New Roman"/>
          <w:i/>
          <w:iCs/>
        </w:rPr>
        <w:t>et al.</w:t>
      </w:r>
      <w:r w:rsidRPr="007943B3">
        <w:rPr>
          <w:rFonts w:ascii="Times New Roman" w:hAnsi="Times New Roman" w:cs="Times New Roman"/>
        </w:rPr>
        <w:t xml:space="preserve"> What Disease Does This Patient Have? A Large-Scale Open Domain Question Answering Dataset from Medical Exams. </w:t>
      </w:r>
      <w:r w:rsidRPr="007943B3">
        <w:rPr>
          <w:rFonts w:ascii="Times New Roman" w:hAnsi="Times New Roman" w:cs="Times New Roman"/>
          <w:i/>
          <w:iCs/>
        </w:rPr>
        <w:t>Appl. Sci.</w:t>
      </w:r>
      <w:r w:rsidRPr="007943B3">
        <w:rPr>
          <w:rFonts w:ascii="Times New Roman" w:hAnsi="Times New Roman" w:cs="Times New Roman"/>
        </w:rPr>
        <w:t xml:space="preserve"> </w:t>
      </w:r>
      <w:r w:rsidRPr="007943B3">
        <w:rPr>
          <w:rFonts w:ascii="Times New Roman" w:hAnsi="Times New Roman" w:cs="Times New Roman"/>
          <w:b/>
          <w:bCs/>
        </w:rPr>
        <w:t>11</w:t>
      </w:r>
      <w:r w:rsidRPr="007943B3">
        <w:rPr>
          <w:rFonts w:ascii="Times New Roman" w:hAnsi="Times New Roman" w:cs="Times New Roman"/>
        </w:rPr>
        <w:t>, 6421 (2021).</w:t>
      </w:r>
    </w:p>
    <w:p w14:paraId="6CBBC327"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6.</w:t>
      </w:r>
      <w:r w:rsidRPr="007943B3">
        <w:rPr>
          <w:rFonts w:ascii="Times New Roman" w:hAnsi="Times New Roman" w:cs="Times New Roman"/>
        </w:rPr>
        <w:tab/>
        <w:t xml:space="preserve">Liévin, V., Hother, C. E., Motzfeldt, A. G. &amp; Winther, O. Can large language models reason about medical questions? </w:t>
      </w:r>
      <w:r w:rsidRPr="007943B3">
        <w:rPr>
          <w:rFonts w:ascii="Times New Roman" w:hAnsi="Times New Roman" w:cs="Times New Roman"/>
          <w:i/>
          <w:iCs/>
        </w:rPr>
        <w:t>Patterns</w:t>
      </w:r>
      <w:r w:rsidRPr="007943B3">
        <w:rPr>
          <w:rFonts w:ascii="Times New Roman" w:hAnsi="Times New Roman" w:cs="Times New Roman"/>
        </w:rPr>
        <w:t xml:space="preserve"> </w:t>
      </w:r>
      <w:r w:rsidRPr="007943B3">
        <w:rPr>
          <w:rFonts w:ascii="Times New Roman" w:hAnsi="Times New Roman" w:cs="Times New Roman"/>
          <w:b/>
          <w:bCs/>
        </w:rPr>
        <w:t>5</w:t>
      </w:r>
      <w:r w:rsidRPr="007943B3">
        <w:rPr>
          <w:rFonts w:ascii="Times New Roman" w:hAnsi="Times New Roman" w:cs="Times New Roman"/>
        </w:rPr>
        <w:t>, (2024).</w:t>
      </w:r>
    </w:p>
    <w:p w14:paraId="7A3AA0AE"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7.</w:t>
      </w:r>
      <w:r w:rsidRPr="007943B3">
        <w:rPr>
          <w:rFonts w:ascii="Times New Roman" w:hAnsi="Times New Roman" w:cs="Times New Roman"/>
        </w:rPr>
        <w:tab/>
        <w:t xml:space="preserve">Lee, P., Bubeck, S. &amp; Petro, J. Benefits, Limits, and Risks of GPT-4 as an AI Chatbot for Medicine. </w:t>
      </w:r>
      <w:r w:rsidRPr="007943B3">
        <w:rPr>
          <w:rFonts w:ascii="Times New Roman" w:hAnsi="Times New Roman" w:cs="Times New Roman"/>
          <w:i/>
          <w:iCs/>
        </w:rPr>
        <w:t>N. Engl. J. Med.</w:t>
      </w:r>
      <w:r w:rsidRPr="007943B3">
        <w:rPr>
          <w:rFonts w:ascii="Times New Roman" w:hAnsi="Times New Roman" w:cs="Times New Roman"/>
        </w:rPr>
        <w:t xml:space="preserve"> </w:t>
      </w:r>
      <w:r w:rsidRPr="007943B3">
        <w:rPr>
          <w:rFonts w:ascii="Times New Roman" w:hAnsi="Times New Roman" w:cs="Times New Roman"/>
          <w:b/>
          <w:bCs/>
        </w:rPr>
        <w:t>388</w:t>
      </w:r>
      <w:r w:rsidRPr="007943B3">
        <w:rPr>
          <w:rFonts w:ascii="Times New Roman" w:hAnsi="Times New Roman" w:cs="Times New Roman"/>
        </w:rPr>
        <w:t>, 1233–1239 (2023).</w:t>
      </w:r>
    </w:p>
    <w:p w14:paraId="36333A9B"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8.</w:t>
      </w:r>
      <w:r w:rsidRPr="007943B3">
        <w:rPr>
          <w:rFonts w:ascii="Times New Roman" w:hAnsi="Times New Roman" w:cs="Times New Roman"/>
        </w:rPr>
        <w:tab/>
        <w:t xml:space="preserve">Rajpurkar, P., Chen, E., Banerjee, O. &amp; Topol, E. J. AI in health and medicine. </w:t>
      </w:r>
      <w:r w:rsidRPr="007943B3">
        <w:rPr>
          <w:rFonts w:ascii="Times New Roman" w:hAnsi="Times New Roman" w:cs="Times New Roman"/>
          <w:i/>
          <w:iCs/>
        </w:rPr>
        <w:t>Nat. Med.</w:t>
      </w:r>
      <w:r w:rsidRPr="007943B3">
        <w:rPr>
          <w:rFonts w:ascii="Times New Roman" w:hAnsi="Times New Roman" w:cs="Times New Roman"/>
        </w:rPr>
        <w:t xml:space="preserve"> </w:t>
      </w:r>
      <w:r w:rsidRPr="007943B3">
        <w:rPr>
          <w:rFonts w:ascii="Times New Roman" w:hAnsi="Times New Roman" w:cs="Times New Roman"/>
          <w:b/>
          <w:bCs/>
        </w:rPr>
        <w:t>28</w:t>
      </w:r>
      <w:r w:rsidRPr="007943B3">
        <w:rPr>
          <w:rFonts w:ascii="Times New Roman" w:hAnsi="Times New Roman" w:cs="Times New Roman"/>
        </w:rPr>
        <w:t>, 31–38 (2022).</w:t>
      </w:r>
    </w:p>
    <w:p w14:paraId="665C2ED6"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9.</w:t>
      </w:r>
      <w:r w:rsidRPr="007943B3">
        <w:rPr>
          <w:rFonts w:ascii="Times New Roman" w:hAnsi="Times New Roman" w:cs="Times New Roman"/>
        </w:rPr>
        <w:tab/>
        <w:t xml:space="preserve">Fleiss, J. L. Measuring nominal scale agreement among many raters. </w:t>
      </w:r>
      <w:r w:rsidRPr="007943B3">
        <w:rPr>
          <w:rFonts w:ascii="Times New Roman" w:hAnsi="Times New Roman" w:cs="Times New Roman"/>
          <w:i/>
          <w:iCs/>
        </w:rPr>
        <w:t>Psychol. Bull.</w:t>
      </w:r>
      <w:r w:rsidRPr="007943B3">
        <w:rPr>
          <w:rFonts w:ascii="Times New Roman" w:hAnsi="Times New Roman" w:cs="Times New Roman"/>
        </w:rPr>
        <w:t xml:space="preserve"> </w:t>
      </w:r>
      <w:r w:rsidRPr="007943B3">
        <w:rPr>
          <w:rFonts w:ascii="Times New Roman" w:hAnsi="Times New Roman" w:cs="Times New Roman"/>
          <w:b/>
          <w:bCs/>
        </w:rPr>
        <w:t>76</w:t>
      </w:r>
      <w:r w:rsidRPr="007943B3">
        <w:rPr>
          <w:rFonts w:ascii="Times New Roman" w:hAnsi="Times New Roman" w:cs="Times New Roman"/>
        </w:rPr>
        <w:t>, 378–382 (1971).</w:t>
      </w:r>
    </w:p>
    <w:p w14:paraId="797DC279"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10.</w:t>
      </w:r>
      <w:r w:rsidRPr="007943B3">
        <w:rPr>
          <w:rFonts w:ascii="Times New Roman" w:hAnsi="Times New Roman" w:cs="Times New Roman"/>
        </w:rPr>
        <w:tab/>
        <w:t xml:space="preserve">Demšar, J. Statistical Comparisons of Classifiers over Multiple Data Sets. </w:t>
      </w:r>
      <w:r w:rsidRPr="007943B3">
        <w:rPr>
          <w:rFonts w:ascii="Times New Roman" w:hAnsi="Times New Roman" w:cs="Times New Roman"/>
          <w:i/>
          <w:iCs/>
        </w:rPr>
        <w:t>J Mach Learn Res</w:t>
      </w:r>
      <w:r w:rsidRPr="007943B3">
        <w:rPr>
          <w:rFonts w:ascii="Times New Roman" w:hAnsi="Times New Roman" w:cs="Times New Roman"/>
        </w:rPr>
        <w:t xml:space="preserve"> </w:t>
      </w:r>
      <w:r w:rsidRPr="007943B3">
        <w:rPr>
          <w:rFonts w:ascii="Times New Roman" w:hAnsi="Times New Roman" w:cs="Times New Roman"/>
          <w:b/>
          <w:bCs/>
        </w:rPr>
        <w:t>7</w:t>
      </w:r>
      <w:r w:rsidRPr="007943B3">
        <w:rPr>
          <w:rFonts w:ascii="Times New Roman" w:hAnsi="Times New Roman" w:cs="Times New Roman"/>
        </w:rPr>
        <w:t>, 1–30 (2006).</w:t>
      </w:r>
    </w:p>
    <w:p w14:paraId="689A8A06"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11.</w:t>
      </w:r>
      <w:r w:rsidRPr="007943B3">
        <w:rPr>
          <w:rFonts w:ascii="Times New Roman" w:hAnsi="Times New Roman" w:cs="Times New Roman"/>
        </w:rPr>
        <w:tab/>
        <w:t xml:space="preserve">Yu, P. </w:t>
      </w:r>
      <w:r w:rsidRPr="007943B3">
        <w:rPr>
          <w:rFonts w:ascii="Times New Roman" w:hAnsi="Times New Roman" w:cs="Times New Roman"/>
          <w:i/>
          <w:iCs/>
        </w:rPr>
        <w:t>et al.</w:t>
      </w:r>
      <w:r w:rsidRPr="007943B3">
        <w:rPr>
          <w:rFonts w:ascii="Times New Roman" w:hAnsi="Times New Roman" w:cs="Times New Roman"/>
        </w:rPr>
        <w:t xml:space="preserve"> Performance of ChatGPT on the Chinese Postgraduate Examination for </w:t>
      </w:r>
      <w:r w:rsidRPr="007943B3">
        <w:rPr>
          <w:rFonts w:ascii="Times New Roman" w:hAnsi="Times New Roman" w:cs="Times New Roman"/>
        </w:rPr>
        <w:lastRenderedPageBreak/>
        <w:t xml:space="preserve">Clinical Medicine: Survey Study. </w:t>
      </w:r>
      <w:r w:rsidRPr="007943B3">
        <w:rPr>
          <w:rFonts w:ascii="Times New Roman" w:hAnsi="Times New Roman" w:cs="Times New Roman"/>
          <w:i/>
          <w:iCs/>
        </w:rPr>
        <w:t>JMIR Med. Educ.</w:t>
      </w:r>
      <w:r w:rsidRPr="007943B3">
        <w:rPr>
          <w:rFonts w:ascii="Times New Roman" w:hAnsi="Times New Roman" w:cs="Times New Roman"/>
        </w:rPr>
        <w:t xml:space="preserve"> </w:t>
      </w:r>
      <w:r w:rsidRPr="007943B3">
        <w:rPr>
          <w:rFonts w:ascii="Times New Roman" w:hAnsi="Times New Roman" w:cs="Times New Roman"/>
          <w:b/>
          <w:bCs/>
        </w:rPr>
        <w:t>10</w:t>
      </w:r>
      <w:r w:rsidRPr="007943B3">
        <w:rPr>
          <w:rFonts w:ascii="Times New Roman" w:hAnsi="Times New Roman" w:cs="Times New Roman"/>
        </w:rPr>
        <w:t>, e48514 (2024).</w:t>
      </w:r>
    </w:p>
    <w:p w14:paraId="0BAE01F1"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12.</w:t>
      </w:r>
      <w:r w:rsidRPr="007943B3">
        <w:rPr>
          <w:rFonts w:ascii="Times New Roman" w:hAnsi="Times New Roman" w:cs="Times New Roman"/>
        </w:rPr>
        <w:tab/>
        <w:t xml:space="preserve">Li, K.-C. </w:t>
      </w:r>
      <w:r w:rsidRPr="007943B3">
        <w:rPr>
          <w:rFonts w:ascii="Times New Roman" w:hAnsi="Times New Roman" w:cs="Times New Roman"/>
          <w:i/>
          <w:iCs/>
        </w:rPr>
        <w:t>et al.</w:t>
      </w:r>
      <w:r w:rsidRPr="007943B3">
        <w:rPr>
          <w:rFonts w:ascii="Times New Roman" w:hAnsi="Times New Roman" w:cs="Times New Roman"/>
        </w:rPr>
        <w:t xml:space="preserve"> Performance of ChatGPT on Chinese Master’s Degree Entrance Examination in Clinical Medicine. </w:t>
      </w:r>
      <w:r w:rsidRPr="007943B3">
        <w:rPr>
          <w:rFonts w:ascii="Times New Roman" w:hAnsi="Times New Roman" w:cs="Times New Roman"/>
          <w:i/>
          <w:iCs/>
        </w:rPr>
        <w:t>PLOS ONE</w:t>
      </w:r>
      <w:r w:rsidRPr="007943B3">
        <w:rPr>
          <w:rFonts w:ascii="Times New Roman" w:hAnsi="Times New Roman" w:cs="Times New Roman"/>
        </w:rPr>
        <w:t xml:space="preserve"> </w:t>
      </w:r>
      <w:r w:rsidRPr="007943B3">
        <w:rPr>
          <w:rFonts w:ascii="Times New Roman" w:hAnsi="Times New Roman" w:cs="Times New Roman"/>
          <w:b/>
          <w:bCs/>
        </w:rPr>
        <w:t>19</w:t>
      </w:r>
      <w:r w:rsidRPr="007943B3">
        <w:rPr>
          <w:rFonts w:ascii="Times New Roman" w:hAnsi="Times New Roman" w:cs="Times New Roman"/>
        </w:rPr>
        <w:t>, e0301702 (2024).</w:t>
      </w:r>
    </w:p>
    <w:p w14:paraId="2D8D3466"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13.</w:t>
      </w:r>
      <w:r w:rsidRPr="007943B3">
        <w:rPr>
          <w:rFonts w:ascii="Times New Roman" w:hAnsi="Times New Roman" w:cs="Times New Roman"/>
        </w:rPr>
        <w:tab/>
        <w:t xml:space="preserve">Kung, T. H. </w:t>
      </w:r>
      <w:r w:rsidRPr="007943B3">
        <w:rPr>
          <w:rFonts w:ascii="Times New Roman" w:hAnsi="Times New Roman" w:cs="Times New Roman"/>
          <w:i/>
          <w:iCs/>
        </w:rPr>
        <w:t>et al.</w:t>
      </w:r>
      <w:r w:rsidRPr="007943B3">
        <w:rPr>
          <w:rFonts w:ascii="Times New Roman" w:hAnsi="Times New Roman" w:cs="Times New Roman"/>
        </w:rPr>
        <w:t xml:space="preserve"> Performance of ChatGPT on USMLE: Potential for AI-assisted medical education using large language models. </w:t>
      </w:r>
      <w:r w:rsidRPr="007943B3">
        <w:rPr>
          <w:rFonts w:ascii="Times New Roman" w:hAnsi="Times New Roman" w:cs="Times New Roman"/>
          <w:i/>
          <w:iCs/>
        </w:rPr>
        <w:t>PLOS Digit. Health</w:t>
      </w:r>
      <w:r w:rsidRPr="007943B3">
        <w:rPr>
          <w:rFonts w:ascii="Times New Roman" w:hAnsi="Times New Roman" w:cs="Times New Roman"/>
        </w:rPr>
        <w:t xml:space="preserve"> </w:t>
      </w:r>
      <w:r w:rsidRPr="007943B3">
        <w:rPr>
          <w:rFonts w:ascii="Times New Roman" w:hAnsi="Times New Roman" w:cs="Times New Roman"/>
          <w:b/>
          <w:bCs/>
        </w:rPr>
        <w:t>2</w:t>
      </w:r>
      <w:r w:rsidRPr="007943B3">
        <w:rPr>
          <w:rFonts w:ascii="Times New Roman" w:hAnsi="Times New Roman" w:cs="Times New Roman"/>
        </w:rPr>
        <w:t>, e0000198 (2023).</w:t>
      </w:r>
    </w:p>
    <w:p w14:paraId="1D1FE939"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14.</w:t>
      </w:r>
      <w:r w:rsidRPr="007943B3">
        <w:rPr>
          <w:rFonts w:ascii="Times New Roman" w:hAnsi="Times New Roman" w:cs="Times New Roman"/>
        </w:rPr>
        <w:tab/>
        <w:t xml:space="preserve">Topol, E. J. High-performance medicine: the convergence of human and artificial intelligence. </w:t>
      </w:r>
      <w:r w:rsidRPr="007943B3">
        <w:rPr>
          <w:rFonts w:ascii="Times New Roman" w:hAnsi="Times New Roman" w:cs="Times New Roman"/>
          <w:i/>
          <w:iCs/>
        </w:rPr>
        <w:t>Nat. Med.</w:t>
      </w:r>
      <w:r w:rsidRPr="007943B3">
        <w:rPr>
          <w:rFonts w:ascii="Times New Roman" w:hAnsi="Times New Roman" w:cs="Times New Roman"/>
        </w:rPr>
        <w:t xml:space="preserve"> </w:t>
      </w:r>
      <w:r w:rsidRPr="007943B3">
        <w:rPr>
          <w:rFonts w:ascii="Times New Roman" w:hAnsi="Times New Roman" w:cs="Times New Roman"/>
          <w:b/>
          <w:bCs/>
        </w:rPr>
        <w:t>25</w:t>
      </w:r>
      <w:r w:rsidRPr="007943B3">
        <w:rPr>
          <w:rFonts w:ascii="Times New Roman" w:hAnsi="Times New Roman" w:cs="Times New Roman"/>
        </w:rPr>
        <w:t>, 44–56 (2019).</w:t>
      </w:r>
    </w:p>
    <w:p w14:paraId="6C430413"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15.</w:t>
      </w:r>
      <w:r w:rsidRPr="007943B3">
        <w:rPr>
          <w:rFonts w:ascii="Times New Roman" w:hAnsi="Times New Roman" w:cs="Times New Roman"/>
        </w:rPr>
        <w:tab/>
        <w:t xml:space="preserve">Parasuraman, R. &amp; Riley, V. Humans and Automation: Use, Misuse, Disuse, Abuse. </w:t>
      </w:r>
      <w:r w:rsidRPr="007943B3">
        <w:rPr>
          <w:rFonts w:ascii="Times New Roman" w:hAnsi="Times New Roman" w:cs="Times New Roman"/>
          <w:i/>
          <w:iCs/>
        </w:rPr>
        <w:t>Hum. Factors</w:t>
      </w:r>
      <w:r w:rsidRPr="007943B3">
        <w:rPr>
          <w:rFonts w:ascii="Times New Roman" w:hAnsi="Times New Roman" w:cs="Times New Roman"/>
        </w:rPr>
        <w:t xml:space="preserve"> </w:t>
      </w:r>
      <w:r w:rsidRPr="007943B3">
        <w:rPr>
          <w:rFonts w:ascii="Times New Roman" w:hAnsi="Times New Roman" w:cs="Times New Roman"/>
          <w:b/>
          <w:bCs/>
        </w:rPr>
        <w:t>39</w:t>
      </w:r>
      <w:r w:rsidRPr="007943B3">
        <w:rPr>
          <w:rFonts w:ascii="Times New Roman" w:hAnsi="Times New Roman" w:cs="Times New Roman"/>
        </w:rPr>
        <w:t>, 230–253 (1997).</w:t>
      </w:r>
    </w:p>
    <w:p w14:paraId="62003AF8"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16.</w:t>
      </w:r>
      <w:r w:rsidRPr="007943B3">
        <w:rPr>
          <w:rFonts w:ascii="Times New Roman" w:hAnsi="Times New Roman" w:cs="Times New Roman"/>
        </w:rPr>
        <w:tab/>
        <w:t xml:space="preserve">Lee, J. D. &amp; See, K. A. Trust in Automation: Designing for Appropriate Reliance. </w:t>
      </w:r>
      <w:r w:rsidRPr="007943B3">
        <w:rPr>
          <w:rFonts w:ascii="Times New Roman" w:hAnsi="Times New Roman" w:cs="Times New Roman"/>
          <w:i/>
          <w:iCs/>
        </w:rPr>
        <w:t>Hum. Factors</w:t>
      </w:r>
      <w:r w:rsidRPr="007943B3">
        <w:rPr>
          <w:rFonts w:ascii="Times New Roman" w:hAnsi="Times New Roman" w:cs="Times New Roman"/>
        </w:rPr>
        <w:t xml:space="preserve"> </w:t>
      </w:r>
      <w:r w:rsidRPr="007943B3">
        <w:rPr>
          <w:rFonts w:ascii="Times New Roman" w:hAnsi="Times New Roman" w:cs="Times New Roman"/>
          <w:b/>
          <w:bCs/>
        </w:rPr>
        <w:t>46</w:t>
      </w:r>
      <w:r w:rsidRPr="007943B3">
        <w:rPr>
          <w:rFonts w:ascii="Times New Roman" w:hAnsi="Times New Roman" w:cs="Times New Roman"/>
        </w:rPr>
        <w:t>, 50–80 (2004).</w:t>
      </w:r>
    </w:p>
    <w:p w14:paraId="3DE335DA"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17.</w:t>
      </w:r>
      <w:r w:rsidRPr="007943B3">
        <w:rPr>
          <w:rFonts w:ascii="Times New Roman" w:hAnsi="Times New Roman" w:cs="Times New Roman"/>
        </w:rPr>
        <w:tab/>
        <w:t xml:space="preserve">Benda, N. C., Novak, L. L., Reale, C. &amp; Ancker, J. S. Trust in AI: why we should be designing for APPROPRIATE reliance. </w:t>
      </w:r>
      <w:r w:rsidRPr="007943B3">
        <w:rPr>
          <w:rFonts w:ascii="Times New Roman" w:hAnsi="Times New Roman" w:cs="Times New Roman"/>
          <w:i/>
          <w:iCs/>
        </w:rPr>
        <w:t>J. Am. Med. Inform. Assoc.</w:t>
      </w:r>
      <w:r w:rsidRPr="007943B3">
        <w:rPr>
          <w:rFonts w:ascii="Times New Roman" w:hAnsi="Times New Roman" w:cs="Times New Roman"/>
        </w:rPr>
        <w:t xml:space="preserve"> </w:t>
      </w:r>
      <w:r w:rsidRPr="007943B3">
        <w:rPr>
          <w:rFonts w:ascii="Times New Roman" w:hAnsi="Times New Roman" w:cs="Times New Roman"/>
          <w:b/>
          <w:bCs/>
        </w:rPr>
        <w:t>29</w:t>
      </w:r>
      <w:r w:rsidRPr="007943B3">
        <w:rPr>
          <w:rFonts w:ascii="Times New Roman" w:hAnsi="Times New Roman" w:cs="Times New Roman"/>
        </w:rPr>
        <w:t>, 207–212 (2022).</w:t>
      </w:r>
    </w:p>
    <w:p w14:paraId="5095CC67"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18.</w:t>
      </w:r>
      <w:r w:rsidRPr="007943B3">
        <w:rPr>
          <w:rFonts w:ascii="Times New Roman" w:hAnsi="Times New Roman" w:cs="Times New Roman"/>
        </w:rPr>
        <w:tab/>
        <w:t xml:space="preserve">Ji, Z. </w:t>
      </w:r>
      <w:r w:rsidRPr="007943B3">
        <w:rPr>
          <w:rFonts w:ascii="Times New Roman" w:hAnsi="Times New Roman" w:cs="Times New Roman"/>
          <w:i/>
          <w:iCs/>
        </w:rPr>
        <w:t>et al.</w:t>
      </w:r>
      <w:r w:rsidRPr="007943B3">
        <w:rPr>
          <w:rFonts w:ascii="Times New Roman" w:hAnsi="Times New Roman" w:cs="Times New Roman"/>
        </w:rPr>
        <w:t xml:space="preserve"> Survey of Hallucination in Natural Language Generation. </w:t>
      </w:r>
      <w:r w:rsidRPr="007943B3">
        <w:rPr>
          <w:rFonts w:ascii="Times New Roman" w:hAnsi="Times New Roman" w:cs="Times New Roman"/>
          <w:i/>
          <w:iCs/>
        </w:rPr>
        <w:t>ACM Comput. Surv.</w:t>
      </w:r>
      <w:r w:rsidRPr="007943B3">
        <w:rPr>
          <w:rFonts w:ascii="Times New Roman" w:hAnsi="Times New Roman" w:cs="Times New Roman"/>
        </w:rPr>
        <w:t xml:space="preserve"> </w:t>
      </w:r>
      <w:r w:rsidRPr="007943B3">
        <w:rPr>
          <w:rFonts w:ascii="Times New Roman" w:hAnsi="Times New Roman" w:cs="Times New Roman"/>
          <w:b/>
          <w:bCs/>
        </w:rPr>
        <w:t>55</w:t>
      </w:r>
      <w:r w:rsidRPr="007943B3">
        <w:rPr>
          <w:rFonts w:ascii="Times New Roman" w:hAnsi="Times New Roman" w:cs="Times New Roman"/>
        </w:rPr>
        <w:t>, 1–38 (2023).</w:t>
      </w:r>
    </w:p>
    <w:p w14:paraId="1DCF6DF3"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19.</w:t>
      </w:r>
      <w:r w:rsidRPr="007943B3">
        <w:rPr>
          <w:rFonts w:ascii="Times New Roman" w:hAnsi="Times New Roman" w:cs="Times New Roman"/>
        </w:rPr>
        <w:tab/>
        <w:t xml:space="preserve">Manakul, P., Liusie, A. &amp; Gales, M. SelfCheckGPT: Zero-Resource Black-Box Hallucination Detection for Generative Large Language Models. in </w:t>
      </w:r>
      <w:r w:rsidRPr="007943B3">
        <w:rPr>
          <w:rFonts w:ascii="Times New Roman" w:hAnsi="Times New Roman" w:cs="Times New Roman"/>
          <w:i/>
          <w:iCs/>
        </w:rPr>
        <w:t>Proceedings of the 2023 Conference on Empirical Methods in Natural Language Processing</w:t>
      </w:r>
      <w:r w:rsidRPr="007943B3">
        <w:rPr>
          <w:rFonts w:ascii="Times New Roman" w:hAnsi="Times New Roman" w:cs="Times New Roman"/>
        </w:rPr>
        <w:t xml:space="preserve"> (eds Bouamor, H., Pino, J. &amp; Bali, K.) 9004–9017 (Association for Computational Linguistics, Singapore, 2023). doi:10.18653/v1/2023.emnlp-main.557.</w:t>
      </w:r>
    </w:p>
    <w:p w14:paraId="39B9D7A6"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20.</w:t>
      </w:r>
      <w:r w:rsidRPr="007943B3">
        <w:rPr>
          <w:rFonts w:ascii="Times New Roman" w:hAnsi="Times New Roman" w:cs="Times New Roman"/>
        </w:rPr>
        <w:tab/>
        <w:t xml:space="preserve">Lin, S., Hilton, J. &amp; Evans, O. TruthfulQA: Measuring How Models Mimic Human Falsehoods. in </w:t>
      </w:r>
      <w:r w:rsidRPr="007943B3">
        <w:rPr>
          <w:rFonts w:ascii="Times New Roman" w:hAnsi="Times New Roman" w:cs="Times New Roman"/>
          <w:i/>
          <w:iCs/>
        </w:rPr>
        <w:t>Proceedings of the 60th Annual Meeting of the Association for Computational Linguistics (Volume 1: Long Papers)</w:t>
      </w:r>
      <w:r w:rsidRPr="007943B3">
        <w:rPr>
          <w:rFonts w:ascii="Times New Roman" w:hAnsi="Times New Roman" w:cs="Times New Roman"/>
        </w:rPr>
        <w:t xml:space="preserve"> (eds Muresan, S., Nakov, P. &amp; Villavicencio, A.) 3214–3252 (Association for Computational Linguistics, Dublin, Ireland, 2022). doi:10.18653/v1/2022.acl-long.229.</w:t>
      </w:r>
    </w:p>
    <w:p w14:paraId="2992C303"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21.</w:t>
      </w:r>
      <w:r w:rsidRPr="007943B3">
        <w:rPr>
          <w:rFonts w:ascii="Times New Roman" w:hAnsi="Times New Roman" w:cs="Times New Roman"/>
        </w:rPr>
        <w:tab/>
        <w:t xml:space="preserve">Graber, M. L., Franklin, N. &amp; Gordon, R. Diagnostic Error in Internal Medicine. </w:t>
      </w:r>
      <w:r w:rsidRPr="007943B3">
        <w:rPr>
          <w:rFonts w:ascii="Times New Roman" w:hAnsi="Times New Roman" w:cs="Times New Roman"/>
          <w:i/>
          <w:iCs/>
        </w:rPr>
        <w:t>Arch. Intern. Med.</w:t>
      </w:r>
      <w:r w:rsidRPr="007943B3">
        <w:rPr>
          <w:rFonts w:ascii="Times New Roman" w:hAnsi="Times New Roman" w:cs="Times New Roman"/>
        </w:rPr>
        <w:t xml:space="preserve"> </w:t>
      </w:r>
      <w:r w:rsidRPr="007943B3">
        <w:rPr>
          <w:rFonts w:ascii="Times New Roman" w:hAnsi="Times New Roman" w:cs="Times New Roman"/>
          <w:b/>
          <w:bCs/>
        </w:rPr>
        <w:t>165</w:t>
      </w:r>
      <w:r w:rsidRPr="007943B3">
        <w:rPr>
          <w:rFonts w:ascii="Times New Roman" w:hAnsi="Times New Roman" w:cs="Times New Roman"/>
        </w:rPr>
        <w:t>, 1493–1499 (2005).</w:t>
      </w:r>
    </w:p>
    <w:p w14:paraId="7E501D68"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22.</w:t>
      </w:r>
      <w:r w:rsidRPr="007943B3">
        <w:rPr>
          <w:rFonts w:ascii="Times New Roman" w:hAnsi="Times New Roman" w:cs="Times New Roman"/>
        </w:rPr>
        <w:tab/>
        <w:t xml:space="preserve">Henderson, P. </w:t>
      </w:r>
      <w:r w:rsidRPr="007943B3">
        <w:rPr>
          <w:rFonts w:ascii="Times New Roman" w:hAnsi="Times New Roman" w:cs="Times New Roman"/>
          <w:i/>
          <w:iCs/>
        </w:rPr>
        <w:t>et al.</w:t>
      </w:r>
      <w:r w:rsidRPr="007943B3">
        <w:rPr>
          <w:rFonts w:ascii="Times New Roman" w:hAnsi="Times New Roman" w:cs="Times New Roman"/>
        </w:rPr>
        <w:t xml:space="preserve"> Deep reinforcement learning that matters. in </w:t>
      </w:r>
      <w:r w:rsidRPr="007943B3">
        <w:rPr>
          <w:rFonts w:ascii="Times New Roman" w:hAnsi="Times New Roman" w:cs="Times New Roman"/>
          <w:i/>
          <w:iCs/>
        </w:rPr>
        <w:t>Proceedings of the Thirty-Second AAAI Conference on Artificial Intelligence and Thirtieth Innovative Applications of Artificial Intelligence Conference and Eighth AAAI Symposium on Educational Advances in Artificial Intelligence</w:t>
      </w:r>
      <w:r w:rsidRPr="007943B3">
        <w:rPr>
          <w:rFonts w:ascii="Times New Roman" w:hAnsi="Times New Roman" w:cs="Times New Roman"/>
        </w:rPr>
        <w:t xml:space="preserve"> 3207–3214 (AAAI Press, New Orleans, Louisiana, USA, 2018).</w:t>
      </w:r>
    </w:p>
    <w:p w14:paraId="62851E62"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23.</w:t>
      </w:r>
      <w:r w:rsidRPr="007943B3">
        <w:rPr>
          <w:rFonts w:ascii="Times New Roman" w:hAnsi="Times New Roman" w:cs="Times New Roman"/>
        </w:rPr>
        <w:tab/>
        <w:t xml:space="preserve">Wang, L. </w:t>
      </w:r>
      <w:r w:rsidRPr="007943B3">
        <w:rPr>
          <w:rFonts w:ascii="Times New Roman" w:hAnsi="Times New Roman" w:cs="Times New Roman"/>
          <w:i/>
          <w:iCs/>
        </w:rPr>
        <w:t>et al.</w:t>
      </w:r>
      <w:r w:rsidRPr="007943B3">
        <w:rPr>
          <w:rFonts w:ascii="Times New Roman" w:hAnsi="Times New Roman" w:cs="Times New Roman"/>
        </w:rPr>
        <w:t xml:space="preserve"> A survey on large language model based autonomous agents. </w:t>
      </w:r>
      <w:r w:rsidRPr="007943B3">
        <w:rPr>
          <w:rFonts w:ascii="Times New Roman" w:hAnsi="Times New Roman" w:cs="Times New Roman"/>
          <w:i/>
          <w:iCs/>
        </w:rPr>
        <w:t xml:space="preserve">Front. </w:t>
      </w:r>
      <w:r w:rsidRPr="007943B3">
        <w:rPr>
          <w:rFonts w:ascii="Times New Roman" w:hAnsi="Times New Roman" w:cs="Times New Roman"/>
          <w:i/>
          <w:iCs/>
        </w:rPr>
        <w:lastRenderedPageBreak/>
        <w:t>Comput. Sci.</w:t>
      </w:r>
      <w:r w:rsidRPr="007943B3">
        <w:rPr>
          <w:rFonts w:ascii="Times New Roman" w:hAnsi="Times New Roman" w:cs="Times New Roman"/>
        </w:rPr>
        <w:t xml:space="preserve"> </w:t>
      </w:r>
      <w:r w:rsidRPr="007943B3">
        <w:rPr>
          <w:rFonts w:ascii="Times New Roman" w:hAnsi="Times New Roman" w:cs="Times New Roman"/>
          <w:b/>
          <w:bCs/>
        </w:rPr>
        <w:t>18</w:t>
      </w:r>
      <w:r w:rsidRPr="007943B3">
        <w:rPr>
          <w:rFonts w:ascii="Times New Roman" w:hAnsi="Times New Roman" w:cs="Times New Roman"/>
        </w:rPr>
        <w:t>, 186345 (2024).</w:t>
      </w:r>
    </w:p>
    <w:p w14:paraId="27EB7C54"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24.</w:t>
      </w:r>
      <w:r w:rsidRPr="007943B3">
        <w:rPr>
          <w:rFonts w:ascii="Times New Roman" w:hAnsi="Times New Roman" w:cs="Times New Roman"/>
        </w:rPr>
        <w:tab/>
        <w:t xml:space="preserve">Wei, J. </w:t>
      </w:r>
      <w:r w:rsidRPr="007943B3">
        <w:rPr>
          <w:rFonts w:ascii="Times New Roman" w:hAnsi="Times New Roman" w:cs="Times New Roman"/>
          <w:i/>
          <w:iCs/>
        </w:rPr>
        <w:t>et al.</w:t>
      </w:r>
      <w:r w:rsidRPr="007943B3">
        <w:rPr>
          <w:rFonts w:ascii="Times New Roman" w:hAnsi="Times New Roman" w:cs="Times New Roman"/>
        </w:rPr>
        <w:t xml:space="preserve"> Chain-of-Thought Prompting Elicits Reasoning in Large Language Models. </w:t>
      </w:r>
      <w:r w:rsidRPr="007943B3">
        <w:rPr>
          <w:rFonts w:ascii="Times New Roman" w:hAnsi="Times New Roman" w:cs="Times New Roman"/>
          <w:i/>
          <w:iCs/>
        </w:rPr>
        <w:t>Adv. Neural Inf. Process. Syst.</w:t>
      </w:r>
      <w:r w:rsidRPr="007943B3">
        <w:rPr>
          <w:rFonts w:ascii="Times New Roman" w:hAnsi="Times New Roman" w:cs="Times New Roman"/>
        </w:rPr>
        <w:t xml:space="preserve"> </w:t>
      </w:r>
      <w:r w:rsidRPr="007943B3">
        <w:rPr>
          <w:rFonts w:ascii="Times New Roman" w:hAnsi="Times New Roman" w:cs="Times New Roman"/>
          <w:b/>
          <w:bCs/>
        </w:rPr>
        <w:t>35</w:t>
      </w:r>
      <w:r w:rsidRPr="007943B3">
        <w:rPr>
          <w:rFonts w:ascii="Times New Roman" w:hAnsi="Times New Roman" w:cs="Times New Roman"/>
        </w:rPr>
        <w:t>, 24824–24837 (2022).</w:t>
      </w:r>
    </w:p>
    <w:p w14:paraId="100D7D7B"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25.</w:t>
      </w:r>
      <w:r w:rsidRPr="007943B3">
        <w:rPr>
          <w:rFonts w:ascii="Times New Roman" w:hAnsi="Times New Roman" w:cs="Times New Roman"/>
        </w:rPr>
        <w:tab/>
        <w:t xml:space="preserve">Yao, S. </w:t>
      </w:r>
      <w:r w:rsidRPr="007943B3">
        <w:rPr>
          <w:rFonts w:ascii="Times New Roman" w:hAnsi="Times New Roman" w:cs="Times New Roman"/>
          <w:i/>
          <w:iCs/>
        </w:rPr>
        <w:t>et al.</w:t>
      </w:r>
      <w:r w:rsidRPr="007943B3">
        <w:rPr>
          <w:rFonts w:ascii="Times New Roman" w:hAnsi="Times New Roman" w:cs="Times New Roman"/>
        </w:rPr>
        <w:t xml:space="preserve"> ReAct: Synergizing Reasoning and Acting in Language Models. Preprint at https://doi.org/10.48550/arXiv.2210.03629 (2023).</w:t>
      </w:r>
    </w:p>
    <w:p w14:paraId="70939ECA"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26.</w:t>
      </w:r>
      <w:r w:rsidRPr="007943B3">
        <w:rPr>
          <w:rFonts w:ascii="Times New Roman" w:hAnsi="Times New Roman" w:cs="Times New Roman"/>
        </w:rPr>
        <w:tab/>
        <w:t xml:space="preserve">Fedus, W., Zoph, B. &amp; Shazeer, N. Switch transformers: scaling to trillion parameter models with simple and efficient sparsity. </w:t>
      </w:r>
      <w:r w:rsidRPr="007943B3">
        <w:rPr>
          <w:rFonts w:ascii="Times New Roman" w:hAnsi="Times New Roman" w:cs="Times New Roman"/>
          <w:i/>
          <w:iCs/>
        </w:rPr>
        <w:t>J Mach Learn Res</w:t>
      </w:r>
      <w:r w:rsidRPr="007943B3">
        <w:rPr>
          <w:rFonts w:ascii="Times New Roman" w:hAnsi="Times New Roman" w:cs="Times New Roman"/>
        </w:rPr>
        <w:t xml:space="preserve"> </w:t>
      </w:r>
      <w:r w:rsidRPr="007943B3">
        <w:rPr>
          <w:rFonts w:ascii="Times New Roman" w:hAnsi="Times New Roman" w:cs="Times New Roman"/>
          <w:b/>
          <w:bCs/>
        </w:rPr>
        <w:t>23</w:t>
      </w:r>
      <w:r w:rsidRPr="007943B3">
        <w:rPr>
          <w:rFonts w:ascii="Times New Roman" w:hAnsi="Times New Roman" w:cs="Times New Roman"/>
        </w:rPr>
        <w:t>, 120:5232-120:5270 (2022).</w:t>
      </w:r>
    </w:p>
    <w:p w14:paraId="6A3F93AE"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27.</w:t>
      </w:r>
      <w:r w:rsidRPr="007943B3">
        <w:rPr>
          <w:rFonts w:ascii="Times New Roman" w:hAnsi="Times New Roman" w:cs="Times New Roman"/>
        </w:rPr>
        <w:tab/>
        <w:t xml:space="preserve">Guu, K., Lee, K., Tung, Z., Pasupat, P. &amp; Chang, M.-W. REALM: retrieval-augmented language model pre-training. in </w:t>
      </w:r>
      <w:r w:rsidRPr="007943B3">
        <w:rPr>
          <w:rFonts w:ascii="Times New Roman" w:hAnsi="Times New Roman" w:cs="Times New Roman"/>
          <w:i/>
          <w:iCs/>
        </w:rPr>
        <w:t>Proceedings of the 37th International Conference on Machine Learning</w:t>
      </w:r>
      <w:r w:rsidRPr="007943B3">
        <w:rPr>
          <w:rFonts w:ascii="Times New Roman" w:hAnsi="Times New Roman" w:cs="Times New Roman"/>
        </w:rPr>
        <w:t xml:space="preserve"> vol. 119 3929–3938 (JMLR.org, 2020).</w:t>
      </w:r>
    </w:p>
    <w:p w14:paraId="2411746C"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28.</w:t>
      </w:r>
      <w:r w:rsidRPr="007943B3">
        <w:rPr>
          <w:rFonts w:ascii="Times New Roman" w:hAnsi="Times New Roman" w:cs="Times New Roman"/>
        </w:rPr>
        <w:tab/>
        <w:t xml:space="preserve">Lewis, P. </w:t>
      </w:r>
      <w:r w:rsidRPr="007943B3">
        <w:rPr>
          <w:rFonts w:ascii="Times New Roman" w:hAnsi="Times New Roman" w:cs="Times New Roman"/>
          <w:i/>
          <w:iCs/>
        </w:rPr>
        <w:t>et al.</w:t>
      </w:r>
      <w:r w:rsidRPr="007943B3">
        <w:rPr>
          <w:rFonts w:ascii="Times New Roman" w:hAnsi="Times New Roman" w:cs="Times New Roman"/>
        </w:rPr>
        <w:t xml:space="preserve"> Retrieval-Augmented Generation for Knowledge-Intensive NLP Tasks. in </w:t>
      </w:r>
      <w:r w:rsidRPr="007943B3">
        <w:rPr>
          <w:rFonts w:ascii="Times New Roman" w:hAnsi="Times New Roman" w:cs="Times New Roman"/>
          <w:i/>
          <w:iCs/>
        </w:rPr>
        <w:t>Advances in Neural Information Processing Systems</w:t>
      </w:r>
      <w:r w:rsidRPr="007943B3">
        <w:rPr>
          <w:rFonts w:ascii="Times New Roman" w:hAnsi="Times New Roman" w:cs="Times New Roman"/>
        </w:rPr>
        <w:t xml:space="preserve"> vol. 33 9459–9474 (Curran Associates, Inc., 2020).</w:t>
      </w:r>
    </w:p>
    <w:p w14:paraId="4CAC1086"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29.</w:t>
      </w:r>
      <w:r w:rsidRPr="007943B3">
        <w:rPr>
          <w:rFonts w:ascii="Times New Roman" w:hAnsi="Times New Roman" w:cs="Times New Roman"/>
        </w:rPr>
        <w:tab/>
        <w:t xml:space="preserve">Croskerry, P. The Importance of Cognitive Errors in Diagnosis and Strategies to Minimize Them. </w:t>
      </w:r>
      <w:r w:rsidRPr="007943B3">
        <w:rPr>
          <w:rFonts w:ascii="Times New Roman" w:hAnsi="Times New Roman" w:cs="Times New Roman"/>
          <w:i/>
          <w:iCs/>
        </w:rPr>
        <w:t>Acad. Med.</w:t>
      </w:r>
      <w:r w:rsidRPr="007943B3">
        <w:rPr>
          <w:rFonts w:ascii="Times New Roman" w:hAnsi="Times New Roman" w:cs="Times New Roman"/>
        </w:rPr>
        <w:t xml:space="preserve"> </w:t>
      </w:r>
      <w:r w:rsidRPr="007943B3">
        <w:rPr>
          <w:rFonts w:ascii="Times New Roman" w:hAnsi="Times New Roman" w:cs="Times New Roman"/>
          <w:b/>
          <w:bCs/>
        </w:rPr>
        <w:t>78</w:t>
      </w:r>
      <w:r w:rsidRPr="007943B3">
        <w:rPr>
          <w:rFonts w:ascii="Times New Roman" w:hAnsi="Times New Roman" w:cs="Times New Roman"/>
        </w:rPr>
        <w:t>, 775 (2003).</w:t>
      </w:r>
    </w:p>
    <w:p w14:paraId="0002D4DA"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30.</w:t>
      </w:r>
      <w:r w:rsidRPr="007943B3">
        <w:rPr>
          <w:rFonts w:ascii="Times New Roman" w:hAnsi="Times New Roman" w:cs="Times New Roman"/>
        </w:rPr>
        <w:tab/>
        <w:t xml:space="preserve">Bommasani, R., Liang, P. &amp; Lee, T. Holistic Evaluation of Language Models. </w:t>
      </w:r>
      <w:r w:rsidRPr="007943B3">
        <w:rPr>
          <w:rFonts w:ascii="Times New Roman" w:hAnsi="Times New Roman" w:cs="Times New Roman"/>
          <w:i/>
          <w:iCs/>
        </w:rPr>
        <w:t>Ann. N. Y. Acad. Sci.</w:t>
      </w:r>
      <w:r w:rsidRPr="007943B3">
        <w:rPr>
          <w:rFonts w:ascii="Times New Roman" w:hAnsi="Times New Roman" w:cs="Times New Roman"/>
        </w:rPr>
        <w:t xml:space="preserve"> </w:t>
      </w:r>
      <w:r w:rsidRPr="007943B3">
        <w:rPr>
          <w:rFonts w:ascii="Times New Roman" w:hAnsi="Times New Roman" w:cs="Times New Roman"/>
          <w:b/>
          <w:bCs/>
        </w:rPr>
        <w:t>1525</w:t>
      </w:r>
      <w:r w:rsidRPr="007943B3">
        <w:rPr>
          <w:rFonts w:ascii="Times New Roman" w:hAnsi="Times New Roman" w:cs="Times New Roman"/>
        </w:rPr>
        <w:t>, 140–146 (2023).</w:t>
      </w:r>
    </w:p>
    <w:p w14:paraId="07AC5F74"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31.</w:t>
      </w:r>
      <w:r w:rsidRPr="007943B3">
        <w:rPr>
          <w:rFonts w:ascii="Times New Roman" w:hAnsi="Times New Roman" w:cs="Times New Roman"/>
        </w:rPr>
        <w:tab/>
        <w:t xml:space="preserve">Li, H. </w:t>
      </w:r>
      <w:r w:rsidRPr="007943B3">
        <w:rPr>
          <w:rFonts w:ascii="Times New Roman" w:hAnsi="Times New Roman" w:cs="Times New Roman"/>
          <w:i/>
          <w:iCs/>
        </w:rPr>
        <w:t>et al.</w:t>
      </w:r>
      <w:r w:rsidRPr="007943B3">
        <w:rPr>
          <w:rFonts w:ascii="Times New Roman" w:hAnsi="Times New Roman" w:cs="Times New Roman"/>
        </w:rPr>
        <w:t xml:space="preserve"> CMMLU: Measuring massive multitask language understanding in Chinese. in </w:t>
      </w:r>
      <w:r w:rsidRPr="007943B3">
        <w:rPr>
          <w:rFonts w:ascii="Times New Roman" w:hAnsi="Times New Roman" w:cs="Times New Roman"/>
          <w:i/>
          <w:iCs/>
        </w:rPr>
        <w:t>Findings of the Association for Computational Linguistics: ACL 2024</w:t>
      </w:r>
      <w:r w:rsidRPr="007943B3">
        <w:rPr>
          <w:rFonts w:ascii="Times New Roman" w:hAnsi="Times New Roman" w:cs="Times New Roman"/>
        </w:rPr>
        <w:t xml:space="preserve"> (eds Ku, L.-W., Martins, A. &amp; Srikumar, V.) 11260–11285 (Association for Computational Linguistics, Bangkok, Thailand, 2024). doi:10.18653/v1/2024.findings-acl.671.</w:t>
      </w:r>
    </w:p>
    <w:p w14:paraId="7AD697B7"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32.</w:t>
      </w:r>
      <w:r w:rsidRPr="007943B3">
        <w:rPr>
          <w:rFonts w:ascii="Times New Roman" w:hAnsi="Times New Roman" w:cs="Times New Roman"/>
        </w:rPr>
        <w:tab/>
        <w:t xml:space="preserve">Liu, X. </w:t>
      </w:r>
      <w:r w:rsidRPr="007943B3">
        <w:rPr>
          <w:rFonts w:ascii="Times New Roman" w:hAnsi="Times New Roman" w:cs="Times New Roman"/>
          <w:i/>
          <w:iCs/>
        </w:rPr>
        <w:t>et al.</w:t>
      </w:r>
      <w:r w:rsidRPr="007943B3">
        <w:rPr>
          <w:rFonts w:ascii="Times New Roman" w:hAnsi="Times New Roman" w:cs="Times New Roman"/>
        </w:rPr>
        <w:t xml:space="preserve"> Reporting guidelines for clinical trial reports for interventions involving artificial intelligence: the CONSORT-AI extension. </w:t>
      </w:r>
      <w:r w:rsidRPr="007943B3">
        <w:rPr>
          <w:rFonts w:ascii="Times New Roman" w:hAnsi="Times New Roman" w:cs="Times New Roman"/>
          <w:i/>
          <w:iCs/>
        </w:rPr>
        <w:t>Lancet Digit. Health</w:t>
      </w:r>
      <w:r w:rsidRPr="007943B3">
        <w:rPr>
          <w:rFonts w:ascii="Times New Roman" w:hAnsi="Times New Roman" w:cs="Times New Roman"/>
        </w:rPr>
        <w:t xml:space="preserve"> </w:t>
      </w:r>
      <w:r w:rsidRPr="007943B3">
        <w:rPr>
          <w:rFonts w:ascii="Times New Roman" w:hAnsi="Times New Roman" w:cs="Times New Roman"/>
          <w:b/>
          <w:bCs/>
        </w:rPr>
        <w:t>2</w:t>
      </w:r>
      <w:r w:rsidRPr="007943B3">
        <w:rPr>
          <w:rFonts w:ascii="Times New Roman" w:hAnsi="Times New Roman" w:cs="Times New Roman"/>
        </w:rPr>
        <w:t>, e537–e548 (2020).</w:t>
      </w:r>
    </w:p>
    <w:p w14:paraId="15874675"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33.</w:t>
      </w:r>
      <w:r w:rsidRPr="007943B3">
        <w:rPr>
          <w:rFonts w:ascii="Times New Roman" w:hAnsi="Times New Roman" w:cs="Times New Roman"/>
        </w:rPr>
        <w:tab/>
        <w:t>Rivera, S. C., Liu, X., Chan, A.-W., Denniston, A. K. &amp; Calvert, M. J. Guidelines for clinical trial protocols for interventions involving artificial intelligence: the SPIRIT-AI Extension. https://doi.org/10.1136/bmj.m3210 (2020) doi:10.1136/bmj.m3210.</w:t>
      </w:r>
    </w:p>
    <w:p w14:paraId="01A6C482"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34.</w:t>
      </w:r>
      <w:r w:rsidRPr="007943B3">
        <w:rPr>
          <w:rFonts w:ascii="Times New Roman" w:hAnsi="Times New Roman" w:cs="Times New Roman"/>
        </w:rPr>
        <w:tab/>
        <w:t xml:space="preserve">Vasey, B. </w:t>
      </w:r>
      <w:r w:rsidRPr="007943B3">
        <w:rPr>
          <w:rFonts w:ascii="Times New Roman" w:hAnsi="Times New Roman" w:cs="Times New Roman"/>
          <w:i/>
          <w:iCs/>
        </w:rPr>
        <w:t>et al.</w:t>
      </w:r>
      <w:r w:rsidRPr="007943B3">
        <w:rPr>
          <w:rFonts w:ascii="Times New Roman" w:hAnsi="Times New Roman" w:cs="Times New Roman"/>
        </w:rPr>
        <w:t xml:space="preserve"> Reporting guideline for the early stage clinical evaluation of decision support systems driven by artificial intelligence: DECIDE-AI. </w:t>
      </w:r>
      <w:r w:rsidRPr="007943B3">
        <w:rPr>
          <w:rFonts w:ascii="Times New Roman" w:hAnsi="Times New Roman" w:cs="Times New Roman"/>
          <w:i/>
          <w:iCs/>
        </w:rPr>
        <w:t>BMJ</w:t>
      </w:r>
      <w:r w:rsidRPr="007943B3">
        <w:rPr>
          <w:rFonts w:ascii="Times New Roman" w:hAnsi="Times New Roman" w:cs="Times New Roman"/>
        </w:rPr>
        <w:t xml:space="preserve"> </w:t>
      </w:r>
      <w:r w:rsidRPr="007943B3">
        <w:rPr>
          <w:rFonts w:ascii="Times New Roman" w:hAnsi="Times New Roman" w:cs="Times New Roman"/>
          <w:b/>
          <w:bCs/>
        </w:rPr>
        <w:t>377</w:t>
      </w:r>
      <w:r w:rsidRPr="007943B3">
        <w:rPr>
          <w:rFonts w:ascii="Times New Roman" w:hAnsi="Times New Roman" w:cs="Times New Roman"/>
        </w:rPr>
        <w:t>, e070904 (2022).</w:t>
      </w:r>
    </w:p>
    <w:p w14:paraId="75CD6612"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35.</w:t>
      </w:r>
      <w:r w:rsidRPr="007943B3">
        <w:rPr>
          <w:rFonts w:ascii="Times New Roman" w:hAnsi="Times New Roman" w:cs="Times New Roman"/>
        </w:rPr>
        <w:tab/>
        <w:t xml:space="preserve">Collins, G. S., Reitsma, J. B., Altman, D. G. &amp; Moons, K. G. M. Transparent reporting of a multivariable prediction model for individual prognosis or diagnosis (TRIPOD): the TRIPOD statement. </w:t>
      </w:r>
      <w:r w:rsidRPr="007943B3">
        <w:rPr>
          <w:rFonts w:ascii="Times New Roman" w:hAnsi="Times New Roman" w:cs="Times New Roman"/>
          <w:i/>
          <w:iCs/>
        </w:rPr>
        <w:t>BMJ</w:t>
      </w:r>
      <w:r w:rsidRPr="007943B3">
        <w:rPr>
          <w:rFonts w:ascii="Times New Roman" w:hAnsi="Times New Roman" w:cs="Times New Roman"/>
        </w:rPr>
        <w:t xml:space="preserve"> </w:t>
      </w:r>
      <w:r w:rsidRPr="007943B3">
        <w:rPr>
          <w:rFonts w:ascii="Times New Roman" w:hAnsi="Times New Roman" w:cs="Times New Roman"/>
          <w:b/>
          <w:bCs/>
        </w:rPr>
        <w:t>350</w:t>
      </w:r>
      <w:r w:rsidRPr="007943B3">
        <w:rPr>
          <w:rFonts w:ascii="Times New Roman" w:hAnsi="Times New Roman" w:cs="Times New Roman"/>
        </w:rPr>
        <w:t>, g7594 (2015).</w:t>
      </w:r>
    </w:p>
    <w:p w14:paraId="63D1BF3E"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36.</w:t>
      </w:r>
      <w:r w:rsidRPr="007943B3">
        <w:rPr>
          <w:rFonts w:ascii="Times New Roman" w:hAnsi="Times New Roman" w:cs="Times New Roman"/>
        </w:rPr>
        <w:tab/>
        <w:t xml:space="preserve">Wolff, R. F. </w:t>
      </w:r>
      <w:r w:rsidRPr="007943B3">
        <w:rPr>
          <w:rFonts w:ascii="Times New Roman" w:hAnsi="Times New Roman" w:cs="Times New Roman"/>
          <w:i/>
          <w:iCs/>
        </w:rPr>
        <w:t>et al.</w:t>
      </w:r>
      <w:r w:rsidRPr="007943B3">
        <w:rPr>
          <w:rFonts w:ascii="Times New Roman" w:hAnsi="Times New Roman" w:cs="Times New Roman"/>
        </w:rPr>
        <w:t xml:space="preserve"> PROBAST: A Tool to Assess the Risk of Bias and Applicability of </w:t>
      </w:r>
      <w:r w:rsidRPr="007943B3">
        <w:rPr>
          <w:rFonts w:ascii="Times New Roman" w:hAnsi="Times New Roman" w:cs="Times New Roman"/>
        </w:rPr>
        <w:lastRenderedPageBreak/>
        <w:t xml:space="preserve">Prediction Model Studies. </w:t>
      </w:r>
      <w:r w:rsidRPr="007943B3">
        <w:rPr>
          <w:rFonts w:ascii="Times New Roman" w:hAnsi="Times New Roman" w:cs="Times New Roman"/>
          <w:i/>
          <w:iCs/>
        </w:rPr>
        <w:t>Ann. Intern. Med.</w:t>
      </w:r>
      <w:r w:rsidRPr="007943B3">
        <w:rPr>
          <w:rFonts w:ascii="Times New Roman" w:hAnsi="Times New Roman" w:cs="Times New Roman"/>
        </w:rPr>
        <w:t xml:space="preserve"> </w:t>
      </w:r>
      <w:r w:rsidRPr="007943B3">
        <w:rPr>
          <w:rFonts w:ascii="Times New Roman" w:hAnsi="Times New Roman" w:cs="Times New Roman"/>
          <w:b/>
          <w:bCs/>
        </w:rPr>
        <w:t>170</w:t>
      </w:r>
      <w:r w:rsidRPr="007943B3">
        <w:rPr>
          <w:rFonts w:ascii="Times New Roman" w:hAnsi="Times New Roman" w:cs="Times New Roman"/>
        </w:rPr>
        <w:t>, 51–58 (2019).</w:t>
      </w:r>
    </w:p>
    <w:p w14:paraId="00A298E6"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37.</w:t>
      </w:r>
      <w:r w:rsidRPr="007943B3">
        <w:rPr>
          <w:rFonts w:ascii="Times New Roman" w:hAnsi="Times New Roman" w:cs="Times New Roman"/>
        </w:rPr>
        <w:tab/>
        <w:t xml:space="preserve">Mitchell, M. </w:t>
      </w:r>
      <w:r w:rsidRPr="007943B3">
        <w:rPr>
          <w:rFonts w:ascii="Times New Roman" w:hAnsi="Times New Roman" w:cs="Times New Roman"/>
          <w:i/>
          <w:iCs/>
        </w:rPr>
        <w:t>et al.</w:t>
      </w:r>
      <w:r w:rsidRPr="007943B3">
        <w:rPr>
          <w:rFonts w:ascii="Times New Roman" w:hAnsi="Times New Roman" w:cs="Times New Roman"/>
        </w:rPr>
        <w:t xml:space="preserve"> Model Cards for Model Reporting. in </w:t>
      </w:r>
      <w:r w:rsidRPr="007943B3">
        <w:rPr>
          <w:rFonts w:ascii="Times New Roman" w:hAnsi="Times New Roman" w:cs="Times New Roman"/>
          <w:i/>
          <w:iCs/>
        </w:rPr>
        <w:t>Proceedings of the Conference on Fairness, Accountability, and Transparency</w:t>
      </w:r>
      <w:r w:rsidRPr="007943B3">
        <w:rPr>
          <w:rFonts w:ascii="Times New Roman" w:hAnsi="Times New Roman" w:cs="Times New Roman"/>
        </w:rPr>
        <w:t xml:space="preserve"> 220–229 (Association for Computing Machinery, New York, NY, USA, 2019). doi:10.1145/3287560.3287596.</w:t>
      </w:r>
    </w:p>
    <w:p w14:paraId="78D06E31"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38.</w:t>
      </w:r>
      <w:r w:rsidRPr="007943B3">
        <w:rPr>
          <w:rFonts w:ascii="Times New Roman" w:hAnsi="Times New Roman" w:cs="Times New Roman"/>
        </w:rPr>
        <w:tab/>
        <w:t xml:space="preserve">Gebru, T. </w:t>
      </w:r>
      <w:r w:rsidRPr="007943B3">
        <w:rPr>
          <w:rFonts w:ascii="Times New Roman" w:hAnsi="Times New Roman" w:cs="Times New Roman"/>
          <w:i/>
          <w:iCs/>
        </w:rPr>
        <w:t>et al.</w:t>
      </w:r>
      <w:r w:rsidRPr="007943B3">
        <w:rPr>
          <w:rFonts w:ascii="Times New Roman" w:hAnsi="Times New Roman" w:cs="Times New Roman"/>
        </w:rPr>
        <w:t xml:space="preserve"> Datasheets for Datasets. Preprint at https://doi.org/10.48550/arXiv.1803.09010 (2021).</w:t>
      </w:r>
    </w:p>
    <w:p w14:paraId="6F20484F"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39.</w:t>
      </w:r>
      <w:r w:rsidRPr="007943B3">
        <w:rPr>
          <w:rFonts w:ascii="Times New Roman" w:hAnsi="Times New Roman" w:cs="Times New Roman"/>
        </w:rPr>
        <w:tab/>
        <w:t xml:space="preserve">Amershi, S. </w:t>
      </w:r>
      <w:r w:rsidRPr="007943B3">
        <w:rPr>
          <w:rFonts w:ascii="Times New Roman" w:hAnsi="Times New Roman" w:cs="Times New Roman"/>
          <w:i/>
          <w:iCs/>
        </w:rPr>
        <w:t>et al.</w:t>
      </w:r>
      <w:r w:rsidRPr="007943B3">
        <w:rPr>
          <w:rFonts w:ascii="Times New Roman" w:hAnsi="Times New Roman" w:cs="Times New Roman"/>
        </w:rPr>
        <w:t xml:space="preserve"> Guidelines for Human-AI Interaction. in </w:t>
      </w:r>
      <w:r w:rsidRPr="007943B3">
        <w:rPr>
          <w:rFonts w:ascii="Times New Roman" w:hAnsi="Times New Roman" w:cs="Times New Roman"/>
          <w:i/>
          <w:iCs/>
        </w:rPr>
        <w:t>Proceedings of the 2019 CHI Conference on Human Factors in Computing Systems</w:t>
      </w:r>
      <w:r w:rsidRPr="007943B3">
        <w:rPr>
          <w:rFonts w:ascii="Times New Roman" w:hAnsi="Times New Roman" w:cs="Times New Roman"/>
        </w:rPr>
        <w:t xml:space="preserve"> 1–13 (Association for Computing Machinery, New York, NY, USA, 2019). doi:10.1145/3290605.3300233.</w:t>
      </w:r>
    </w:p>
    <w:p w14:paraId="4482E37A"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40.</w:t>
      </w:r>
      <w:r w:rsidRPr="007943B3">
        <w:rPr>
          <w:rFonts w:ascii="Times New Roman" w:hAnsi="Times New Roman" w:cs="Times New Roman"/>
        </w:rPr>
        <w:tab/>
        <w:t xml:space="preserve">Gal, Y. &amp; Ghahramani, Z. Dropout as a Bayesian approximation: representing model uncertainty in deep learning. in </w:t>
      </w:r>
      <w:r w:rsidRPr="007943B3">
        <w:rPr>
          <w:rFonts w:ascii="Times New Roman" w:hAnsi="Times New Roman" w:cs="Times New Roman"/>
          <w:i/>
          <w:iCs/>
        </w:rPr>
        <w:t>Proceedings of the 33rd International Conference on International Conference on Machine Learning - Volume 48</w:t>
      </w:r>
      <w:r w:rsidRPr="007943B3">
        <w:rPr>
          <w:rFonts w:ascii="Times New Roman" w:hAnsi="Times New Roman" w:cs="Times New Roman"/>
        </w:rPr>
        <w:t xml:space="preserve"> 1050–1059 (JMLR.org, New York, NY, USA, 2016).</w:t>
      </w:r>
    </w:p>
    <w:p w14:paraId="6C5DA4FF"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41.</w:t>
      </w:r>
      <w:r w:rsidRPr="007943B3">
        <w:rPr>
          <w:rFonts w:ascii="Times New Roman" w:hAnsi="Times New Roman" w:cs="Times New Roman"/>
        </w:rPr>
        <w:tab/>
        <w:t xml:space="preserve">Lakshminarayanan, B., Pritzel, A. &amp; Blundell, C. Simple and Scalable Predictive Uncertainty Estimation using Deep Ensembles. in </w:t>
      </w:r>
      <w:r w:rsidRPr="007943B3">
        <w:rPr>
          <w:rFonts w:ascii="Times New Roman" w:hAnsi="Times New Roman" w:cs="Times New Roman"/>
          <w:i/>
          <w:iCs/>
        </w:rPr>
        <w:t>Advances in Neural Information Processing Systems</w:t>
      </w:r>
      <w:r w:rsidRPr="007943B3">
        <w:rPr>
          <w:rFonts w:ascii="Times New Roman" w:hAnsi="Times New Roman" w:cs="Times New Roman"/>
        </w:rPr>
        <w:t xml:space="preserve"> vol. 30 (Curran Associates, Inc., 2017).</w:t>
      </w:r>
    </w:p>
    <w:p w14:paraId="5F8FB722"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42.</w:t>
      </w:r>
      <w:r w:rsidRPr="007943B3">
        <w:rPr>
          <w:rFonts w:ascii="Times New Roman" w:hAnsi="Times New Roman" w:cs="Times New Roman"/>
        </w:rPr>
        <w:tab/>
        <w:t xml:space="preserve">Gawlikowski, J. </w:t>
      </w:r>
      <w:r w:rsidRPr="007943B3">
        <w:rPr>
          <w:rFonts w:ascii="Times New Roman" w:hAnsi="Times New Roman" w:cs="Times New Roman"/>
          <w:i/>
          <w:iCs/>
        </w:rPr>
        <w:t>et al.</w:t>
      </w:r>
      <w:r w:rsidRPr="007943B3">
        <w:rPr>
          <w:rFonts w:ascii="Times New Roman" w:hAnsi="Times New Roman" w:cs="Times New Roman"/>
        </w:rPr>
        <w:t xml:space="preserve"> A survey of uncertainty in deep neural networks. </w:t>
      </w:r>
      <w:r w:rsidRPr="007943B3">
        <w:rPr>
          <w:rFonts w:ascii="Times New Roman" w:hAnsi="Times New Roman" w:cs="Times New Roman"/>
          <w:i/>
          <w:iCs/>
        </w:rPr>
        <w:t>Artif. Intell. Rev.</w:t>
      </w:r>
      <w:r w:rsidRPr="007943B3">
        <w:rPr>
          <w:rFonts w:ascii="Times New Roman" w:hAnsi="Times New Roman" w:cs="Times New Roman"/>
        </w:rPr>
        <w:t xml:space="preserve"> </w:t>
      </w:r>
      <w:r w:rsidRPr="007943B3">
        <w:rPr>
          <w:rFonts w:ascii="Times New Roman" w:hAnsi="Times New Roman" w:cs="Times New Roman"/>
          <w:b/>
          <w:bCs/>
        </w:rPr>
        <w:t>56</w:t>
      </w:r>
      <w:r w:rsidRPr="007943B3">
        <w:rPr>
          <w:rFonts w:ascii="Times New Roman" w:hAnsi="Times New Roman" w:cs="Times New Roman"/>
        </w:rPr>
        <w:t>, 1513–1589 (2023).</w:t>
      </w:r>
    </w:p>
    <w:p w14:paraId="27716DCB"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43.</w:t>
      </w:r>
      <w:r w:rsidRPr="007943B3">
        <w:rPr>
          <w:rFonts w:ascii="Times New Roman" w:hAnsi="Times New Roman" w:cs="Times New Roman"/>
        </w:rPr>
        <w:tab/>
        <w:t xml:space="preserve">Guo, C., Pleiss, G., Sun, Y. &amp; Weinberger, K. Q. On Calibration of Modern Neural Networks. in </w:t>
      </w:r>
      <w:r w:rsidRPr="007943B3">
        <w:rPr>
          <w:rFonts w:ascii="Times New Roman" w:hAnsi="Times New Roman" w:cs="Times New Roman"/>
          <w:i/>
          <w:iCs/>
        </w:rPr>
        <w:t>Proceedings of the 34th International Conference on Machine Learning</w:t>
      </w:r>
      <w:r w:rsidRPr="007943B3">
        <w:rPr>
          <w:rFonts w:ascii="Times New Roman" w:hAnsi="Times New Roman" w:cs="Times New Roman"/>
        </w:rPr>
        <w:t xml:space="preserve"> 1321–1330 (PMLR, 2017).</w:t>
      </w:r>
    </w:p>
    <w:p w14:paraId="458DC170"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44.</w:t>
      </w:r>
      <w:r w:rsidRPr="007943B3">
        <w:rPr>
          <w:rFonts w:ascii="Times New Roman" w:hAnsi="Times New Roman" w:cs="Times New Roman"/>
        </w:rPr>
        <w:tab/>
        <w:t xml:space="preserve">Ovadia, Y. </w:t>
      </w:r>
      <w:r w:rsidRPr="007943B3">
        <w:rPr>
          <w:rFonts w:ascii="Times New Roman" w:hAnsi="Times New Roman" w:cs="Times New Roman"/>
          <w:i/>
          <w:iCs/>
        </w:rPr>
        <w:t>et al.</w:t>
      </w:r>
      <w:r w:rsidRPr="007943B3">
        <w:rPr>
          <w:rFonts w:ascii="Times New Roman" w:hAnsi="Times New Roman" w:cs="Times New Roman"/>
        </w:rPr>
        <w:t xml:space="preserve"> Can you trust your model’ s uncertainty? Evaluating predictive uncertainty under dataset shift. in </w:t>
      </w:r>
      <w:r w:rsidRPr="007943B3">
        <w:rPr>
          <w:rFonts w:ascii="Times New Roman" w:hAnsi="Times New Roman" w:cs="Times New Roman"/>
          <w:i/>
          <w:iCs/>
        </w:rPr>
        <w:t>Advances in Neural Information Processing Systems</w:t>
      </w:r>
      <w:r w:rsidRPr="007943B3">
        <w:rPr>
          <w:rFonts w:ascii="Times New Roman" w:hAnsi="Times New Roman" w:cs="Times New Roman"/>
        </w:rPr>
        <w:t xml:space="preserve"> vol. 32 (Curran Associates, Inc., 2019).</w:t>
      </w:r>
    </w:p>
    <w:p w14:paraId="6A42C478"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45.</w:t>
      </w:r>
      <w:r w:rsidRPr="007943B3">
        <w:rPr>
          <w:rFonts w:ascii="Times New Roman" w:hAnsi="Times New Roman" w:cs="Times New Roman"/>
        </w:rPr>
        <w:tab/>
        <w:t xml:space="preserve">Carlini, N. </w:t>
      </w:r>
      <w:r w:rsidRPr="007943B3">
        <w:rPr>
          <w:rFonts w:ascii="Times New Roman" w:hAnsi="Times New Roman" w:cs="Times New Roman"/>
          <w:i/>
          <w:iCs/>
        </w:rPr>
        <w:t>et al.</w:t>
      </w:r>
      <w:r w:rsidRPr="007943B3">
        <w:rPr>
          <w:rFonts w:ascii="Times New Roman" w:hAnsi="Times New Roman" w:cs="Times New Roman"/>
        </w:rPr>
        <w:t xml:space="preserve"> Extracting Training Data from Large Language Models. Preprint at https://doi.org/10.48550/arXiv.2012.07805 (2021).</w:t>
      </w:r>
    </w:p>
    <w:p w14:paraId="1E78272F" w14:textId="77777777" w:rsidR="007943B3" w:rsidRPr="007943B3" w:rsidRDefault="007943B3" w:rsidP="007943B3">
      <w:pPr>
        <w:pStyle w:val="af4"/>
        <w:rPr>
          <w:rFonts w:ascii="Times New Roman" w:hAnsi="Times New Roman" w:cs="Times New Roman"/>
        </w:rPr>
      </w:pPr>
      <w:r w:rsidRPr="007943B3">
        <w:rPr>
          <w:rFonts w:ascii="Times New Roman" w:hAnsi="Times New Roman" w:cs="Times New Roman"/>
        </w:rPr>
        <w:t>46.</w:t>
      </w:r>
      <w:r w:rsidRPr="007943B3">
        <w:rPr>
          <w:rFonts w:ascii="Times New Roman" w:hAnsi="Times New Roman" w:cs="Times New Roman"/>
        </w:rPr>
        <w:tab/>
        <w:t xml:space="preserve">Reis, A. </w:t>
      </w:r>
      <w:r w:rsidRPr="007943B3">
        <w:rPr>
          <w:rFonts w:ascii="Times New Roman" w:hAnsi="Times New Roman" w:cs="Times New Roman"/>
          <w:i/>
          <w:iCs/>
        </w:rPr>
        <w:t>et al.</w:t>
      </w:r>
      <w:r w:rsidRPr="007943B3">
        <w:rPr>
          <w:rFonts w:ascii="Times New Roman" w:hAnsi="Times New Roman" w:cs="Times New Roman"/>
        </w:rPr>
        <w:t xml:space="preserve"> </w:t>
      </w:r>
      <w:r w:rsidRPr="007943B3">
        <w:rPr>
          <w:rFonts w:ascii="Times New Roman" w:hAnsi="Times New Roman" w:cs="Times New Roman"/>
          <w:i/>
          <w:iCs/>
        </w:rPr>
        <w:t>ETHICS AND GOVERNANCE OF ARTIFICIAL INTELLIGENCE FOR HEALTH: WHO GUIDANCE</w:t>
      </w:r>
      <w:r w:rsidRPr="007943B3">
        <w:rPr>
          <w:rFonts w:ascii="Times New Roman" w:hAnsi="Times New Roman" w:cs="Times New Roman"/>
        </w:rPr>
        <w:t>. (2021).</w:t>
      </w:r>
    </w:p>
    <w:p w14:paraId="608BF6FC" w14:textId="190E1E9F" w:rsidR="006F05CD" w:rsidRPr="00285421" w:rsidRDefault="006F05CD" w:rsidP="008A10DE">
      <w:pPr>
        <w:jc w:val="both"/>
        <w:rPr>
          <w:rFonts w:ascii="Times New Roman" w:hAnsi="Times New Roman" w:cs="Times New Roman"/>
        </w:rPr>
      </w:pPr>
      <w:r w:rsidRPr="00285421">
        <w:rPr>
          <w:rFonts w:ascii="Times New Roman" w:hAnsi="Times New Roman" w:cs="Times New Roman"/>
        </w:rPr>
        <w:fldChar w:fldCharType="end"/>
      </w:r>
    </w:p>
    <w:sectPr w:rsidR="006F05CD" w:rsidRPr="00285421" w:rsidSect="00470AD0">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8696D" w14:textId="77777777" w:rsidR="007D03F8" w:rsidRDefault="007D03F8" w:rsidP="00B770DE">
      <w:pPr>
        <w:spacing w:after="0" w:line="240" w:lineRule="auto"/>
        <w:rPr>
          <w:rFonts w:hint="eastAsia"/>
        </w:rPr>
      </w:pPr>
      <w:r>
        <w:separator/>
      </w:r>
    </w:p>
  </w:endnote>
  <w:endnote w:type="continuationSeparator" w:id="0">
    <w:p w14:paraId="0F097DA9" w14:textId="77777777" w:rsidR="007D03F8" w:rsidRDefault="007D03F8" w:rsidP="00B770D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190F" w14:textId="77777777" w:rsidR="007D03F8" w:rsidRDefault="007D03F8" w:rsidP="00B770DE">
      <w:pPr>
        <w:spacing w:after="0" w:line="240" w:lineRule="auto"/>
        <w:rPr>
          <w:rFonts w:hint="eastAsia"/>
        </w:rPr>
      </w:pPr>
      <w:r>
        <w:separator/>
      </w:r>
    </w:p>
  </w:footnote>
  <w:footnote w:type="continuationSeparator" w:id="0">
    <w:p w14:paraId="0B422777" w14:textId="77777777" w:rsidR="007D03F8" w:rsidRDefault="007D03F8" w:rsidP="00B770D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0375"/>
    <w:multiLevelType w:val="multilevel"/>
    <w:tmpl w:val="9648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6519B"/>
    <w:multiLevelType w:val="multilevel"/>
    <w:tmpl w:val="EC6A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23149"/>
    <w:multiLevelType w:val="multilevel"/>
    <w:tmpl w:val="D55CB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F710D"/>
    <w:multiLevelType w:val="multilevel"/>
    <w:tmpl w:val="7F6E222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ascii="Times New Roman" w:hAnsi="Times New Roman" w:cs="Times New Roman" w:hint="default"/>
        <w:b/>
        <w:sz w:val="24"/>
        <w:szCs w:val="28"/>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4" w15:restartNumberingAfterBreak="0">
    <w:nsid w:val="66A3446E"/>
    <w:multiLevelType w:val="multilevel"/>
    <w:tmpl w:val="EC4A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31984"/>
    <w:multiLevelType w:val="multilevel"/>
    <w:tmpl w:val="240A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47792"/>
    <w:multiLevelType w:val="multilevel"/>
    <w:tmpl w:val="ECB2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7564722">
    <w:abstractNumId w:val="2"/>
  </w:num>
  <w:num w:numId="2" w16cid:durableId="2066951484">
    <w:abstractNumId w:val="0"/>
  </w:num>
  <w:num w:numId="3" w16cid:durableId="756368712">
    <w:abstractNumId w:val="1"/>
  </w:num>
  <w:num w:numId="4" w16cid:durableId="1491680574">
    <w:abstractNumId w:val="5"/>
  </w:num>
  <w:num w:numId="5" w16cid:durableId="417604774">
    <w:abstractNumId w:val="3"/>
  </w:num>
  <w:num w:numId="6" w16cid:durableId="1278830025">
    <w:abstractNumId w:val="4"/>
  </w:num>
  <w:num w:numId="7" w16cid:durableId="449083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2E2"/>
    <w:rsid w:val="0001459C"/>
    <w:rsid w:val="00021205"/>
    <w:rsid w:val="00026FE8"/>
    <w:rsid w:val="00034246"/>
    <w:rsid w:val="0004097D"/>
    <w:rsid w:val="0004610F"/>
    <w:rsid w:val="000552EE"/>
    <w:rsid w:val="000664EA"/>
    <w:rsid w:val="000673F9"/>
    <w:rsid w:val="00071010"/>
    <w:rsid w:val="000B64D8"/>
    <w:rsid w:val="000C3E62"/>
    <w:rsid w:val="000C51FE"/>
    <w:rsid w:val="000C5444"/>
    <w:rsid w:val="000D3610"/>
    <w:rsid w:val="000E67D9"/>
    <w:rsid w:val="000F1736"/>
    <w:rsid w:val="000F1789"/>
    <w:rsid w:val="000F2FA1"/>
    <w:rsid w:val="0010392F"/>
    <w:rsid w:val="00114A84"/>
    <w:rsid w:val="00125377"/>
    <w:rsid w:val="0013021D"/>
    <w:rsid w:val="001342E2"/>
    <w:rsid w:val="001348D7"/>
    <w:rsid w:val="00156616"/>
    <w:rsid w:val="00161D13"/>
    <w:rsid w:val="0017352D"/>
    <w:rsid w:val="00195FE9"/>
    <w:rsid w:val="0019733F"/>
    <w:rsid w:val="001C7281"/>
    <w:rsid w:val="001E5C9F"/>
    <w:rsid w:val="00214EF9"/>
    <w:rsid w:val="00245D05"/>
    <w:rsid w:val="00265474"/>
    <w:rsid w:val="00267D0F"/>
    <w:rsid w:val="0028035E"/>
    <w:rsid w:val="00285421"/>
    <w:rsid w:val="002A70CF"/>
    <w:rsid w:val="002D1755"/>
    <w:rsid w:val="002F263C"/>
    <w:rsid w:val="0030697C"/>
    <w:rsid w:val="00316D78"/>
    <w:rsid w:val="00320AEA"/>
    <w:rsid w:val="003237D8"/>
    <w:rsid w:val="003404B9"/>
    <w:rsid w:val="003610F3"/>
    <w:rsid w:val="003814F4"/>
    <w:rsid w:val="00391E9E"/>
    <w:rsid w:val="00392F23"/>
    <w:rsid w:val="003B65AE"/>
    <w:rsid w:val="003C3315"/>
    <w:rsid w:val="003F69D6"/>
    <w:rsid w:val="004236CA"/>
    <w:rsid w:val="0042636D"/>
    <w:rsid w:val="0046763D"/>
    <w:rsid w:val="00470AD0"/>
    <w:rsid w:val="00473EF7"/>
    <w:rsid w:val="004E3684"/>
    <w:rsid w:val="0052000D"/>
    <w:rsid w:val="00521F47"/>
    <w:rsid w:val="00545192"/>
    <w:rsid w:val="00572FB8"/>
    <w:rsid w:val="0058493D"/>
    <w:rsid w:val="00593DAE"/>
    <w:rsid w:val="005C694E"/>
    <w:rsid w:val="005D11A3"/>
    <w:rsid w:val="005E61B8"/>
    <w:rsid w:val="005E6DA0"/>
    <w:rsid w:val="005F14CC"/>
    <w:rsid w:val="00611DB2"/>
    <w:rsid w:val="00615F5D"/>
    <w:rsid w:val="00622FAE"/>
    <w:rsid w:val="006355C0"/>
    <w:rsid w:val="00653F7D"/>
    <w:rsid w:val="0066697A"/>
    <w:rsid w:val="00677D31"/>
    <w:rsid w:val="00682CB9"/>
    <w:rsid w:val="006858BB"/>
    <w:rsid w:val="006A04E0"/>
    <w:rsid w:val="006B4D0B"/>
    <w:rsid w:val="006C4231"/>
    <w:rsid w:val="006C5E8C"/>
    <w:rsid w:val="006D3CA3"/>
    <w:rsid w:val="006F05CD"/>
    <w:rsid w:val="006F4679"/>
    <w:rsid w:val="007058DD"/>
    <w:rsid w:val="00710664"/>
    <w:rsid w:val="007173CA"/>
    <w:rsid w:val="00721289"/>
    <w:rsid w:val="007270AF"/>
    <w:rsid w:val="00756ECB"/>
    <w:rsid w:val="007678D1"/>
    <w:rsid w:val="0079258E"/>
    <w:rsid w:val="007943B3"/>
    <w:rsid w:val="007B0DFE"/>
    <w:rsid w:val="007C67F4"/>
    <w:rsid w:val="007D03F8"/>
    <w:rsid w:val="007D5B02"/>
    <w:rsid w:val="007D5DF8"/>
    <w:rsid w:val="007F1148"/>
    <w:rsid w:val="007F6E87"/>
    <w:rsid w:val="00844540"/>
    <w:rsid w:val="0085038D"/>
    <w:rsid w:val="0085686F"/>
    <w:rsid w:val="0085799F"/>
    <w:rsid w:val="008631D9"/>
    <w:rsid w:val="008A10DE"/>
    <w:rsid w:val="008A6C5F"/>
    <w:rsid w:val="008B34F1"/>
    <w:rsid w:val="008C3627"/>
    <w:rsid w:val="008C7252"/>
    <w:rsid w:val="008F3DA2"/>
    <w:rsid w:val="00904852"/>
    <w:rsid w:val="009075C7"/>
    <w:rsid w:val="0091185E"/>
    <w:rsid w:val="00914D71"/>
    <w:rsid w:val="009165C3"/>
    <w:rsid w:val="00916677"/>
    <w:rsid w:val="009A38A1"/>
    <w:rsid w:val="009A64ED"/>
    <w:rsid w:val="009D7258"/>
    <w:rsid w:val="00A13033"/>
    <w:rsid w:val="00A25F86"/>
    <w:rsid w:val="00A3262B"/>
    <w:rsid w:val="00A34135"/>
    <w:rsid w:val="00A37A7F"/>
    <w:rsid w:val="00A400D5"/>
    <w:rsid w:val="00A43445"/>
    <w:rsid w:val="00A70560"/>
    <w:rsid w:val="00A950BB"/>
    <w:rsid w:val="00AC680A"/>
    <w:rsid w:val="00AE5FDE"/>
    <w:rsid w:val="00AF69EA"/>
    <w:rsid w:val="00B360E8"/>
    <w:rsid w:val="00B770DE"/>
    <w:rsid w:val="00B9630F"/>
    <w:rsid w:val="00BC30BA"/>
    <w:rsid w:val="00BD1136"/>
    <w:rsid w:val="00BD4F71"/>
    <w:rsid w:val="00BE5782"/>
    <w:rsid w:val="00C03FD1"/>
    <w:rsid w:val="00C712D3"/>
    <w:rsid w:val="00C81647"/>
    <w:rsid w:val="00C94FBE"/>
    <w:rsid w:val="00C952B3"/>
    <w:rsid w:val="00CA344C"/>
    <w:rsid w:val="00CB02B4"/>
    <w:rsid w:val="00CC40B8"/>
    <w:rsid w:val="00CE06F8"/>
    <w:rsid w:val="00D22284"/>
    <w:rsid w:val="00D801D8"/>
    <w:rsid w:val="00DB2C71"/>
    <w:rsid w:val="00DB2CD5"/>
    <w:rsid w:val="00DC5FBB"/>
    <w:rsid w:val="00DE58BB"/>
    <w:rsid w:val="00DE7CD2"/>
    <w:rsid w:val="00E1071B"/>
    <w:rsid w:val="00E119AE"/>
    <w:rsid w:val="00E14CD8"/>
    <w:rsid w:val="00E23086"/>
    <w:rsid w:val="00E35CAD"/>
    <w:rsid w:val="00E45046"/>
    <w:rsid w:val="00E46B37"/>
    <w:rsid w:val="00E60921"/>
    <w:rsid w:val="00E636FC"/>
    <w:rsid w:val="00E867D0"/>
    <w:rsid w:val="00EA4CEA"/>
    <w:rsid w:val="00ED1E7B"/>
    <w:rsid w:val="00ED5E69"/>
    <w:rsid w:val="00EF1FEC"/>
    <w:rsid w:val="00F073A1"/>
    <w:rsid w:val="00F147A3"/>
    <w:rsid w:val="00F40EC7"/>
    <w:rsid w:val="00F67AF3"/>
    <w:rsid w:val="00F73734"/>
    <w:rsid w:val="00F85939"/>
    <w:rsid w:val="00F9107F"/>
    <w:rsid w:val="00FA37F4"/>
    <w:rsid w:val="00FA49FA"/>
    <w:rsid w:val="00FC6435"/>
    <w:rsid w:val="00FC7FDC"/>
    <w:rsid w:val="00FD4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79758"/>
  <w15:chartTrackingRefBased/>
  <w15:docId w15:val="{C2CFFD1B-DEE7-41A1-A0EB-C8CB8280D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4D0B"/>
    <w:pPr>
      <w:widowControl w:val="0"/>
    </w:pPr>
  </w:style>
  <w:style w:type="paragraph" w:styleId="1">
    <w:name w:val="heading 1"/>
    <w:basedOn w:val="a"/>
    <w:next w:val="a"/>
    <w:link w:val="10"/>
    <w:uiPriority w:val="9"/>
    <w:qFormat/>
    <w:rsid w:val="001342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42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342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42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42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42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42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42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42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42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42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342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42E2"/>
    <w:rPr>
      <w:rFonts w:cstheme="majorBidi"/>
      <w:color w:val="0F4761" w:themeColor="accent1" w:themeShade="BF"/>
      <w:sz w:val="28"/>
      <w:szCs w:val="28"/>
    </w:rPr>
  </w:style>
  <w:style w:type="character" w:customStyle="1" w:styleId="50">
    <w:name w:val="标题 5 字符"/>
    <w:basedOn w:val="a0"/>
    <w:link w:val="5"/>
    <w:uiPriority w:val="9"/>
    <w:semiHidden/>
    <w:rsid w:val="001342E2"/>
    <w:rPr>
      <w:rFonts w:cstheme="majorBidi"/>
      <w:color w:val="0F4761" w:themeColor="accent1" w:themeShade="BF"/>
      <w:sz w:val="24"/>
    </w:rPr>
  </w:style>
  <w:style w:type="character" w:customStyle="1" w:styleId="60">
    <w:name w:val="标题 6 字符"/>
    <w:basedOn w:val="a0"/>
    <w:link w:val="6"/>
    <w:uiPriority w:val="9"/>
    <w:semiHidden/>
    <w:rsid w:val="001342E2"/>
    <w:rPr>
      <w:rFonts w:cstheme="majorBidi"/>
      <w:b/>
      <w:bCs/>
      <w:color w:val="0F4761" w:themeColor="accent1" w:themeShade="BF"/>
    </w:rPr>
  </w:style>
  <w:style w:type="character" w:customStyle="1" w:styleId="70">
    <w:name w:val="标题 7 字符"/>
    <w:basedOn w:val="a0"/>
    <w:link w:val="7"/>
    <w:uiPriority w:val="9"/>
    <w:semiHidden/>
    <w:rsid w:val="001342E2"/>
    <w:rPr>
      <w:rFonts w:cstheme="majorBidi"/>
      <w:b/>
      <w:bCs/>
      <w:color w:val="595959" w:themeColor="text1" w:themeTint="A6"/>
    </w:rPr>
  </w:style>
  <w:style w:type="character" w:customStyle="1" w:styleId="80">
    <w:name w:val="标题 8 字符"/>
    <w:basedOn w:val="a0"/>
    <w:link w:val="8"/>
    <w:uiPriority w:val="9"/>
    <w:semiHidden/>
    <w:rsid w:val="001342E2"/>
    <w:rPr>
      <w:rFonts w:cstheme="majorBidi"/>
      <w:color w:val="595959" w:themeColor="text1" w:themeTint="A6"/>
    </w:rPr>
  </w:style>
  <w:style w:type="character" w:customStyle="1" w:styleId="90">
    <w:name w:val="标题 9 字符"/>
    <w:basedOn w:val="a0"/>
    <w:link w:val="9"/>
    <w:uiPriority w:val="9"/>
    <w:semiHidden/>
    <w:rsid w:val="001342E2"/>
    <w:rPr>
      <w:rFonts w:eastAsiaTheme="majorEastAsia" w:cstheme="majorBidi"/>
      <w:color w:val="595959" w:themeColor="text1" w:themeTint="A6"/>
    </w:rPr>
  </w:style>
  <w:style w:type="paragraph" w:styleId="a3">
    <w:name w:val="Title"/>
    <w:basedOn w:val="a"/>
    <w:next w:val="a"/>
    <w:link w:val="a4"/>
    <w:uiPriority w:val="10"/>
    <w:qFormat/>
    <w:rsid w:val="001342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42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42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42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42E2"/>
    <w:pPr>
      <w:spacing w:before="160"/>
      <w:jc w:val="center"/>
    </w:pPr>
    <w:rPr>
      <w:i/>
      <w:iCs/>
      <w:color w:val="404040" w:themeColor="text1" w:themeTint="BF"/>
    </w:rPr>
  </w:style>
  <w:style w:type="character" w:customStyle="1" w:styleId="a8">
    <w:name w:val="引用 字符"/>
    <w:basedOn w:val="a0"/>
    <w:link w:val="a7"/>
    <w:uiPriority w:val="29"/>
    <w:rsid w:val="001342E2"/>
    <w:rPr>
      <w:i/>
      <w:iCs/>
      <w:color w:val="404040" w:themeColor="text1" w:themeTint="BF"/>
    </w:rPr>
  </w:style>
  <w:style w:type="paragraph" w:styleId="a9">
    <w:name w:val="List Paragraph"/>
    <w:basedOn w:val="a"/>
    <w:uiPriority w:val="34"/>
    <w:qFormat/>
    <w:rsid w:val="001342E2"/>
    <w:pPr>
      <w:ind w:left="720"/>
      <w:contextualSpacing/>
    </w:pPr>
  </w:style>
  <w:style w:type="character" w:styleId="aa">
    <w:name w:val="Intense Emphasis"/>
    <w:basedOn w:val="a0"/>
    <w:uiPriority w:val="21"/>
    <w:qFormat/>
    <w:rsid w:val="001342E2"/>
    <w:rPr>
      <w:i/>
      <w:iCs/>
      <w:color w:val="0F4761" w:themeColor="accent1" w:themeShade="BF"/>
    </w:rPr>
  </w:style>
  <w:style w:type="paragraph" w:styleId="ab">
    <w:name w:val="Intense Quote"/>
    <w:basedOn w:val="a"/>
    <w:next w:val="a"/>
    <w:link w:val="ac"/>
    <w:uiPriority w:val="30"/>
    <w:qFormat/>
    <w:rsid w:val="00134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42E2"/>
    <w:rPr>
      <w:i/>
      <w:iCs/>
      <w:color w:val="0F4761" w:themeColor="accent1" w:themeShade="BF"/>
    </w:rPr>
  </w:style>
  <w:style w:type="character" w:styleId="ad">
    <w:name w:val="Intense Reference"/>
    <w:basedOn w:val="a0"/>
    <w:uiPriority w:val="32"/>
    <w:qFormat/>
    <w:rsid w:val="001342E2"/>
    <w:rPr>
      <w:b/>
      <w:bCs/>
      <w:smallCaps/>
      <w:color w:val="0F4761" w:themeColor="accent1" w:themeShade="BF"/>
      <w:spacing w:val="5"/>
    </w:rPr>
  </w:style>
  <w:style w:type="paragraph" w:styleId="ae">
    <w:name w:val="header"/>
    <w:basedOn w:val="a"/>
    <w:link w:val="af"/>
    <w:uiPriority w:val="99"/>
    <w:unhideWhenUsed/>
    <w:rsid w:val="00B770D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770DE"/>
    <w:rPr>
      <w:sz w:val="18"/>
      <w:szCs w:val="18"/>
    </w:rPr>
  </w:style>
  <w:style w:type="paragraph" w:styleId="af0">
    <w:name w:val="footer"/>
    <w:basedOn w:val="a"/>
    <w:link w:val="af1"/>
    <w:uiPriority w:val="99"/>
    <w:unhideWhenUsed/>
    <w:rsid w:val="00B770D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770DE"/>
    <w:rPr>
      <w:sz w:val="18"/>
      <w:szCs w:val="18"/>
    </w:rPr>
  </w:style>
  <w:style w:type="character" w:styleId="af2">
    <w:name w:val="Hyperlink"/>
    <w:basedOn w:val="a0"/>
    <w:uiPriority w:val="99"/>
    <w:unhideWhenUsed/>
    <w:rsid w:val="008A10DE"/>
    <w:rPr>
      <w:color w:val="467886" w:themeColor="hyperlink"/>
      <w:u w:val="single"/>
    </w:rPr>
  </w:style>
  <w:style w:type="character" w:styleId="af3">
    <w:name w:val="Unresolved Mention"/>
    <w:basedOn w:val="a0"/>
    <w:uiPriority w:val="99"/>
    <w:semiHidden/>
    <w:unhideWhenUsed/>
    <w:rsid w:val="008A10DE"/>
    <w:rPr>
      <w:color w:val="605E5C"/>
      <w:shd w:val="clear" w:color="auto" w:fill="E1DFDD"/>
    </w:rPr>
  </w:style>
  <w:style w:type="paragraph" w:styleId="af4">
    <w:name w:val="Bibliography"/>
    <w:basedOn w:val="a"/>
    <w:next w:val="a"/>
    <w:uiPriority w:val="37"/>
    <w:unhideWhenUsed/>
    <w:rsid w:val="000F1736"/>
  </w:style>
  <w:style w:type="paragraph" w:styleId="HTML">
    <w:name w:val="HTML Preformatted"/>
    <w:basedOn w:val="a"/>
    <w:link w:val="HTML0"/>
    <w:uiPriority w:val="99"/>
    <w:semiHidden/>
    <w:unhideWhenUsed/>
    <w:rsid w:val="001C7281"/>
    <w:rPr>
      <w:rFonts w:ascii="Courier New" w:hAnsi="Courier New" w:cs="Courier New"/>
      <w:sz w:val="20"/>
      <w:szCs w:val="20"/>
    </w:rPr>
  </w:style>
  <w:style w:type="character" w:customStyle="1" w:styleId="HTML0">
    <w:name w:val="HTML 预设格式 字符"/>
    <w:basedOn w:val="a0"/>
    <w:link w:val="HTML"/>
    <w:uiPriority w:val="99"/>
    <w:semiHidden/>
    <w:rsid w:val="001C7281"/>
    <w:rPr>
      <w:rFonts w:ascii="Courier New" w:hAnsi="Courier New" w:cs="Courier New"/>
      <w:sz w:val="20"/>
      <w:szCs w:val="20"/>
    </w:rPr>
  </w:style>
  <w:style w:type="character" w:styleId="af5">
    <w:name w:val="line number"/>
    <w:basedOn w:val="a0"/>
    <w:uiPriority w:val="99"/>
    <w:semiHidden/>
    <w:unhideWhenUsed/>
    <w:rsid w:val="00470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14728</TotalTime>
  <Pages>23</Pages>
  <Words>28263</Words>
  <Characters>161101</Characters>
  <Application>Microsoft Office Word</Application>
  <DocSecurity>0</DocSecurity>
  <Lines>1342</Lines>
  <Paragraphs>377</Paragraphs>
  <ScaleCrop>false</ScaleCrop>
  <Company/>
  <LinksUpToDate>false</LinksUpToDate>
  <CharactersWithSpaces>188987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Wanzhe Liao</dc:creator>
  <cp:keywords/>
  <dc:description/>
  <cp:lastModifiedBy>Wanzhe Liao</cp:lastModifiedBy>
  <cp:revision>28</cp:revision>
  <cp:lastPrinted>2026-01-11T08:43:00Z</cp:lastPrinted>
  <dcterms:created xsi:type="dcterms:W3CDTF">2025-12-28T15:58:00Z</dcterms:created>
  <dcterms:modified xsi:type="dcterms:W3CDTF">2026-01-12T09:34:00Z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9263c4dc-bc7c-43dd-91f8-da300db76cba</vt:lpwstr>
  </property>
  <property fmtid="{D5CDD505-2E9C-101B-9397-08002B2CF9AE}" pid="3" name="ZOTERO_PREF_1">
    <vt:lpwstr>&lt;data data-version="3" zotero-version="7.0.30"&gt;&lt;session id="tLWyAiSF"/&gt;&lt;style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