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8B9FD" w14:textId="6FD29C24" w:rsidR="006D4850" w:rsidRPr="005E5B63" w:rsidRDefault="006D4850">
      <w:pPr>
        <w:rPr>
          <w:rFonts w:ascii="Times New Roman" w:hAnsi="Times New Roman" w:cs="Times New Roman"/>
          <w:b/>
          <w:bCs/>
          <w:sz w:val="40"/>
          <w:szCs w:val="44"/>
        </w:rPr>
      </w:pPr>
      <w:r w:rsidRPr="005E5B63">
        <w:rPr>
          <w:rFonts w:ascii="Times New Roman" w:hAnsi="Times New Roman" w:cs="Times New Roman"/>
          <w:b/>
          <w:bCs/>
          <w:sz w:val="40"/>
          <w:szCs w:val="44"/>
        </w:rPr>
        <w:t>Supplemental</w:t>
      </w:r>
      <w:r w:rsidR="005E5B63" w:rsidRPr="005E5B63">
        <w:rPr>
          <w:rFonts w:ascii="Times New Roman" w:hAnsi="Times New Roman" w:cs="Times New Roman"/>
          <w:b/>
          <w:bCs/>
          <w:sz w:val="40"/>
          <w:szCs w:val="44"/>
        </w:rPr>
        <w:t xml:space="preserve"> Materials</w:t>
      </w:r>
    </w:p>
    <w:p w14:paraId="0B031194" w14:textId="77777777" w:rsidR="006D4850" w:rsidRDefault="006D4850">
      <w:pPr>
        <w:rPr>
          <w:rFonts w:hint="eastAsia"/>
        </w:rPr>
      </w:pPr>
    </w:p>
    <w:p w14:paraId="3AE3E04B" w14:textId="77777777" w:rsidR="006D4850" w:rsidRDefault="006D4850"/>
    <w:p w14:paraId="1DC7CCB6" w14:textId="77777777" w:rsidR="006D4850" w:rsidRDefault="006D4850"/>
    <w:p w14:paraId="02C62F9B" w14:textId="77777777" w:rsidR="006D4850" w:rsidRDefault="006D4850"/>
    <w:p w14:paraId="5AE7D9E0" w14:textId="77777777" w:rsidR="006D4850" w:rsidRDefault="006D4850"/>
    <w:p w14:paraId="524E256A" w14:textId="77777777" w:rsidR="006D4850" w:rsidRDefault="006D4850"/>
    <w:p w14:paraId="24CAF93F" w14:textId="77777777" w:rsidR="006D4850" w:rsidRDefault="006D4850"/>
    <w:p w14:paraId="42CF7281" w14:textId="77777777" w:rsidR="006D4850" w:rsidRDefault="006D4850"/>
    <w:p w14:paraId="676EFAC9" w14:textId="77777777" w:rsidR="006D4850" w:rsidRDefault="006D4850"/>
    <w:p w14:paraId="228F7B54" w14:textId="77777777" w:rsidR="006D4850" w:rsidRDefault="006D4850">
      <w:pPr>
        <w:rPr>
          <w:rFonts w:hint="eastAsia"/>
        </w:rPr>
      </w:pPr>
    </w:p>
    <w:p w14:paraId="0AD42CC2" w14:textId="77777777" w:rsidR="006D4850" w:rsidRDefault="006D4850"/>
    <w:p w14:paraId="25DC7D3F" w14:textId="77777777" w:rsidR="006D4850" w:rsidRDefault="006D4850"/>
    <w:p w14:paraId="5038CD86" w14:textId="08C5C328" w:rsidR="00EE5D1C" w:rsidRDefault="0012665E">
      <w:r>
        <w:rPr>
          <w:noProof/>
        </w:rPr>
        <w:lastRenderedPageBreak/>
        <w:drawing>
          <wp:inline distT="0" distB="0" distL="0" distR="0" wp14:anchorId="18A330E0" wp14:editId="3AEBF6FB">
            <wp:extent cx="5263515" cy="4544695"/>
            <wp:effectExtent l="0" t="0" r="0" b="8255"/>
            <wp:docPr id="9717746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63515" cy="4544695"/>
                    </a:xfrm>
                    <a:prstGeom prst="rect">
                      <a:avLst/>
                    </a:prstGeom>
                    <a:noFill/>
                    <a:ln>
                      <a:noFill/>
                    </a:ln>
                  </pic:spPr>
                </pic:pic>
              </a:graphicData>
            </a:graphic>
          </wp:inline>
        </w:drawing>
      </w:r>
    </w:p>
    <w:p w14:paraId="5D60C72D" w14:textId="2FBE93FB" w:rsidR="0012665E" w:rsidRPr="0012665E" w:rsidRDefault="0012665E" w:rsidP="0012665E">
      <w:pPr>
        <w:rPr>
          <w:rFonts w:ascii="Times New Roman" w:hAnsi="Times New Roman" w:cs="Times New Roman"/>
          <w:b/>
          <w:bCs/>
        </w:rPr>
      </w:pPr>
      <w:r w:rsidRPr="0012665E">
        <w:rPr>
          <w:rFonts w:ascii="Times New Roman" w:hAnsi="Times New Roman" w:cs="Times New Roman"/>
          <w:b/>
          <w:bCs/>
        </w:rPr>
        <w:t xml:space="preserve">Fig.S1. </w:t>
      </w:r>
      <w:proofErr w:type="spellStart"/>
      <w:r w:rsidRPr="0012665E">
        <w:rPr>
          <w:rFonts w:ascii="Times New Roman" w:hAnsi="Times New Roman" w:cs="Times New Roman"/>
          <w:b/>
          <w:bCs/>
        </w:rPr>
        <w:t>Nemenyi</w:t>
      </w:r>
      <w:proofErr w:type="spellEnd"/>
      <w:r w:rsidRPr="0012665E">
        <w:rPr>
          <w:rFonts w:ascii="Times New Roman" w:hAnsi="Times New Roman" w:cs="Times New Roman"/>
          <w:b/>
          <w:bCs/>
        </w:rPr>
        <w:t xml:space="preserve"> critical-difference (CD) diagrams for baseline and agentic evaluations.</w:t>
      </w:r>
    </w:p>
    <w:p w14:paraId="08242173" w14:textId="2AA74C18" w:rsidR="0012665E" w:rsidRDefault="0012665E" w:rsidP="0012665E">
      <w:pPr>
        <w:rPr>
          <w:rFonts w:ascii="Times New Roman" w:hAnsi="Times New Roman" w:cs="Times New Roman"/>
        </w:rPr>
      </w:pPr>
      <w:r w:rsidRPr="0012665E">
        <w:rPr>
          <w:rFonts w:ascii="Times New Roman" w:hAnsi="Times New Roman" w:cs="Times New Roman"/>
        </w:rPr>
        <w:t xml:space="preserve">Average model ranks computed across the 165 items (lower is better), with the </w:t>
      </w:r>
      <w:proofErr w:type="spellStart"/>
      <w:r w:rsidRPr="0012665E">
        <w:rPr>
          <w:rFonts w:ascii="Times New Roman" w:hAnsi="Times New Roman" w:cs="Times New Roman"/>
        </w:rPr>
        <w:t>Nemenyi</w:t>
      </w:r>
      <w:proofErr w:type="spellEnd"/>
      <w:r w:rsidRPr="0012665E">
        <w:rPr>
          <w:rFonts w:ascii="Times New Roman" w:hAnsi="Times New Roman" w:cs="Times New Roman"/>
        </w:rPr>
        <w:t xml:space="preserve"> CD (</w:t>
      </w:r>
      <w:r w:rsidRPr="0012665E">
        <w:rPr>
          <w:rFonts w:ascii="Times New Roman" w:hAnsi="Times New Roman" w:cs="Times New Roman"/>
        </w:rPr>
        <w:t>α</w:t>
      </w:r>
      <w:r w:rsidRPr="0012665E">
        <w:rPr>
          <w:rFonts w:ascii="Times New Roman" w:hAnsi="Times New Roman" w:cs="Times New Roman"/>
        </w:rPr>
        <w:t>=0.05) shown as a reference bar. Models are colored by whether they are significantly worse than the best model (rank difference &gt; CD). Panel A: baseline; Panel B: agentic.</w:t>
      </w:r>
    </w:p>
    <w:p w14:paraId="5F497D2D" w14:textId="6B27C692" w:rsidR="0012665E" w:rsidRDefault="0012665E" w:rsidP="0012665E">
      <w:pPr>
        <w:rPr>
          <w:rFonts w:ascii="Times New Roman" w:hAnsi="Times New Roman" w:cs="Times New Roman" w:hint="eastAsia"/>
        </w:rPr>
      </w:pPr>
    </w:p>
    <w:p w14:paraId="2FD42FA0" w14:textId="4208AE2B" w:rsidR="0012665E" w:rsidRDefault="0012665E" w:rsidP="0012665E">
      <w:pPr>
        <w:rPr>
          <w:rFonts w:ascii="Times New Roman" w:hAnsi="Times New Roman" w:cs="Times New Roman"/>
        </w:rPr>
      </w:pPr>
      <w:r>
        <w:rPr>
          <w:rFonts w:ascii="Times New Roman" w:hAnsi="Times New Roman" w:cs="Times New Roman"/>
          <w:noProof/>
        </w:rPr>
        <w:lastRenderedPageBreak/>
        <w:drawing>
          <wp:inline distT="0" distB="0" distL="0" distR="0" wp14:anchorId="710B1830" wp14:editId="5F898CD0">
            <wp:extent cx="5274310" cy="5121910"/>
            <wp:effectExtent l="0" t="0" r="2540" b="2540"/>
            <wp:docPr id="18267943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5121910"/>
                    </a:xfrm>
                    <a:prstGeom prst="rect">
                      <a:avLst/>
                    </a:prstGeom>
                    <a:noFill/>
                    <a:ln>
                      <a:noFill/>
                    </a:ln>
                  </pic:spPr>
                </pic:pic>
              </a:graphicData>
            </a:graphic>
          </wp:inline>
        </w:drawing>
      </w:r>
    </w:p>
    <w:p w14:paraId="0F7F2B53" w14:textId="77777777" w:rsidR="0012665E" w:rsidRPr="0012665E" w:rsidRDefault="0012665E" w:rsidP="0012665E">
      <w:pPr>
        <w:rPr>
          <w:rFonts w:ascii="Times New Roman" w:hAnsi="Times New Roman" w:cs="Times New Roman"/>
          <w:b/>
          <w:bCs/>
        </w:rPr>
      </w:pPr>
      <w:r w:rsidRPr="0012665E">
        <w:rPr>
          <w:rFonts w:ascii="Times New Roman" w:hAnsi="Times New Roman" w:cs="Times New Roman"/>
          <w:b/>
          <w:bCs/>
        </w:rPr>
        <w:t>Fig. S2. Accuracy vs self-consistency across repeated trials.</w:t>
      </w:r>
    </w:p>
    <w:p w14:paraId="1CADB96A" w14:textId="55E32FC8" w:rsidR="0012665E" w:rsidRPr="0012665E" w:rsidRDefault="0012665E" w:rsidP="0012665E">
      <w:pPr>
        <w:rPr>
          <w:rFonts w:ascii="Times New Roman" w:hAnsi="Times New Roman" w:cs="Times New Roman"/>
        </w:rPr>
      </w:pPr>
      <w:r w:rsidRPr="0012665E">
        <w:rPr>
          <w:rFonts w:ascii="Times New Roman" w:hAnsi="Times New Roman" w:cs="Times New Roman"/>
        </w:rPr>
        <w:t xml:space="preserve">Relationship between mean accuracy and Fleiss' </w:t>
      </w:r>
      <w:r w:rsidR="002475D2" w:rsidRPr="003C3315">
        <w:rPr>
          <w:rFonts w:ascii="Times New Roman" w:hAnsi="Times New Roman" w:cs="Times New Roman"/>
        </w:rPr>
        <w:t>κ</w:t>
      </w:r>
      <w:r w:rsidR="002475D2">
        <w:rPr>
          <w:rFonts w:ascii="Times New Roman" w:hAnsi="Times New Roman" w:cs="Times New Roman" w:hint="eastAsia"/>
        </w:rPr>
        <w:t xml:space="preserve"> </w:t>
      </w:r>
      <w:r w:rsidRPr="0012665E">
        <w:rPr>
          <w:rFonts w:ascii="Times New Roman" w:hAnsi="Times New Roman" w:cs="Times New Roman"/>
        </w:rPr>
        <w:t>for each model. Panel A: baseline; Panel B: agentic.</w:t>
      </w:r>
    </w:p>
    <w:p w14:paraId="355D9A5A" w14:textId="085D22F4" w:rsidR="0012665E" w:rsidRDefault="0012665E" w:rsidP="0012665E">
      <w:pPr>
        <w:rPr>
          <w:rFonts w:ascii="Times New Roman" w:hAnsi="Times New Roman" w:cs="Times New Roman"/>
        </w:rPr>
      </w:pPr>
      <w:r>
        <w:rPr>
          <w:rFonts w:ascii="Times New Roman" w:hAnsi="Times New Roman" w:cs="Times New Roman"/>
          <w:noProof/>
        </w:rPr>
        <w:lastRenderedPageBreak/>
        <w:drawing>
          <wp:inline distT="0" distB="0" distL="0" distR="0" wp14:anchorId="7812A4DB" wp14:editId="41BBDFE8">
            <wp:extent cx="5274310" cy="7524650"/>
            <wp:effectExtent l="0" t="0" r="2540" b="635"/>
            <wp:docPr id="1645725262" name="图片 5"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725262" name="图片 5" descr="图表, 散点图&#10;&#10;AI 生成的内容可能不正确。"/>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6969" r="15022"/>
                    <a:stretch>
                      <a:fillRect/>
                    </a:stretch>
                  </pic:blipFill>
                  <pic:spPr bwMode="auto">
                    <a:xfrm>
                      <a:off x="0" y="0"/>
                      <a:ext cx="5274310" cy="7524650"/>
                    </a:xfrm>
                    <a:prstGeom prst="rect">
                      <a:avLst/>
                    </a:prstGeom>
                    <a:noFill/>
                    <a:ln>
                      <a:noFill/>
                    </a:ln>
                    <a:extLst>
                      <a:ext uri="{53640926-AAD7-44D8-BBD7-CCE9431645EC}">
                        <a14:shadowObscured xmlns:a14="http://schemas.microsoft.com/office/drawing/2010/main"/>
                      </a:ext>
                    </a:extLst>
                  </pic:spPr>
                </pic:pic>
              </a:graphicData>
            </a:graphic>
          </wp:inline>
        </w:drawing>
      </w:r>
    </w:p>
    <w:p w14:paraId="2CAB4531" w14:textId="6F897123" w:rsidR="002475D2" w:rsidRPr="002475D2" w:rsidRDefault="002475D2" w:rsidP="002475D2">
      <w:pPr>
        <w:rPr>
          <w:rFonts w:ascii="Times New Roman" w:hAnsi="Times New Roman" w:cs="Times New Roman" w:hint="eastAsia"/>
          <w:b/>
          <w:bCs/>
        </w:rPr>
      </w:pPr>
      <w:r w:rsidRPr="002475D2">
        <w:rPr>
          <w:rFonts w:ascii="Times New Roman" w:hAnsi="Times New Roman" w:cs="Times New Roman" w:hint="eastAsia"/>
          <w:b/>
          <w:bCs/>
        </w:rPr>
        <w:t>Fig. S3. Discipline gap between basic sciences and clinical disciplines.</w:t>
      </w:r>
    </w:p>
    <w:p w14:paraId="424576F2" w14:textId="11B6C65B" w:rsidR="002475D2" w:rsidRPr="002475D2" w:rsidRDefault="002475D2" w:rsidP="002475D2">
      <w:pPr>
        <w:rPr>
          <w:rFonts w:ascii="Times New Roman" w:hAnsi="Times New Roman" w:cs="Times New Roman" w:hint="eastAsia"/>
        </w:rPr>
      </w:pPr>
      <w:r w:rsidRPr="002475D2">
        <w:rPr>
          <w:rFonts w:ascii="Times New Roman" w:hAnsi="Times New Roman" w:cs="Times New Roman" w:hint="eastAsia"/>
        </w:rPr>
        <w:t>For each model, dumbbell arrows compare accuracy on basic sciences (Physiology/Biochemistry + Pathology; circle) versus clinical disciplines (Internal Medicine + Surgery; square). The right-aligned label reports the clinical-minus-basic gap in percentage points. Panel A: baseline; Panel B: agentic.</w:t>
      </w:r>
    </w:p>
    <w:p w14:paraId="5AD3D2C9" w14:textId="64D2AEF0" w:rsidR="002475D2" w:rsidRPr="002475D2" w:rsidRDefault="002475D2" w:rsidP="002475D2">
      <w:pPr>
        <w:rPr>
          <w:rFonts w:ascii="Times New Roman" w:hAnsi="Times New Roman" w:cs="Times New Roman" w:hint="eastAsia"/>
          <w:b/>
          <w:bCs/>
        </w:rPr>
      </w:pPr>
      <w:r>
        <w:rPr>
          <w:rFonts w:ascii="Times New Roman" w:hAnsi="Times New Roman" w:cs="Times New Roman"/>
          <w:b/>
          <w:bCs/>
          <w:noProof/>
        </w:rPr>
        <w:lastRenderedPageBreak/>
        <w:drawing>
          <wp:inline distT="0" distB="0" distL="0" distR="0" wp14:anchorId="258A6A44" wp14:editId="70FCC5FF">
            <wp:extent cx="5260975" cy="3377565"/>
            <wp:effectExtent l="0" t="0" r="0" b="0"/>
            <wp:docPr id="75595726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60975" cy="3377565"/>
                    </a:xfrm>
                    <a:prstGeom prst="rect">
                      <a:avLst/>
                    </a:prstGeom>
                    <a:noFill/>
                    <a:ln>
                      <a:noFill/>
                    </a:ln>
                  </pic:spPr>
                </pic:pic>
              </a:graphicData>
            </a:graphic>
          </wp:inline>
        </w:drawing>
      </w:r>
      <w:r w:rsidRPr="002475D2">
        <w:rPr>
          <w:rFonts w:ascii="Times New Roman" w:hAnsi="Times New Roman" w:cs="Times New Roman" w:hint="eastAsia"/>
          <w:b/>
          <w:bCs/>
        </w:rPr>
        <w:t>Fig. S4. Entropy heatmaps of trial-to-trial output uncertainty.</w:t>
      </w:r>
    </w:p>
    <w:p w14:paraId="00EDE19A" w14:textId="2EF189FA" w:rsidR="002475D2" w:rsidRDefault="002475D2" w:rsidP="002475D2">
      <w:pPr>
        <w:rPr>
          <w:rFonts w:ascii="Times New Roman" w:hAnsi="Times New Roman" w:cs="Times New Roman"/>
        </w:rPr>
      </w:pPr>
      <w:r w:rsidRPr="002475D2">
        <w:rPr>
          <w:rFonts w:ascii="Times New Roman" w:hAnsi="Times New Roman" w:cs="Times New Roman" w:hint="eastAsia"/>
        </w:rPr>
        <w:t>Per model-item response uncertainty quantified as Shannon entropy (bits) over the distribution of selected options across 5 trials. Cells with zero entropy (identical outputs across trials) are masked in white. Items are grouped by discipline and sorted within each discipline by the across-model mean entropy; models are ordered by overall accuracy. Panel A: baseline; Panel B: agentic.</w:t>
      </w:r>
      <w:r>
        <w:rPr>
          <w:rFonts w:ascii="Times New Roman" w:hAnsi="Times New Roman" w:cs="Times New Roman" w:hint="eastAsia"/>
          <w:noProof/>
        </w:rPr>
        <w:lastRenderedPageBreak/>
        <w:drawing>
          <wp:inline distT="0" distB="0" distL="0" distR="0" wp14:anchorId="6C914A5A" wp14:editId="738C85FA">
            <wp:extent cx="5264785" cy="5113020"/>
            <wp:effectExtent l="0" t="0" r="0" b="0"/>
            <wp:docPr id="2361057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64785" cy="5113020"/>
                    </a:xfrm>
                    <a:prstGeom prst="rect">
                      <a:avLst/>
                    </a:prstGeom>
                    <a:noFill/>
                    <a:ln>
                      <a:noFill/>
                    </a:ln>
                  </pic:spPr>
                </pic:pic>
              </a:graphicData>
            </a:graphic>
          </wp:inline>
        </w:drawing>
      </w:r>
    </w:p>
    <w:p w14:paraId="72B96A9E" w14:textId="24DDFF01" w:rsidR="002475D2" w:rsidRPr="002475D2" w:rsidRDefault="002475D2" w:rsidP="002475D2">
      <w:pPr>
        <w:rPr>
          <w:rFonts w:ascii="Times New Roman" w:hAnsi="Times New Roman" w:cs="Times New Roman" w:hint="eastAsia"/>
          <w:b/>
          <w:bCs/>
        </w:rPr>
      </w:pPr>
      <w:r w:rsidRPr="002475D2">
        <w:rPr>
          <w:rFonts w:ascii="Times New Roman" w:hAnsi="Times New Roman" w:cs="Times New Roman" w:hint="eastAsia"/>
          <w:b/>
          <w:bCs/>
        </w:rPr>
        <w:t>Fig. S5. Consistency Sankey.</w:t>
      </w:r>
    </w:p>
    <w:p w14:paraId="011400D3" w14:textId="4E3C30E0" w:rsidR="002475D2" w:rsidRDefault="002475D2" w:rsidP="002475D2">
      <w:pPr>
        <w:rPr>
          <w:rFonts w:ascii="Times New Roman" w:hAnsi="Times New Roman" w:cs="Times New Roman"/>
        </w:rPr>
      </w:pPr>
      <w:r w:rsidRPr="002475D2">
        <w:rPr>
          <w:rFonts w:ascii="Times New Roman" w:hAnsi="Times New Roman" w:cs="Times New Roman" w:hint="eastAsia"/>
        </w:rPr>
        <w:t>Sankey diagrams summarizing stability categories based on the number of correct trials for each model-item pair: robust correct (5/5), probabilistic (3-4/5), guessing/ambiguous (1-2/5), and robust wrong (0/5). Left flows show the per-model distribution across the 165 items; right flows summarize the overall discipline composition of each stability category aggregated across all models. Panel A: baseline; Panel B: agentic.</w:t>
      </w:r>
    </w:p>
    <w:p w14:paraId="26353608" w14:textId="58C1E96F" w:rsidR="007639B0" w:rsidRDefault="007639B0" w:rsidP="002475D2">
      <w:pPr>
        <w:rPr>
          <w:rFonts w:ascii="Times New Roman" w:hAnsi="Times New Roman" w:cs="Times New Roman"/>
        </w:rPr>
      </w:pPr>
      <w:r>
        <w:rPr>
          <w:rFonts w:ascii="Times New Roman" w:hAnsi="Times New Roman" w:cs="Times New Roman"/>
          <w:noProof/>
        </w:rPr>
        <w:lastRenderedPageBreak/>
        <w:drawing>
          <wp:inline distT="0" distB="0" distL="0" distR="0" wp14:anchorId="5997045F" wp14:editId="0E5A7207">
            <wp:extent cx="5264785" cy="5113020"/>
            <wp:effectExtent l="0" t="0" r="0" b="0"/>
            <wp:docPr id="150918739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4785" cy="5113020"/>
                    </a:xfrm>
                    <a:prstGeom prst="rect">
                      <a:avLst/>
                    </a:prstGeom>
                    <a:noFill/>
                    <a:ln>
                      <a:noFill/>
                    </a:ln>
                  </pic:spPr>
                </pic:pic>
              </a:graphicData>
            </a:graphic>
          </wp:inline>
        </w:drawing>
      </w:r>
    </w:p>
    <w:p w14:paraId="5FEE77B2" w14:textId="77777777" w:rsidR="007639B0" w:rsidRPr="007639B0" w:rsidRDefault="007639B0" w:rsidP="007639B0">
      <w:pPr>
        <w:rPr>
          <w:rFonts w:ascii="Times New Roman" w:hAnsi="Times New Roman" w:cs="Times New Roman"/>
          <w:b/>
          <w:bCs/>
        </w:rPr>
      </w:pPr>
      <w:r w:rsidRPr="007639B0">
        <w:rPr>
          <w:rFonts w:ascii="Times New Roman" w:hAnsi="Times New Roman" w:cs="Times New Roman"/>
          <w:b/>
          <w:bCs/>
        </w:rPr>
        <w:t>Fig. S6. Latency-accuracy Pareto frontiers under baseline and agentic protocols.</w:t>
      </w:r>
    </w:p>
    <w:p w14:paraId="5A72DD86" w14:textId="77777777" w:rsidR="007639B0" w:rsidRPr="007639B0" w:rsidRDefault="007639B0" w:rsidP="007639B0">
      <w:pPr>
        <w:rPr>
          <w:rFonts w:ascii="Times New Roman" w:hAnsi="Times New Roman" w:cs="Times New Roman"/>
        </w:rPr>
      </w:pPr>
      <w:r w:rsidRPr="007639B0">
        <w:rPr>
          <w:rFonts w:ascii="Times New Roman" w:hAnsi="Times New Roman" w:cs="Times New Roman"/>
        </w:rPr>
        <w:t>Scatter plots of mean latency (log scale; lower is better) versus mean accuracy for each model. Marker shape encodes model availability (proprietary vs open-weight); bubble size reflects parameter count when available (open-weight models). The dashed curve indicates the Pareto frontier (non-dominated models). Panel A: baseline; Panel B: agentic.</w:t>
      </w:r>
    </w:p>
    <w:p w14:paraId="5D8ACF07" w14:textId="6FD98CAF" w:rsidR="007639B0" w:rsidRDefault="006F2CE9" w:rsidP="002475D2">
      <w:pPr>
        <w:rPr>
          <w:rFonts w:ascii="Times New Roman" w:hAnsi="Times New Roman" w:cs="Times New Roman"/>
        </w:rPr>
      </w:pPr>
      <w:r>
        <w:rPr>
          <w:rFonts w:ascii="Times New Roman" w:hAnsi="Times New Roman" w:cs="Times New Roman" w:hint="eastAsia"/>
          <w:noProof/>
        </w:rPr>
        <w:lastRenderedPageBreak/>
        <w:drawing>
          <wp:inline distT="0" distB="0" distL="0" distR="0" wp14:anchorId="3FC989E7" wp14:editId="5F1546CE">
            <wp:extent cx="5268595" cy="4358005"/>
            <wp:effectExtent l="0" t="0" r="8255" b="4445"/>
            <wp:docPr id="110311406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8595" cy="4358005"/>
                    </a:xfrm>
                    <a:prstGeom prst="rect">
                      <a:avLst/>
                    </a:prstGeom>
                    <a:noFill/>
                    <a:ln>
                      <a:noFill/>
                    </a:ln>
                  </pic:spPr>
                </pic:pic>
              </a:graphicData>
            </a:graphic>
          </wp:inline>
        </w:drawing>
      </w:r>
    </w:p>
    <w:p w14:paraId="42A3CAC2" w14:textId="77777777" w:rsidR="006F2CE9" w:rsidRPr="006F2CE9" w:rsidRDefault="006F2CE9" w:rsidP="006F2CE9">
      <w:pPr>
        <w:rPr>
          <w:rFonts w:ascii="Times New Roman" w:hAnsi="Times New Roman" w:cs="Times New Roman"/>
          <w:b/>
          <w:bCs/>
        </w:rPr>
      </w:pPr>
      <w:r w:rsidRPr="006F2CE9">
        <w:rPr>
          <w:rFonts w:ascii="Times New Roman" w:hAnsi="Times New Roman" w:cs="Times New Roman"/>
          <w:b/>
          <w:bCs/>
        </w:rPr>
        <w:t xml:space="preserve">Fig. S7. </w:t>
      </w:r>
      <w:proofErr w:type="spellStart"/>
      <w:r w:rsidRPr="006F2CE9">
        <w:rPr>
          <w:rFonts w:ascii="Times New Roman" w:hAnsi="Times New Roman" w:cs="Times New Roman"/>
          <w:b/>
          <w:bCs/>
        </w:rPr>
        <w:t>UpSet</w:t>
      </w:r>
      <w:proofErr w:type="spellEnd"/>
      <w:r w:rsidRPr="006F2CE9">
        <w:rPr>
          <w:rFonts w:ascii="Times New Roman" w:hAnsi="Times New Roman" w:cs="Times New Roman"/>
          <w:b/>
          <w:bCs/>
        </w:rPr>
        <w:t xml:space="preserve"> plots of "robust wrong" (0/5 correct) intersections across models.</w:t>
      </w:r>
    </w:p>
    <w:p w14:paraId="1F39D696" w14:textId="737EB5E7" w:rsidR="006F2CE9" w:rsidRDefault="006F2CE9" w:rsidP="002475D2">
      <w:pPr>
        <w:rPr>
          <w:rFonts w:ascii="Times New Roman" w:hAnsi="Times New Roman" w:cs="Times New Roman"/>
        </w:rPr>
      </w:pPr>
      <w:proofErr w:type="spellStart"/>
      <w:r w:rsidRPr="006F2CE9">
        <w:rPr>
          <w:rFonts w:ascii="Times New Roman" w:hAnsi="Times New Roman" w:cs="Times New Roman"/>
        </w:rPr>
        <w:t>UpSet</w:t>
      </w:r>
      <w:proofErr w:type="spellEnd"/>
      <w:r w:rsidRPr="006F2CE9">
        <w:rPr>
          <w:rFonts w:ascii="Times New Roman" w:hAnsi="Times New Roman" w:cs="Times New Roman"/>
        </w:rPr>
        <w:t xml:space="preserve"> plots summarize intersections of items that were robust wrong (0/5 correct across trials) for different subsets of models. The bar chart reports the number of items in each intersection (top intersections ranked by size), and the dot matrix indicates which models are included in each subset (models ordered by overall accuracy). The all-models intersection, when present, is highlighted. Panel A: baseline; Panel B: agentic.</w:t>
      </w:r>
    </w:p>
    <w:p w14:paraId="124FC183" w14:textId="77777777" w:rsidR="005E5B63" w:rsidRDefault="005E5B63" w:rsidP="002475D2">
      <w:pPr>
        <w:rPr>
          <w:rFonts w:ascii="Times New Roman" w:hAnsi="Times New Roman" w:cs="Times New Roman"/>
        </w:rPr>
      </w:pPr>
    </w:p>
    <w:p w14:paraId="0356EA0D" w14:textId="77777777" w:rsidR="005E5B63" w:rsidRDefault="005E5B63" w:rsidP="002475D2">
      <w:pPr>
        <w:rPr>
          <w:rFonts w:ascii="Times New Roman" w:hAnsi="Times New Roman" w:cs="Times New Roman"/>
        </w:rPr>
      </w:pPr>
    </w:p>
    <w:p w14:paraId="7AF96A7B" w14:textId="77777777" w:rsidR="005E5B63" w:rsidRDefault="005E5B63" w:rsidP="002475D2">
      <w:pPr>
        <w:rPr>
          <w:rFonts w:ascii="Times New Roman" w:hAnsi="Times New Roman" w:cs="Times New Roman"/>
        </w:rPr>
      </w:pPr>
    </w:p>
    <w:p w14:paraId="6820997B" w14:textId="77777777" w:rsidR="005E5B63" w:rsidRDefault="005E5B63" w:rsidP="002475D2">
      <w:pPr>
        <w:rPr>
          <w:rFonts w:ascii="Times New Roman" w:hAnsi="Times New Roman" w:cs="Times New Roman"/>
        </w:rPr>
      </w:pPr>
    </w:p>
    <w:p w14:paraId="17DA1FE4" w14:textId="77777777" w:rsidR="005E5B63" w:rsidRDefault="005E5B63" w:rsidP="002475D2">
      <w:pPr>
        <w:rPr>
          <w:rFonts w:ascii="Times New Roman" w:hAnsi="Times New Roman" w:cs="Times New Roman"/>
        </w:rPr>
      </w:pPr>
    </w:p>
    <w:p w14:paraId="577739A2" w14:textId="77777777" w:rsidR="005E5B63" w:rsidRDefault="005E5B63" w:rsidP="002475D2">
      <w:pPr>
        <w:rPr>
          <w:rFonts w:ascii="Times New Roman" w:hAnsi="Times New Roman" w:cs="Times New Roman"/>
        </w:rPr>
      </w:pPr>
    </w:p>
    <w:p w14:paraId="32C15CB9" w14:textId="77777777" w:rsidR="005E5B63" w:rsidRDefault="005E5B63" w:rsidP="002475D2">
      <w:pPr>
        <w:rPr>
          <w:rFonts w:ascii="Times New Roman" w:hAnsi="Times New Roman" w:cs="Times New Roman"/>
        </w:rPr>
      </w:pPr>
    </w:p>
    <w:p w14:paraId="3DF39A2D" w14:textId="77777777" w:rsidR="005E5B63" w:rsidRPr="006F2CE9" w:rsidRDefault="005E5B63" w:rsidP="002475D2">
      <w:pPr>
        <w:rPr>
          <w:rFonts w:ascii="Times New Roman" w:hAnsi="Times New Roman" w:cs="Times New Roman" w:hint="eastAsia"/>
        </w:rPr>
      </w:pPr>
    </w:p>
    <w:sectPr w:rsidR="005E5B63" w:rsidRPr="006F2CE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6E5FB" w14:textId="77777777" w:rsidR="004230BF" w:rsidRDefault="004230BF" w:rsidP="0012665E">
      <w:pPr>
        <w:spacing w:after="0" w:line="240" w:lineRule="auto"/>
        <w:rPr>
          <w:rFonts w:hint="eastAsia"/>
        </w:rPr>
      </w:pPr>
      <w:r>
        <w:separator/>
      </w:r>
    </w:p>
  </w:endnote>
  <w:endnote w:type="continuationSeparator" w:id="0">
    <w:p w14:paraId="1FBF7743" w14:textId="77777777" w:rsidR="004230BF" w:rsidRDefault="004230BF" w:rsidP="0012665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6C36A" w14:textId="77777777" w:rsidR="004230BF" w:rsidRDefault="004230BF" w:rsidP="0012665E">
      <w:pPr>
        <w:spacing w:after="0" w:line="240" w:lineRule="auto"/>
        <w:rPr>
          <w:rFonts w:hint="eastAsia"/>
        </w:rPr>
      </w:pPr>
      <w:r>
        <w:separator/>
      </w:r>
    </w:p>
  </w:footnote>
  <w:footnote w:type="continuationSeparator" w:id="0">
    <w:p w14:paraId="67D2A3C0" w14:textId="77777777" w:rsidR="004230BF" w:rsidRDefault="004230BF" w:rsidP="0012665E">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1C"/>
    <w:rsid w:val="0012665E"/>
    <w:rsid w:val="002475D2"/>
    <w:rsid w:val="004230BF"/>
    <w:rsid w:val="004236CA"/>
    <w:rsid w:val="005E5B63"/>
    <w:rsid w:val="006D4850"/>
    <w:rsid w:val="006F2CE9"/>
    <w:rsid w:val="007639B0"/>
    <w:rsid w:val="00EE5D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CAC7EB"/>
  <w15:chartTrackingRefBased/>
  <w15:docId w15:val="{D851F732-F43C-400E-9C0A-74D36A566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E5D1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E5D1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E5D1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E5D1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E5D1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E5D1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E5D1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E5D1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E5D1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1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E5D1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E5D1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E5D1C"/>
    <w:rPr>
      <w:rFonts w:cstheme="majorBidi"/>
      <w:color w:val="0F4761" w:themeColor="accent1" w:themeShade="BF"/>
      <w:sz w:val="28"/>
      <w:szCs w:val="28"/>
    </w:rPr>
  </w:style>
  <w:style w:type="character" w:customStyle="1" w:styleId="50">
    <w:name w:val="标题 5 字符"/>
    <w:basedOn w:val="a0"/>
    <w:link w:val="5"/>
    <w:uiPriority w:val="9"/>
    <w:semiHidden/>
    <w:rsid w:val="00EE5D1C"/>
    <w:rPr>
      <w:rFonts w:cstheme="majorBidi"/>
      <w:color w:val="0F4761" w:themeColor="accent1" w:themeShade="BF"/>
      <w:sz w:val="24"/>
    </w:rPr>
  </w:style>
  <w:style w:type="character" w:customStyle="1" w:styleId="60">
    <w:name w:val="标题 6 字符"/>
    <w:basedOn w:val="a0"/>
    <w:link w:val="6"/>
    <w:uiPriority w:val="9"/>
    <w:semiHidden/>
    <w:rsid w:val="00EE5D1C"/>
    <w:rPr>
      <w:rFonts w:cstheme="majorBidi"/>
      <w:b/>
      <w:bCs/>
      <w:color w:val="0F4761" w:themeColor="accent1" w:themeShade="BF"/>
    </w:rPr>
  </w:style>
  <w:style w:type="character" w:customStyle="1" w:styleId="70">
    <w:name w:val="标题 7 字符"/>
    <w:basedOn w:val="a0"/>
    <w:link w:val="7"/>
    <w:uiPriority w:val="9"/>
    <w:semiHidden/>
    <w:rsid w:val="00EE5D1C"/>
    <w:rPr>
      <w:rFonts w:cstheme="majorBidi"/>
      <w:b/>
      <w:bCs/>
      <w:color w:val="595959" w:themeColor="text1" w:themeTint="A6"/>
    </w:rPr>
  </w:style>
  <w:style w:type="character" w:customStyle="1" w:styleId="80">
    <w:name w:val="标题 8 字符"/>
    <w:basedOn w:val="a0"/>
    <w:link w:val="8"/>
    <w:uiPriority w:val="9"/>
    <w:semiHidden/>
    <w:rsid w:val="00EE5D1C"/>
    <w:rPr>
      <w:rFonts w:cstheme="majorBidi"/>
      <w:color w:val="595959" w:themeColor="text1" w:themeTint="A6"/>
    </w:rPr>
  </w:style>
  <w:style w:type="character" w:customStyle="1" w:styleId="90">
    <w:name w:val="标题 9 字符"/>
    <w:basedOn w:val="a0"/>
    <w:link w:val="9"/>
    <w:uiPriority w:val="9"/>
    <w:semiHidden/>
    <w:rsid w:val="00EE5D1C"/>
    <w:rPr>
      <w:rFonts w:eastAsiaTheme="majorEastAsia" w:cstheme="majorBidi"/>
      <w:color w:val="595959" w:themeColor="text1" w:themeTint="A6"/>
    </w:rPr>
  </w:style>
  <w:style w:type="paragraph" w:styleId="a3">
    <w:name w:val="Title"/>
    <w:basedOn w:val="a"/>
    <w:next w:val="a"/>
    <w:link w:val="a4"/>
    <w:uiPriority w:val="10"/>
    <w:qFormat/>
    <w:rsid w:val="00EE5D1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E5D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1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E5D1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1C"/>
    <w:pPr>
      <w:spacing w:before="160"/>
      <w:jc w:val="center"/>
    </w:pPr>
    <w:rPr>
      <w:i/>
      <w:iCs/>
      <w:color w:val="404040" w:themeColor="text1" w:themeTint="BF"/>
    </w:rPr>
  </w:style>
  <w:style w:type="character" w:customStyle="1" w:styleId="a8">
    <w:name w:val="引用 字符"/>
    <w:basedOn w:val="a0"/>
    <w:link w:val="a7"/>
    <w:uiPriority w:val="29"/>
    <w:rsid w:val="00EE5D1C"/>
    <w:rPr>
      <w:i/>
      <w:iCs/>
      <w:color w:val="404040" w:themeColor="text1" w:themeTint="BF"/>
    </w:rPr>
  </w:style>
  <w:style w:type="paragraph" w:styleId="a9">
    <w:name w:val="List Paragraph"/>
    <w:basedOn w:val="a"/>
    <w:uiPriority w:val="34"/>
    <w:qFormat/>
    <w:rsid w:val="00EE5D1C"/>
    <w:pPr>
      <w:ind w:left="720"/>
      <w:contextualSpacing/>
    </w:pPr>
  </w:style>
  <w:style w:type="character" w:styleId="aa">
    <w:name w:val="Intense Emphasis"/>
    <w:basedOn w:val="a0"/>
    <w:uiPriority w:val="21"/>
    <w:qFormat/>
    <w:rsid w:val="00EE5D1C"/>
    <w:rPr>
      <w:i/>
      <w:iCs/>
      <w:color w:val="0F4761" w:themeColor="accent1" w:themeShade="BF"/>
    </w:rPr>
  </w:style>
  <w:style w:type="paragraph" w:styleId="ab">
    <w:name w:val="Intense Quote"/>
    <w:basedOn w:val="a"/>
    <w:next w:val="a"/>
    <w:link w:val="ac"/>
    <w:uiPriority w:val="30"/>
    <w:qFormat/>
    <w:rsid w:val="00EE5D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E5D1C"/>
    <w:rPr>
      <w:i/>
      <w:iCs/>
      <w:color w:val="0F4761" w:themeColor="accent1" w:themeShade="BF"/>
    </w:rPr>
  </w:style>
  <w:style w:type="character" w:styleId="ad">
    <w:name w:val="Intense Reference"/>
    <w:basedOn w:val="a0"/>
    <w:uiPriority w:val="32"/>
    <w:qFormat/>
    <w:rsid w:val="00EE5D1C"/>
    <w:rPr>
      <w:b/>
      <w:bCs/>
      <w:smallCaps/>
      <w:color w:val="0F4761" w:themeColor="accent1" w:themeShade="BF"/>
      <w:spacing w:val="5"/>
    </w:rPr>
  </w:style>
  <w:style w:type="paragraph" w:styleId="ae">
    <w:name w:val="header"/>
    <w:basedOn w:val="a"/>
    <w:link w:val="af"/>
    <w:uiPriority w:val="99"/>
    <w:unhideWhenUsed/>
    <w:rsid w:val="0012665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2665E"/>
    <w:rPr>
      <w:sz w:val="18"/>
      <w:szCs w:val="18"/>
    </w:rPr>
  </w:style>
  <w:style w:type="paragraph" w:styleId="af0">
    <w:name w:val="footer"/>
    <w:basedOn w:val="a"/>
    <w:link w:val="af1"/>
    <w:uiPriority w:val="99"/>
    <w:unhideWhenUsed/>
    <w:rsid w:val="0012665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2665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8</Pages>
  <Words>417</Words>
  <Characters>2378</Characters>
  <Application>Microsoft Office Word</Application>
  <DocSecurity>0</DocSecurity>
  <Lines>19</Lines>
  <Paragraphs>5</Paragraphs>
  <ScaleCrop>false</ScaleCrop>
  <Company/>
  <LinksUpToDate>false</LinksUpToDate>
  <CharactersWithSpaces>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Wanzhe Liao</dc:creator>
  <cp:keywords/>
  <dc:description/>
  <cp:lastModifiedBy>Wanzhe Liao</cp:lastModifiedBy>
  <cp:revision>3</cp:revision>
  <dcterms:created xsi:type="dcterms:W3CDTF">2026-01-11T10:56:00Z</dcterms:created>
  <dcterms:modified xsi:type="dcterms:W3CDTF">2026-01-11T12:37:00Z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4b634fa4-f34e-4e89-97a7-32531344996b</vt:lpwstr>
  </property>
</Properties>
</file>