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3429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 différentes familles d’aliments)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+ </w:t>
            </w:r>
            <w:r w:rsidR="0034296F">
              <w:t>Quantités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Adapter apports en nutriments</w:t>
            </w:r>
            <w:r w:rsidR="00AD2955">
              <w:t xml:space="preserve"> </w:t>
            </w:r>
            <w:r w:rsidR="0034296F">
              <w:t>ANTC diabétique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  <w:bookmarkStart w:id="0" w:name="_GoBack"/>
            <w:bookmarkEnd w:id="0"/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7509F"/>
    <w:rsid w:val="00302B1D"/>
    <w:rsid w:val="0034296F"/>
    <w:rsid w:val="003B1414"/>
    <w:rsid w:val="00637BBF"/>
    <w:rsid w:val="00A15C04"/>
    <w:rsid w:val="00AD2955"/>
    <w:rsid w:val="00B737F2"/>
    <w:rsid w:val="00BB6619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C7DF6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2</cp:revision>
  <dcterms:created xsi:type="dcterms:W3CDTF">2022-02-28T12:46:00Z</dcterms:created>
  <dcterms:modified xsi:type="dcterms:W3CDTF">2022-02-28T12:46:00Z</dcterms:modified>
</cp:coreProperties>
</file>