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3562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D6342F" w:rsidP="00F96A15">
            <w:pPr>
              <w:jc w:val="center"/>
            </w:pPr>
            <w:r>
              <w:t>Nutrition adaptée hypercholestérolémie et l’hypertension artérielle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B2269B" w:rsidP="00F96A15">
            <w:pPr>
              <w:jc w:val="center"/>
            </w:pPr>
            <w:r>
              <w:t>Equivalences plaisirs</w:t>
            </w:r>
            <w:r w:rsidR="00637BBF">
              <w:t xml:space="preserve"> 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562E7"/>
    <w:rsid w:val="003B1414"/>
    <w:rsid w:val="00434C30"/>
    <w:rsid w:val="00542B9E"/>
    <w:rsid w:val="00637BBF"/>
    <w:rsid w:val="0075149F"/>
    <w:rsid w:val="00A15C04"/>
    <w:rsid w:val="00B2269B"/>
    <w:rsid w:val="00BB6619"/>
    <w:rsid w:val="00D6342F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2A1A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2022-03-02T08:37:00Z</dcterms:created>
  <dcterms:modified xsi:type="dcterms:W3CDTF">2022-03-02T09:25:00Z</dcterms:modified>
</cp:coreProperties>
</file>