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726D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</w:t>
            </w:r>
            <w:r w:rsidR="00726D56">
              <w:t xml:space="preserve"> (7)</w:t>
            </w:r>
            <w:r w:rsidR="00637BBF">
              <w:t>)</w:t>
            </w:r>
            <w:r w:rsidR="00726D56">
              <w:t xml:space="preserve"> + Notion de satiété et de rassasiement</w:t>
            </w:r>
            <w:r w:rsidR="00637BBF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  <w:r w:rsidR="00726D56">
              <w:t>en grammage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Adapter apports en nutriments</w:t>
            </w:r>
            <w:r w:rsidR="00AD2955">
              <w:t xml:space="preserve"> h</w:t>
            </w:r>
            <w:r w:rsidR="00726D56">
              <w:t>ypertension artérielle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637BBF"/>
    <w:rsid w:val="00726D56"/>
    <w:rsid w:val="00A15C04"/>
    <w:rsid w:val="00AD2955"/>
    <w:rsid w:val="00B737F2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2480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2022-03-16T10:23:00Z</dcterms:created>
  <dcterms:modified xsi:type="dcterms:W3CDTF">2022-03-16T10:23:00Z</dcterms:modified>
</cp:coreProperties>
</file>