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2"/>
        </w:numPr>
        <w:ind w:left="432" w:hanging="432"/>
        <w:rPr/>
      </w:pPr>
      <w:r w:rsidDel="00000000" w:rsidR="00000000" w:rsidRPr="00000000">
        <w:rPr>
          <w:rtl w:val="0"/>
        </w:rPr>
        <w:t xml:space="preserve">Attendance Policy </w:t>
      </w:r>
    </w:p>
    <w:p w:rsidR="00000000" w:rsidDel="00000000" w:rsidP="00000000" w:rsidRDefault="00000000" w:rsidRPr="00000000" w14:paraId="00000002">
      <w:pPr>
        <w:jc w:val="both"/>
        <w:rPr>
          <w:color w:val="000000"/>
        </w:rPr>
      </w:pPr>
      <w:r w:rsidDel="00000000" w:rsidR="00000000" w:rsidRPr="00000000">
        <w:rPr>
          <w:color w:val="000000"/>
          <w:rtl w:val="0"/>
        </w:rPr>
        <w:t xml:space="preserve">As per UET policy, each student MUST attend 75 % of the class lectures. If the attendance falls below 75%, then student will miss the final exam. In that case, the grade will be calculated based on the sessional marks and mid-term marks.</w:t>
      </w:r>
    </w:p>
    <w:p w:rsidR="00000000" w:rsidDel="00000000" w:rsidP="00000000" w:rsidRDefault="00000000" w:rsidRPr="00000000" w14:paraId="00000003">
      <w:pPr>
        <w:rPr>
          <w:color w:val="000000"/>
        </w:rPr>
      </w:pPr>
      <w:r w:rsidDel="00000000" w:rsidR="00000000" w:rsidRPr="00000000">
        <w:rPr>
          <w:color w:val="000000"/>
          <w:rtl w:val="0"/>
        </w:rPr>
        <w:t xml:space="preserve">Please note that there is no such concept as ‘application for leave’ for students.</w:t>
      </w:r>
    </w:p>
    <w:p w:rsidR="00000000" w:rsidDel="00000000" w:rsidP="00000000" w:rsidRDefault="00000000" w:rsidRPr="00000000" w14:paraId="00000004">
      <w:pPr>
        <w:pStyle w:val="Heading1"/>
        <w:numPr>
          <w:ilvl w:val="0"/>
          <w:numId w:val="2"/>
        </w:numPr>
        <w:ind w:left="432" w:hanging="432"/>
        <w:rPr/>
      </w:pPr>
      <w:r w:rsidDel="00000000" w:rsidR="00000000" w:rsidRPr="00000000">
        <w:rPr>
          <w:rtl w:val="0"/>
        </w:rPr>
        <w:t xml:space="preserve">Makeup Exam Policy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completed all the requirements of the course but you have missed the final term due to a genuine reason, then you need to submit an application to the Chairman for the award of ‘I’ grade. There is no makeup exam allowed for the final term.</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miss the mid-term exam due to a genuine reason, then you need to submit an application to the Chairman for rearrangement of the exam. The departmental committee will evaluate the application and submit its recommendation to the Dean. If the Dean accepts the application, then the student will be required to submit Rs. 5000/- per paper for retake of the mid-term exam. If the Dean rejects the application, then the final grade will be awarded based on the sessional and final term marks only.</w:t>
      </w:r>
    </w:p>
    <w:p w:rsidR="00000000" w:rsidDel="00000000" w:rsidP="00000000" w:rsidRDefault="00000000" w:rsidRPr="00000000" w14:paraId="00000007">
      <w:pPr>
        <w:pStyle w:val="Heading1"/>
        <w:numPr>
          <w:ilvl w:val="0"/>
          <w:numId w:val="2"/>
        </w:numPr>
        <w:ind w:left="432" w:hanging="432"/>
        <w:rPr/>
      </w:pPr>
      <w:r w:rsidDel="00000000" w:rsidR="00000000" w:rsidRPr="00000000">
        <w:rPr>
          <w:rtl w:val="0"/>
        </w:rPr>
        <w:t xml:space="preserve">Plagiarism Policy </w:t>
      </w:r>
    </w:p>
    <w:p w:rsidR="00000000" w:rsidDel="00000000" w:rsidP="00000000" w:rsidRDefault="00000000" w:rsidRPr="00000000" w14:paraId="00000008">
      <w:pPr>
        <w:jc w:val="both"/>
        <w:rPr>
          <w:color w:val="000000"/>
        </w:rPr>
      </w:pPr>
      <w:r w:rsidDel="00000000" w:rsidR="00000000" w:rsidRPr="00000000">
        <w:rPr>
          <w:color w:val="000000"/>
          <w:rtl w:val="0"/>
        </w:rPr>
        <w:t xml:space="preserve">Completion of assignments/reports as part of sessional grades adheres to a strict </w:t>
      </w:r>
      <w:r w:rsidDel="00000000" w:rsidR="00000000" w:rsidRPr="00000000">
        <w:rPr>
          <w:b w:val="1"/>
          <w:color w:val="000000"/>
          <w:rtl w:val="0"/>
        </w:rPr>
        <w:t xml:space="preserve">zero-tolerance policy</w:t>
      </w:r>
      <w:r w:rsidDel="00000000" w:rsidR="00000000" w:rsidRPr="00000000">
        <w:rPr>
          <w:color w:val="000000"/>
          <w:rtl w:val="0"/>
        </w:rPr>
        <w:t xml:space="preserve"> against plagiarism.</w:t>
      </w:r>
    </w:p>
    <w:p w:rsidR="00000000" w:rsidDel="00000000" w:rsidP="00000000" w:rsidRDefault="00000000" w:rsidRPr="00000000" w14:paraId="00000009">
      <w:pPr>
        <w:pStyle w:val="Heading1"/>
        <w:numPr>
          <w:ilvl w:val="0"/>
          <w:numId w:val="2"/>
        </w:numPr>
        <w:ind w:left="432" w:hanging="432"/>
        <w:rPr/>
      </w:pPr>
      <w:r w:rsidDel="00000000" w:rsidR="00000000" w:rsidRPr="00000000">
        <w:rPr>
          <w:rtl w:val="0"/>
        </w:rPr>
        <w:t xml:space="preserve">Exam schedule </w:t>
      </w:r>
    </w:p>
    <w:tbl>
      <w:tblPr>
        <w:tblStyle w:val="Table1"/>
        <w:tblW w:w="10224.0" w:type="dxa"/>
        <w:jc w:val="left"/>
        <w:tblBorders>
          <w:bottom w:color="2f5496" w:space="0" w:sz="4" w:val="single"/>
          <w:insideH w:color="595959" w:space="0" w:sz="4" w:val="single"/>
        </w:tblBorders>
        <w:tblLayout w:type="fixed"/>
        <w:tblLook w:val="04A0"/>
      </w:tblPr>
      <w:tblGrid>
        <w:gridCol w:w="2742"/>
        <w:gridCol w:w="7482"/>
        <w:tblGridChange w:id="0">
          <w:tblGrid>
            <w:gridCol w:w="2742"/>
            <w:gridCol w:w="7482"/>
          </w:tblGrid>
        </w:tblGridChange>
      </w:tblGrid>
      <w:tr>
        <w:trPr>
          <w:cantSplit w:val="0"/>
          <w:tblHeader w:val="0"/>
        </w:trPr>
        <w:tc>
          <w:tcPr/>
          <w:p w:rsidR="00000000" w:rsidDel="00000000" w:rsidP="00000000" w:rsidRDefault="00000000" w:rsidRPr="00000000" w14:paraId="0000000A">
            <w:pPr>
              <w:rPr>
                <w:color w:val="000000"/>
              </w:rPr>
            </w:pPr>
            <w:r w:rsidDel="00000000" w:rsidR="00000000" w:rsidRPr="00000000">
              <w:rPr>
                <w:color w:val="000000"/>
                <w:rtl w:val="0"/>
              </w:rPr>
              <w:t xml:space="preserve">Mid Term Exam </w:t>
            </w:r>
          </w:p>
        </w:tc>
        <w:tc>
          <w:tcPr/>
          <w:p w:rsidR="00000000" w:rsidDel="00000000" w:rsidP="00000000" w:rsidRDefault="00000000" w:rsidRPr="00000000" w14:paraId="0000000B">
            <w:pPr>
              <w:rPr>
                <w:b w:val="0"/>
                <w:color w:val="000000"/>
              </w:rPr>
            </w:pPr>
            <w:r w:rsidDel="00000000" w:rsidR="00000000" w:rsidRPr="00000000">
              <w:rPr>
                <w:b w:val="0"/>
                <w:color w:val="000000"/>
                <w:rtl w:val="0"/>
              </w:rPr>
              <w:t xml:space="preserve">11</w:t>
            </w:r>
            <w:r w:rsidDel="00000000" w:rsidR="00000000" w:rsidRPr="00000000">
              <w:rPr>
                <w:b w:val="0"/>
                <w:color w:val="000000"/>
                <w:vertAlign w:val="superscript"/>
                <w:rtl w:val="0"/>
              </w:rPr>
              <w:t xml:space="preserve">th</w:t>
            </w:r>
            <w:r w:rsidDel="00000000" w:rsidR="00000000" w:rsidRPr="00000000">
              <w:rPr>
                <w:b w:val="0"/>
                <w:color w:val="000000"/>
                <w:rtl w:val="0"/>
              </w:rPr>
              <w:t xml:space="preserve"> to 15</w:t>
            </w:r>
            <w:r w:rsidDel="00000000" w:rsidR="00000000" w:rsidRPr="00000000">
              <w:rPr>
                <w:b w:val="0"/>
                <w:color w:val="000000"/>
                <w:vertAlign w:val="superscript"/>
                <w:rtl w:val="0"/>
              </w:rPr>
              <w:t xml:space="preserve">th</w:t>
            </w:r>
            <w:r w:rsidDel="00000000" w:rsidR="00000000" w:rsidRPr="00000000">
              <w:rPr>
                <w:b w:val="0"/>
                <w:color w:val="000000"/>
                <w:rtl w:val="0"/>
              </w:rPr>
              <w:t xml:space="preserve"> of November 2024</w:t>
            </w:r>
          </w:p>
        </w:tc>
      </w:tr>
      <w:tr>
        <w:trPr>
          <w:cantSplit w:val="0"/>
          <w:tblHeader w:val="0"/>
        </w:trPr>
        <w:tc>
          <w:tcPr/>
          <w:p w:rsidR="00000000" w:rsidDel="00000000" w:rsidP="00000000" w:rsidRDefault="00000000" w:rsidRPr="00000000" w14:paraId="0000000C">
            <w:pPr>
              <w:rPr>
                <w:color w:val="000000"/>
              </w:rPr>
            </w:pPr>
            <w:r w:rsidDel="00000000" w:rsidR="00000000" w:rsidRPr="00000000">
              <w:rPr>
                <w:color w:val="000000"/>
                <w:rtl w:val="0"/>
              </w:rPr>
              <w:t xml:space="preserve">Final Term Exam </w:t>
            </w:r>
          </w:p>
        </w:tc>
        <w:tc>
          <w:tcPr/>
          <w:p w:rsidR="00000000" w:rsidDel="00000000" w:rsidP="00000000" w:rsidRDefault="00000000" w:rsidRPr="00000000" w14:paraId="0000000D">
            <w:pPr>
              <w:rPr>
                <w:color w:val="000000"/>
              </w:rPr>
            </w:pPr>
            <w:r w:rsidDel="00000000" w:rsidR="00000000" w:rsidRPr="00000000">
              <w:rPr>
                <w:color w:val="000000"/>
                <w:rtl w:val="0"/>
              </w:rPr>
              <w:t xml:space="preserve">20</w:t>
            </w:r>
            <w:r w:rsidDel="00000000" w:rsidR="00000000" w:rsidRPr="00000000">
              <w:rPr>
                <w:color w:val="000000"/>
                <w:vertAlign w:val="superscript"/>
                <w:rtl w:val="0"/>
              </w:rPr>
              <w:t xml:space="preserve">th</w:t>
            </w:r>
            <w:r w:rsidDel="00000000" w:rsidR="00000000" w:rsidRPr="00000000">
              <w:rPr>
                <w:color w:val="000000"/>
                <w:rtl w:val="0"/>
              </w:rPr>
              <w:t xml:space="preserve"> to 24</w:t>
            </w:r>
            <w:r w:rsidDel="00000000" w:rsidR="00000000" w:rsidRPr="00000000">
              <w:rPr>
                <w:color w:val="000000"/>
                <w:vertAlign w:val="superscript"/>
                <w:rtl w:val="0"/>
              </w:rPr>
              <w:t xml:space="preserve">th</w:t>
            </w:r>
            <w:r w:rsidDel="00000000" w:rsidR="00000000" w:rsidRPr="00000000">
              <w:rPr>
                <w:color w:val="000000"/>
                <w:rtl w:val="0"/>
              </w:rPr>
              <w:t xml:space="preserve"> of January 2025 </w:t>
            </w:r>
          </w:p>
        </w:tc>
      </w:tr>
      <w:tr>
        <w:trPr>
          <w:cantSplit w:val="0"/>
          <w:tblHeader w:val="0"/>
        </w:trPr>
        <w:tc>
          <w:tcPr/>
          <w:p w:rsidR="00000000" w:rsidDel="00000000" w:rsidP="00000000" w:rsidRDefault="00000000" w:rsidRPr="00000000" w14:paraId="0000000E">
            <w:pPr>
              <w:rPr>
                <w:color w:val="000000"/>
              </w:rPr>
            </w:pPr>
            <w:r w:rsidDel="00000000" w:rsidR="00000000" w:rsidRPr="00000000">
              <w:rPr>
                <w:color w:val="000000"/>
                <w:rtl w:val="0"/>
              </w:rPr>
              <w:t xml:space="preserve">Final Term Exam (Lab)</w:t>
            </w:r>
          </w:p>
        </w:tc>
        <w:tc>
          <w:tcPr/>
          <w:p w:rsidR="00000000" w:rsidDel="00000000" w:rsidP="00000000" w:rsidRDefault="00000000" w:rsidRPr="00000000" w14:paraId="0000000F">
            <w:pPr>
              <w:rPr>
                <w:color w:val="000000"/>
              </w:rPr>
            </w:pPr>
            <w:r w:rsidDel="00000000" w:rsidR="00000000" w:rsidRPr="00000000">
              <w:rPr>
                <w:color w:val="000000"/>
                <w:rtl w:val="0"/>
              </w:rPr>
              <w:t xml:space="preserve">27</w:t>
            </w:r>
            <w:r w:rsidDel="00000000" w:rsidR="00000000" w:rsidRPr="00000000">
              <w:rPr>
                <w:color w:val="000000"/>
                <w:vertAlign w:val="superscript"/>
                <w:rtl w:val="0"/>
              </w:rPr>
              <w:t xml:space="preserve">th</w:t>
            </w:r>
            <w:r w:rsidDel="00000000" w:rsidR="00000000" w:rsidRPr="00000000">
              <w:rPr>
                <w:color w:val="000000"/>
                <w:rtl w:val="0"/>
              </w:rPr>
              <w:t xml:space="preserve"> to 31</w:t>
            </w:r>
            <w:r w:rsidDel="00000000" w:rsidR="00000000" w:rsidRPr="00000000">
              <w:rPr>
                <w:color w:val="000000"/>
                <w:vertAlign w:val="superscript"/>
                <w:rtl w:val="0"/>
              </w:rPr>
              <w:t xml:space="preserve">st</w:t>
            </w:r>
            <w:r w:rsidDel="00000000" w:rsidR="00000000" w:rsidRPr="00000000">
              <w:rPr>
                <w:color w:val="000000"/>
                <w:rtl w:val="0"/>
              </w:rPr>
              <w:t xml:space="preserve"> January 2025</w:t>
            </w:r>
          </w:p>
        </w:tc>
      </w:tr>
    </w:tbl>
    <w:p w:rsidR="00000000" w:rsidDel="00000000" w:rsidP="00000000" w:rsidRDefault="00000000" w:rsidRPr="00000000" w14:paraId="00000010">
      <w:pPr>
        <w:pStyle w:val="Heading1"/>
        <w:numPr>
          <w:ilvl w:val="0"/>
          <w:numId w:val="2"/>
        </w:numPr>
        <w:ind w:left="432" w:hanging="432"/>
        <w:rPr/>
      </w:pPr>
      <w:r w:rsidDel="00000000" w:rsidR="00000000" w:rsidRPr="00000000">
        <w:rPr>
          <w:rtl w:val="0"/>
        </w:rPr>
        <w:t xml:space="preserve">Grading Criteria (out of 100%)</w:t>
      </w:r>
    </w:p>
    <w:tbl>
      <w:tblPr>
        <w:tblStyle w:val="Table2"/>
        <w:tblW w:w="10336.0" w:type="dxa"/>
        <w:jc w:val="left"/>
        <w:tblInd w:w="-10.0" w:type="dxa"/>
        <w:tblBorders>
          <w:top w:color="2f5496" w:space="0" w:sz="4" w:val="single"/>
          <w:left w:color="2f5496" w:space="0" w:sz="4" w:val="single"/>
          <w:bottom w:color="2f5496" w:space="0" w:sz="4" w:val="single"/>
          <w:right w:color="2f5496" w:space="0" w:sz="4" w:val="single"/>
          <w:insideH w:color="2f5496" w:space="0" w:sz="4" w:val="single"/>
          <w:insideV w:color="2f5496" w:space="0" w:sz="4" w:val="single"/>
        </w:tblBorders>
        <w:tblLayout w:type="fixed"/>
        <w:tblLook w:val="04A0"/>
      </w:tblPr>
      <w:tblGrid>
        <w:gridCol w:w="2759"/>
        <w:gridCol w:w="2142"/>
        <w:gridCol w:w="2717"/>
        <w:gridCol w:w="2718"/>
        <w:tblGridChange w:id="0">
          <w:tblGrid>
            <w:gridCol w:w="2759"/>
            <w:gridCol w:w="2142"/>
            <w:gridCol w:w="2717"/>
            <w:gridCol w:w="2718"/>
          </w:tblGrid>
        </w:tblGridChange>
      </w:tblGrid>
      <w:tr>
        <w:trPr>
          <w:cantSplit w:val="0"/>
          <w:trHeight w:val="354" w:hRule="atLeast"/>
          <w:tblHeader w:val="1"/>
        </w:trPr>
        <w:tc>
          <w:tcPr>
            <w:gridSpan w:val="2"/>
          </w:tcPr>
          <w:p w:rsidR="00000000" w:rsidDel="00000000" w:rsidP="00000000" w:rsidRDefault="00000000" w:rsidRPr="00000000" w14:paraId="00000011">
            <w:pPr>
              <w:jc w:val="center"/>
              <w:rPr>
                <w:color w:val="000000"/>
              </w:rPr>
            </w:pPr>
            <w:r w:rsidDel="00000000" w:rsidR="00000000" w:rsidRPr="00000000">
              <w:rPr>
                <w:color w:val="000000"/>
                <w:rtl w:val="0"/>
              </w:rPr>
              <w:t xml:space="preserve">Theory Subjects</w:t>
            </w:r>
          </w:p>
        </w:tc>
        <w:tc>
          <w:tcPr>
            <w:gridSpan w:val="2"/>
          </w:tcPr>
          <w:p w:rsidR="00000000" w:rsidDel="00000000" w:rsidP="00000000" w:rsidRDefault="00000000" w:rsidRPr="00000000" w14:paraId="00000013">
            <w:pPr>
              <w:jc w:val="center"/>
              <w:rPr>
                <w:color w:val="000000"/>
              </w:rPr>
            </w:pPr>
            <w:r w:rsidDel="00000000" w:rsidR="00000000" w:rsidRPr="00000000">
              <w:rPr>
                <w:color w:val="000000"/>
                <w:rtl w:val="0"/>
              </w:rPr>
              <w:t xml:space="preserve">Lab Subjects</w:t>
            </w:r>
          </w:p>
        </w:tc>
      </w:tr>
      <w:tr>
        <w:trPr>
          <w:cantSplit w:val="0"/>
          <w:trHeight w:val="435" w:hRule="atLeast"/>
          <w:tblHeader w:val="0"/>
        </w:trPr>
        <w:tc>
          <w:tcPr>
            <w:tcBorders>
              <w:right w:color="000000" w:space="0" w:sz="0" w:val="nil"/>
            </w:tcBorders>
          </w:tcPr>
          <w:p w:rsidR="00000000" w:rsidDel="00000000" w:rsidP="00000000" w:rsidRDefault="00000000" w:rsidRPr="00000000" w14:paraId="00000015">
            <w:pPr>
              <w:rPr>
                <w:color w:val="000000"/>
              </w:rPr>
            </w:pPr>
            <w:r w:rsidDel="00000000" w:rsidR="00000000" w:rsidRPr="00000000">
              <w:rPr>
                <w:color w:val="000000"/>
                <w:rtl w:val="0"/>
              </w:rPr>
              <w:t xml:space="preserve">Sessional Marks </w:t>
            </w:r>
          </w:p>
        </w:tc>
        <w:tc>
          <w:tcPr>
            <w:tcBorders>
              <w:left w:color="000000" w:space="0" w:sz="0" w:val="nil"/>
            </w:tcBorders>
          </w:tcPr>
          <w:p w:rsidR="00000000" w:rsidDel="00000000" w:rsidP="00000000" w:rsidRDefault="00000000" w:rsidRPr="00000000" w14:paraId="00000016">
            <w:pPr>
              <w:rPr>
                <w:color w:val="000000"/>
              </w:rPr>
            </w:pPr>
            <w:r w:rsidDel="00000000" w:rsidR="00000000" w:rsidRPr="00000000">
              <w:rPr>
                <w:color w:val="000000"/>
                <w:rtl w:val="0"/>
              </w:rPr>
              <w:t xml:space="preserve">20% to 30%</w:t>
            </w:r>
          </w:p>
        </w:tc>
        <w:tc>
          <w:tcPr>
            <w:tcBorders>
              <w:right w:color="000000" w:space="0" w:sz="0" w:val="nil"/>
            </w:tcBorders>
          </w:tcPr>
          <w:p w:rsidR="00000000" w:rsidDel="00000000" w:rsidP="00000000" w:rsidRDefault="00000000" w:rsidRPr="00000000" w14:paraId="00000017">
            <w:pPr>
              <w:rPr>
                <w:color w:val="000000"/>
              </w:rPr>
            </w:pPr>
            <w:r w:rsidDel="00000000" w:rsidR="00000000" w:rsidRPr="00000000">
              <w:rPr>
                <w:b w:val="1"/>
                <w:color w:val="000000"/>
                <w:rtl w:val="0"/>
              </w:rPr>
              <w:t xml:space="preserve">Lab Tasks Assignments</w:t>
            </w:r>
            <w:r w:rsidDel="00000000" w:rsidR="00000000" w:rsidRPr="00000000">
              <w:rPr>
                <w:rtl w:val="0"/>
              </w:rPr>
            </w:r>
          </w:p>
        </w:tc>
        <w:tc>
          <w:tcPr>
            <w:tcBorders>
              <w:left w:color="000000" w:space="0" w:sz="0" w:val="nil"/>
            </w:tcBorders>
          </w:tcPr>
          <w:p w:rsidR="00000000" w:rsidDel="00000000" w:rsidP="00000000" w:rsidRDefault="00000000" w:rsidRPr="00000000" w14:paraId="00000018">
            <w:pPr>
              <w:jc w:val="center"/>
              <w:rPr>
                <w:color w:val="000000"/>
              </w:rPr>
            </w:pPr>
            <w:r w:rsidDel="00000000" w:rsidR="00000000" w:rsidRPr="00000000">
              <w:rPr>
                <w:color w:val="000000"/>
                <w:rtl w:val="0"/>
              </w:rPr>
              <w:t xml:space="preserve">50%</w:t>
            </w:r>
          </w:p>
        </w:tc>
      </w:tr>
      <w:tr>
        <w:trPr>
          <w:cantSplit w:val="0"/>
          <w:trHeight w:val="418" w:hRule="atLeast"/>
          <w:tblHeader w:val="0"/>
        </w:trPr>
        <w:tc>
          <w:tcPr>
            <w:tcBorders>
              <w:right w:color="000000" w:space="0" w:sz="0" w:val="nil"/>
            </w:tcBorders>
          </w:tcPr>
          <w:p w:rsidR="00000000" w:rsidDel="00000000" w:rsidP="00000000" w:rsidRDefault="00000000" w:rsidRPr="00000000" w14:paraId="00000019">
            <w:pPr>
              <w:rPr>
                <w:color w:val="000000"/>
              </w:rPr>
            </w:pPr>
            <w:r w:rsidDel="00000000" w:rsidR="00000000" w:rsidRPr="00000000">
              <w:rPr>
                <w:color w:val="000000"/>
                <w:rtl w:val="0"/>
              </w:rPr>
              <w:t xml:space="preserve">Mid Term Paper</w:t>
            </w:r>
          </w:p>
        </w:tc>
        <w:tc>
          <w:tcPr>
            <w:tcBorders>
              <w:left w:color="000000" w:space="0" w:sz="0" w:val="nil"/>
            </w:tcBorders>
          </w:tcPr>
          <w:p w:rsidR="00000000" w:rsidDel="00000000" w:rsidP="00000000" w:rsidRDefault="00000000" w:rsidRPr="00000000" w14:paraId="0000001A">
            <w:pPr>
              <w:rPr>
                <w:color w:val="000000"/>
              </w:rPr>
            </w:pPr>
            <w:r w:rsidDel="00000000" w:rsidR="00000000" w:rsidRPr="00000000">
              <w:rPr>
                <w:color w:val="000000"/>
                <w:rtl w:val="0"/>
              </w:rPr>
              <w:t xml:space="preserve">20% to 30%</w:t>
            </w:r>
          </w:p>
        </w:tc>
        <w:tc>
          <w:tcPr>
            <w:tcBorders>
              <w:right w:color="000000" w:space="0" w:sz="0" w:val="nil"/>
            </w:tcBorders>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Mid Term Practical Exam </w:t>
            </w:r>
          </w:p>
        </w:tc>
        <w:tc>
          <w:tcPr>
            <w:tcBorders>
              <w:left w:color="000000" w:space="0" w:sz="0" w:val="nil"/>
            </w:tcBorders>
          </w:tcPr>
          <w:p w:rsidR="00000000" w:rsidDel="00000000" w:rsidP="00000000" w:rsidRDefault="00000000" w:rsidRPr="00000000" w14:paraId="0000001C">
            <w:pPr>
              <w:jc w:val="center"/>
              <w:rPr>
                <w:color w:val="000000"/>
              </w:rPr>
            </w:pPr>
            <w:r w:rsidDel="00000000" w:rsidR="00000000" w:rsidRPr="00000000">
              <w:rPr>
                <w:color w:val="000000"/>
                <w:rtl w:val="0"/>
              </w:rPr>
              <w:t xml:space="preserve">10% – 20%</w:t>
            </w:r>
          </w:p>
        </w:tc>
      </w:tr>
      <w:tr>
        <w:trPr>
          <w:cantSplit w:val="0"/>
          <w:trHeight w:val="418" w:hRule="atLeast"/>
          <w:tblHeader w:val="0"/>
        </w:trPr>
        <w:tc>
          <w:tcPr>
            <w:tcBorders>
              <w:right w:color="000000" w:space="0" w:sz="0" w:val="nil"/>
            </w:tcBorders>
          </w:tcPr>
          <w:p w:rsidR="00000000" w:rsidDel="00000000" w:rsidP="00000000" w:rsidRDefault="00000000" w:rsidRPr="00000000" w14:paraId="0000001D">
            <w:pPr>
              <w:rPr>
                <w:color w:val="000000"/>
              </w:rPr>
            </w:pPr>
            <w:r w:rsidDel="00000000" w:rsidR="00000000" w:rsidRPr="00000000">
              <w:rPr>
                <w:color w:val="000000"/>
                <w:rtl w:val="0"/>
              </w:rPr>
              <w:t xml:space="preserve">Sessional + Mid Term </w:t>
            </w:r>
          </w:p>
        </w:tc>
        <w:tc>
          <w:tcPr>
            <w:tcBorders>
              <w:left w:color="000000" w:space="0" w:sz="0" w:val="nil"/>
            </w:tcBorders>
          </w:tcPr>
          <w:p w:rsidR="00000000" w:rsidDel="00000000" w:rsidP="00000000" w:rsidRDefault="00000000" w:rsidRPr="00000000" w14:paraId="0000001E">
            <w:pPr>
              <w:rPr>
                <w:color w:val="000000"/>
              </w:rPr>
            </w:pPr>
            <w:r w:rsidDel="00000000" w:rsidR="00000000" w:rsidRPr="00000000">
              <w:rPr>
                <w:color w:val="000000"/>
                <w:rtl w:val="0"/>
              </w:rPr>
              <w:t xml:space="preserve">50%</w:t>
            </w:r>
          </w:p>
        </w:tc>
        <w:tc>
          <w:tcPr>
            <w:tcBorders>
              <w:right w:color="000000" w:space="0" w:sz="0" w:val="nil"/>
            </w:tcBorders>
          </w:tcPr>
          <w:p w:rsidR="00000000" w:rsidDel="00000000" w:rsidP="00000000" w:rsidRDefault="00000000" w:rsidRPr="00000000" w14:paraId="0000001F">
            <w:pPr>
              <w:rPr>
                <w:b w:val="1"/>
                <w:color w:val="000000"/>
              </w:rPr>
            </w:pPr>
            <w:r w:rsidDel="00000000" w:rsidR="00000000" w:rsidRPr="00000000">
              <w:rPr>
                <w:b w:val="1"/>
                <w:color w:val="000000"/>
                <w:rtl w:val="0"/>
              </w:rPr>
              <w:t xml:space="preserve">Final Practical Exam/Viva</w:t>
            </w:r>
          </w:p>
        </w:tc>
        <w:tc>
          <w:tcPr>
            <w:tcBorders>
              <w:left w:color="000000" w:space="0" w:sz="0" w:val="nil"/>
            </w:tcBorders>
          </w:tcPr>
          <w:p w:rsidR="00000000" w:rsidDel="00000000" w:rsidP="00000000" w:rsidRDefault="00000000" w:rsidRPr="00000000" w14:paraId="00000020">
            <w:pPr>
              <w:jc w:val="center"/>
              <w:rPr>
                <w:color w:val="000000"/>
              </w:rPr>
            </w:pPr>
            <w:r w:rsidDel="00000000" w:rsidR="00000000" w:rsidRPr="00000000">
              <w:rPr>
                <w:color w:val="000000"/>
                <w:rtl w:val="0"/>
              </w:rPr>
              <w:t xml:space="preserve">30% to 40%</w:t>
            </w:r>
          </w:p>
        </w:tc>
      </w:tr>
      <w:tr>
        <w:trPr>
          <w:cantSplit w:val="0"/>
          <w:trHeight w:val="418" w:hRule="atLeast"/>
          <w:tblHeader w:val="0"/>
        </w:trPr>
        <w:tc>
          <w:tcPr>
            <w:tcBorders>
              <w:right w:color="000000" w:space="0" w:sz="0" w:val="nil"/>
            </w:tcBorders>
          </w:tcPr>
          <w:p w:rsidR="00000000" w:rsidDel="00000000" w:rsidP="00000000" w:rsidRDefault="00000000" w:rsidRPr="00000000" w14:paraId="00000021">
            <w:pPr>
              <w:rPr>
                <w:color w:val="000000"/>
              </w:rPr>
            </w:pPr>
            <w:r w:rsidDel="00000000" w:rsidR="00000000" w:rsidRPr="00000000">
              <w:rPr>
                <w:color w:val="000000"/>
                <w:rtl w:val="0"/>
              </w:rPr>
              <w:t xml:space="preserve">Final Term marks</w:t>
            </w:r>
          </w:p>
        </w:tc>
        <w:tc>
          <w:tcPr>
            <w:tcBorders>
              <w:left w:color="000000" w:space="0" w:sz="0" w:val="nil"/>
            </w:tcBorders>
          </w:tcPr>
          <w:p w:rsidR="00000000" w:rsidDel="00000000" w:rsidP="00000000" w:rsidRDefault="00000000" w:rsidRPr="00000000" w14:paraId="00000022">
            <w:pPr>
              <w:rPr>
                <w:color w:val="000000"/>
              </w:rPr>
            </w:pPr>
            <w:r w:rsidDel="00000000" w:rsidR="00000000" w:rsidRPr="00000000">
              <w:rPr>
                <w:color w:val="000000"/>
                <w:rtl w:val="0"/>
              </w:rPr>
              <w:t xml:space="preserve">50%</w:t>
            </w:r>
          </w:p>
        </w:tc>
        <w:tc>
          <w:tcPr>
            <w:tcBorders>
              <w:right w:color="000000" w:space="0" w:sz="0" w:val="nil"/>
            </w:tcBorders>
          </w:tcPr>
          <w:p w:rsidR="00000000" w:rsidDel="00000000" w:rsidP="00000000" w:rsidRDefault="00000000" w:rsidRPr="00000000" w14:paraId="00000023">
            <w:pPr>
              <w:rPr>
                <w:b w:val="1"/>
                <w:color w:val="000000"/>
              </w:rPr>
            </w:pPr>
            <w:r w:rsidDel="00000000" w:rsidR="00000000" w:rsidRPr="00000000">
              <w:rPr>
                <w:rtl w:val="0"/>
              </w:rPr>
            </w:r>
          </w:p>
        </w:tc>
        <w:tc>
          <w:tcPr>
            <w:tcBorders>
              <w:left w:color="000000" w:space="0" w:sz="0" w:val="nil"/>
            </w:tcBorders>
          </w:tcPr>
          <w:p w:rsidR="00000000" w:rsidDel="00000000" w:rsidP="00000000" w:rsidRDefault="00000000" w:rsidRPr="00000000" w14:paraId="00000024">
            <w:pPr>
              <w:jc w:val="center"/>
              <w:rPr>
                <w:color w:val="000000"/>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sectPr>
      <w:headerReference r:id="rId6" w:type="default"/>
      <w:footerReference r:id="rId7" w:type="default"/>
      <w:pgSz w:h="15840" w:w="12240" w:orient="portrait"/>
      <w:pgMar w:bottom="360" w:top="864" w:left="1008" w:right="1008"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pageBreakBefore w:val="0"/>
      <w:widowControl w:val="1"/>
      <w:pBdr>
        <w:top w:color="2f5496" w:space="6" w:sz="4" w:val="single"/>
        <w:left w:space="0" w:sz="0" w:val="nil"/>
        <w:bottom w:space="0" w:sz="0" w:val="nil"/>
        <w:right w:space="0" w:sz="0" w:val="nil"/>
        <w:between w:space="0" w:sz="0" w:val="nil"/>
      </w:pBdr>
      <w:shd w:fill="auto" w:val="clear"/>
      <w:spacing w:after="0" w:before="0" w:line="259" w:lineRule="auto"/>
      <w:ind w:left="0" w:right="0" w:firstLine="0"/>
      <w:jc w:val="right"/>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262626"/>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OF COMPUTER SCIENCE &amp; INFORMATION TECHNOLOGY, UET PESHAWAR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80" w:before="80" w:lineRule="auto"/>
    </w:pPr>
    <w:tblPr>
      <w:tblStyleRowBandSize w:val="1"/>
      <w:tblStyleColBandSize w:val="1"/>
      <w:tblCellMar>
        <w:top w:w="0.0" w:type="dxa"/>
        <w:left w:w="0.0" w:type="dxa"/>
        <w:bottom w:w="0.0" w:type="dxa"/>
        <w:right w:w="0.0" w:type="dxa"/>
      </w:tblCellMar>
    </w:tblPr>
    <w:tblStylePr w:type="firstCol">
      <w:rPr>
        <w:b w:val="1"/>
        <w:color w:val="262626"/>
      </w:rPr>
    </w:tblStylePr>
    <w:tblStylePr w:type="firstRow">
      <w:pPr>
        <w:spacing w:after="0" w:before="0" w:lineRule="auto"/>
      </w:pPr>
      <w:rPr>
        <w:rFonts w:ascii="Calibri" w:cs="Calibri" w:eastAsia="Calibri" w:hAnsi="Calibri"/>
        <w:b w:val="1"/>
        <w:color w:val="2f5496"/>
        <w:sz w:val="22"/>
        <w:szCs w:val="22"/>
      </w:rPr>
      <w:tcPr>
        <w:tcBorders>
          <w:top w:color="000000" w:space="0" w:sz="0" w:val="nil"/>
          <w:left w:color="000000" w:space="0" w:sz="0" w:val="nil"/>
          <w:bottom w:color="2f5496" w:space="0" w:sz="4" w:val="single"/>
          <w:right w:color="000000" w:space="0" w:sz="0" w:val="nil"/>
          <w:insideH w:color="000000" w:space="0" w:sz="0" w:val="nil"/>
          <w:insideV w:color="000000" w:space="0" w:sz="0" w:val="nil"/>
        </w:tcBorders>
      </w:tcPr>
    </w:tblStylePr>
  </w:style>
  <w:style w:type="table" w:styleId="Table2">
    <w:basedOn w:val="TableNormal"/>
    <w:pPr>
      <w:spacing w:after="80" w:before="80" w:lineRule="auto"/>
    </w:pPr>
    <w:tblPr>
      <w:tblStyleRowBandSize w:val="1"/>
      <w:tblStyleColBandSize w:val="1"/>
      <w:tblCellMar>
        <w:top w:w="0.0" w:type="dxa"/>
        <w:left w:w="0.0" w:type="dxa"/>
        <w:bottom w:w="0.0" w:type="dxa"/>
        <w:right w:w="0.0" w:type="dxa"/>
      </w:tblCellMar>
    </w:tblPr>
    <w:tblStylePr w:type="firstCol">
      <w:rPr>
        <w:b w:val="1"/>
        <w:color w:val="262626"/>
      </w:rPr>
    </w:tblStylePr>
    <w:tblStylePr w:type="firstRow">
      <w:pPr>
        <w:spacing w:after="0" w:before="0" w:lineRule="auto"/>
      </w:pPr>
      <w:rPr>
        <w:rFonts w:ascii="Calibri" w:cs="Calibri" w:eastAsia="Calibri" w:hAnsi="Calibri"/>
        <w:b w:val="1"/>
        <w:color w:val="2f5496"/>
        <w:sz w:val="22"/>
        <w:szCs w:val="22"/>
      </w:rPr>
      <w:tcPr>
        <w:tcBorders>
          <w:top w:color="000000" w:space="0" w:sz="0" w:val="nil"/>
          <w:left w:color="000000" w:space="0" w:sz="0" w:val="nil"/>
          <w:bottom w:color="2f5496" w:space="0" w:sz="4"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