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14292" w14:textId="77777777" w:rsidR="00962584" w:rsidRPr="00651AB5" w:rsidRDefault="00962584" w:rsidP="00962584">
      <w:pPr>
        <w:pStyle w:val="NormalWeb"/>
        <w:rPr>
          <w:rFonts w:ascii="Cambria" w:eastAsia="Cambria" w:hAnsi="Cambria" w:cs="Cambria"/>
          <w:b/>
          <w:color w:val="000000"/>
          <w:kern w:val="2"/>
          <w:sz w:val="36"/>
          <w:szCs w:val="36"/>
          <w14:ligatures w14:val="standardContextual"/>
        </w:rPr>
      </w:pPr>
      <w:r w:rsidRPr="00651AB5">
        <w:rPr>
          <w:rFonts w:ascii="Cambria" w:eastAsia="Cambria" w:hAnsi="Cambria" w:cs="Cambria"/>
          <w:b/>
          <w:color w:val="000000"/>
          <w:kern w:val="2"/>
          <w:sz w:val="36"/>
          <w:szCs w:val="36"/>
          <w14:ligatures w14:val="standardContextual"/>
        </w:rPr>
        <w:t>Financial Statement Analysis of National Foods Limited</w:t>
      </w:r>
    </w:p>
    <w:p w14:paraId="70D3964E" w14:textId="77777777" w:rsidR="00962584" w:rsidRDefault="00962584" w:rsidP="00962584">
      <w:pPr>
        <w:pStyle w:val="NormalWeb"/>
        <w:jc w:val="center"/>
        <w:rPr>
          <w:rFonts w:ascii="Cambria" w:eastAsia="Cambria" w:hAnsi="Cambria" w:cs="Cambria"/>
          <w:bCs/>
          <w:color w:val="000000"/>
          <w:kern w:val="2"/>
          <w:sz w:val="36"/>
          <w:szCs w:val="36"/>
          <w14:ligatures w14:val="standardContextual"/>
        </w:rPr>
      </w:pPr>
      <w:r>
        <w:rPr>
          <w:rFonts w:ascii="Cambria" w:eastAsia="Cambria" w:hAnsi="Cambria" w:cs="Cambria"/>
          <w:bCs/>
          <w:color w:val="000000"/>
          <w:kern w:val="2"/>
          <w:sz w:val="36"/>
          <w:szCs w:val="36"/>
          <w14:ligatures w14:val="standardContextual"/>
        </w:rPr>
        <w:t>BS Project</w:t>
      </w:r>
    </w:p>
    <w:p w14:paraId="003A222E" w14:textId="77777777" w:rsidR="00962584" w:rsidRPr="00651AB5" w:rsidRDefault="00962584" w:rsidP="00962584">
      <w:pPr>
        <w:pStyle w:val="NormalWeb"/>
        <w:jc w:val="center"/>
        <w:rPr>
          <w:rFonts w:ascii="Cambria" w:eastAsia="Cambria" w:hAnsi="Cambria" w:cs="Cambria"/>
          <w:b/>
          <w:color w:val="000000"/>
          <w:kern w:val="2"/>
          <w:sz w:val="36"/>
          <w:szCs w:val="36"/>
          <w14:ligatures w14:val="standardContextual"/>
        </w:rPr>
      </w:pPr>
      <w:r w:rsidRPr="00651AB5">
        <w:rPr>
          <w:rFonts w:ascii="Cambria" w:eastAsia="Cambria" w:hAnsi="Cambria" w:cs="Cambria"/>
          <w:b/>
          <w:color w:val="000000"/>
          <w:kern w:val="2"/>
          <w:sz w:val="36"/>
          <w:szCs w:val="36"/>
          <w14:ligatures w14:val="standardContextual"/>
        </w:rPr>
        <w:t>Submitted By</w:t>
      </w:r>
    </w:p>
    <w:p w14:paraId="513DEB4B" w14:textId="77777777" w:rsidR="00962584" w:rsidRDefault="00962584" w:rsidP="00962584">
      <w:pPr>
        <w:pStyle w:val="NormalWeb"/>
        <w:jc w:val="center"/>
        <w:rPr>
          <w:rFonts w:ascii="Cambria" w:eastAsia="Cambria" w:hAnsi="Cambria" w:cs="Cambria"/>
          <w:bCs/>
          <w:color w:val="000000"/>
          <w:kern w:val="2"/>
          <w:sz w:val="36"/>
          <w:szCs w:val="36"/>
          <w14:ligatures w14:val="standardContextual"/>
        </w:rPr>
      </w:pPr>
      <w:r>
        <w:rPr>
          <w:rFonts w:ascii="Cambria" w:eastAsia="Cambria" w:hAnsi="Cambria" w:cs="Cambria"/>
          <w:bCs/>
          <w:color w:val="000000"/>
          <w:kern w:val="2"/>
          <w:sz w:val="36"/>
          <w:szCs w:val="36"/>
          <w14:ligatures w14:val="standardContextual"/>
        </w:rPr>
        <w:t>Mian Abdur Rehman Mohsin</w:t>
      </w:r>
    </w:p>
    <w:p w14:paraId="4F787902" w14:textId="77777777" w:rsidR="00962584" w:rsidRPr="005D27C3" w:rsidRDefault="00962584" w:rsidP="00962584">
      <w:pPr>
        <w:pStyle w:val="NormalWeb"/>
        <w:jc w:val="center"/>
        <w:rPr>
          <w:rFonts w:ascii="Cambria" w:eastAsia="Cambria" w:hAnsi="Cambria" w:cs="Cambria"/>
          <w:bCs/>
          <w:color w:val="000000"/>
          <w:kern w:val="2"/>
          <w:sz w:val="36"/>
          <w:szCs w:val="36"/>
          <w14:ligatures w14:val="standardContextual"/>
        </w:rPr>
      </w:pPr>
      <w:r>
        <w:rPr>
          <w:rFonts w:ascii="Cambria" w:eastAsia="Cambria" w:hAnsi="Cambria" w:cs="Cambria"/>
          <w:bCs/>
          <w:color w:val="000000"/>
          <w:kern w:val="2"/>
          <w:sz w:val="36"/>
          <w:szCs w:val="36"/>
          <w14:ligatures w14:val="standardContextual"/>
        </w:rPr>
        <w:t>BSM-S1-21-09</w:t>
      </w:r>
    </w:p>
    <w:p w14:paraId="5BC72501" w14:textId="77777777" w:rsidR="00962584" w:rsidRDefault="00962584" w:rsidP="00962584">
      <w:pPr>
        <w:pStyle w:val="NormalWeb"/>
        <w:jc w:val="center"/>
        <w:rPr>
          <w:rFonts w:ascii="Cambria" w:eastAsia="Cambria" w:hAnsi="Cambria" w:cs="Cambria"/>
          <w:bCs/>
          <w:color w:val="000000"/>
          <w:kern w:val="2"/>
          <w:sz w:val="36"/>
          <w:szCs w:val="36"/>
          <w14:ligatures w14:val="standardContextual"/>
        </w:rPr>
      </w:pPr>
      <w:r>
        <w:rPr>
          <w:rFonts w:ascii="Cambria" w:eastAsia="Cambria" w:hAnsi="Cambria" w:cs="Cambria"/>
          <w:bCs/>
          <w:color w:val="000000"/>
          <w:kern w:val="2"/>
          <w:sz w:val="36"/>
          <w:szCs w:val="36"/>
          <w14:ligatures w14:val="standardContextual"/>
        </w:rPr>
        <w:t>Muhammad Waqas</w:t>
      </w:r>
    </w:p>
    <w:p w14:paraId="01E38B0F" w14:textId="77777777" w:rsidR="00962584" w:rsidRDefault="00962584" w:rsidP="00962584">
      <w:pPr>
        <w:pStyle w:val="NormalWeb"/>
        <w:jc w:val="center"/>
        <w:rPr>
          <w:rFonts w:ascii="Cambria" w:eastAsia="Cambria" w:hAnsi="Cambria" w:cs="Cambria"/>
          <w:bCs/>
          <w:color w:val="000000"/>
          <w:kern w:val="2"/>
          <w:sz w:val="36"/>
          <w:szCs w:val="36"/>
          <w14:ligatures w14:val="standardContextual"/>
        </w:rPr>
      </w:pPr>
      <w:r>
        <w:rPr>
          <w:rFonts w:ascii="Cambria" w:eastAsia="Cambria" w:hAnsi="Cambria" w:cs="Cambria"/>
          <w:bCs/>
          <w:color w:val="000000"/>
          <w:kern w:val="2"/>
          <w:sz w:val="36"/>
          <w:szCs w:val="36"/>
          <w14:ligatures w14:val="standardContextual"/>
        </w:rPr>
        <w:t>BSM-S1-21-05</w:t>
      </w:r>
    </w:p>
    <w:p w14:paraId="115A5CF3" w14:textId="77777777" w:rsidR="00962584" w:rsidRDefault="00962584" w:rsidP="00962584">
      <w:pPr>
        <w:pStyle w:val="NormalWeb"/>
        <w:jc w:val="center"/>
        <w:rPr>
          <w:rFonts w:ascii="Cambria" w:eastAsia="Cambria" w:hAnsi="Cambria" w:cs="Cambria"/>
          <w:bCs/>
          <w:color w:val="000000"/>
          <w:kern w:val="2"/>
          <w:sz w:val="36"/>
          <w:szCs w:val="36"/>
          <w14:ligatures w14:val="standardContextual"/>
        </w:rPr>
      </w:pPr>
      <w:r>
        <w:rPr>
          <w:rFonts w:ascii="Cambria" w:eastAsia="Cambria" w:hAnsi="Cambria" w:cs="Cambria"/>
          <w:bCs/>
          <w:color w:val="000000"/>
          <w:kern w:val="2"/>
          <w:sz w:val="36"/>
          <w:szCs w:val="36"/>
          <w14:ligatures w14:val="standardContextual"/>
        </w:rPr>
        <w:t>Muhammad Usama</w:t>
      </w:r>
    </w:p>
    <w:p w14:paraId="52AC86FB" w14:textId="77777777" w:rsidR="00962584" w:rsidRDefault="00962584" w:rsidP="00962584">
      <w:pPr>
        <w:pStyle w:val="NormalWeb"/>
        <w:jc w:val="center"/>
        <w:rPr>
          <w:rFonts w:ascii="Cambria" w:eastAsia="Cambria" w:hAnsi="Cambria" w:cs="Cambria"/>
          <w:bCs/>
          <w:color w:val="000000"/>
          <w:kern w:val="2"/>
          <w:sz w:val="36"/>
          <w:szCs w:val="36"/>
          <w14:ligatures w14:val="standardContextual"/>
        </w:rPr>
      </w:pPr>
      <w:r>
        <w:rPr>
          <w:rFonts w:ascii="Cambria" w:eastAsia="Cambria" w:hAnsi="Cambria" w:cs="Cambria"/>
          <w:bCs/>
          <w:color w:val="000000"/>
          <w:kern w:val="2"/>
          <w:sz w:val="36"/>
          <w:szCs w:val="36"/>
          <w14:ligatures w14:val="standardContextual"/>
        </w:rPr>
        <w:t>BSM-S1-21-64</w:t>
      </w:r>
    </w:p>
    <w:p w14:paraId="3FC33E93" w14:textId="77777777" w:rsidR="00962584" w:rsidRPr="00651AB5" w:rsidRDefault="00962584" w:rsidP="00962584">
      <w:pPr>
        <w:pStyle w:val="NormalWeb"/>
        <w:jc w:val="center"/>
        <w:rPr>
          <w:rFonts w:ascii="Cambria" w:eastAsia="Cambria" w:hAnsi="Cambria" w:cs="Cambria"/>
          <w:b/>
          <w:color w:val="000000"/>
          <w:kern w:val="2"/>
          <w:sz w:val="36"/>
          <w:szCs w:val="36"/>
          <w14:ligatures w14:val="standardContextual"/>
        </w:rPr>
      </w:pPr>
      <w:r w:rsidRPr="00651AB5">
        <w:rPr>
          <w:rFonts w:ascii="Cambria" w:eastAsia="Cambria" w:hAnsi="Cambria" w:cs="Cambria"/>
          <w:b/>
          <w:color w:val="000000"/>
          <w:kern w:val="2"/>
          <w:sz w:val="36"/>
          <w:szCs w:val="36"/>
          <w14:ligatures w14:val="standardContextual"/>
        </w:rPr>
        <w:t>Supervised By</w:t>
      </w:r>
    </w:p>
    <w:p w14:paraId="40445CC0" w14:textId="77777777" w:rsidR="00962584" w:rsidRPr="009C0DB4" w:rsidRDefault="00962584" w:rsidP="00962584">
      <w:pPr>
        <w:pStyle w:val="NormalWeb"/>
        <w:jc w:val="center"/>
        <w:rPr>
          <w:rFonts w:ascii="Cambria" w:eastAsia="Cambria" w:hAnsi="Cambria" w:cs="Cambria"/>
          <w:bCs/>
          <w:color w:val="000000"/>
          <w:kern w:val="2"/>
          <w:sz w:val="36"/>
          <w:szCs w:val="36"/>
          <w14:ligatures w14:val="standardContextual"/>
        </w:rPr>
      </w:pPr>
      <w:r>
        <w:rPr>
          <w:rFonts w:ascii="Cambria" w:eastAsia="Cambria" w:hAnsi="Cambria" w:cs="Cambria"/>
          <w:bCs/>
          <w:color w:val="000000"/>
          <w:kern w:val="2"/>
          <w:sz w:val="36"/>
          <w:szCs w:val="36"/>
          <w14:ligatures w14:val="standardContextual"/>
        </w:rPr>
        <w:t>Dr. Faisal Ali</w:t>
      </w:r>
    </w:p>
    <w:p w14:paraId="19A7194E" w14:textId="77777777" w:rsidR="00962584" w:rsidRDefault="00962584" w:rsidP="00962584">
      <w:pPr>
        <w:pStyle w:val="NormalWeb"/>
        <w:jc w:val="center"/>
        <w:rPr>
          <w:rFonts w:ascii="Cambria" w:eastAsia="Cambria" w:hAnsi="Cambria" w:cs="Cambria"/>
          <w:bCs/>
          <w:color w:val="000000"/>
          <w:kern w:val="2"/>
          <w:sz w:val="36"/>
          <w:szCs w:val="36"/>
          <w14:ligatures w14:val="standardContextual"/>
        </w:rPr>
      </w:pPr>
      <w:r>
        <w:rPr>
          <w:rFonts w:ascii="Cambria" w:eastAsia="Cambria" w:hAnsi="Cambria" w:cs="Cambria"/>
          <w:bCs/>
          <w:noProof/>
          <w:color w:val="000000"/>
          <w:kern w:val="2"/>
          <w:sz w:val="36"/>
          <w:szCs w:val="36"/>
        </w:rPr>
        <w:drawing>
          <wp:inline distT="0" distB="0" distL="0" distR="0" wp14:anchorId="5480C2A8" wp14:editId="6AB87A80">
            <wp:extent cx="1689100" cy="1689100"/>
            <wp:effectExtent l="0" t="0" r="0" b="6350"/>
            <wp:docPr id="16606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2268" name="Picture 166062268"/>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89100" cy="1689100"/>
                    </a:xfrm>
                    <a:prstGeom prst="rect">
                      <a:avLst/>
                    </a:prstGeom>
                  </pic:spPr>
                </pic:pic>
              </a:graphicData>
            </a:graphic>
          </wp:inline>
        </w:drawing>
      </w:r>
    </w:p>
    <w:p w14:paraId="3A8279DD" w14:textId="77777777" w:rsidR="00962584" w:rsidRPr="00C333EB" w:rsidRDefault="00962584" w:rsidP="00962584">
      <w:pPr>
        <w:pStyle w:val="NormalWeb"/>
        <w:jc w:val="center"/>
        <w:rPr>
          <w:rFonts w:ascii="Cambria" w:eastAsia="Cambria" w:hAnsi="Cambria" w:cs="Cambria"/>
          <w:b/>
          <w:color w:val="000000"/>
          <w:kern w:val="2"/>
          <w:sz w:val="32"/>
          <w:szCs w:val="32"/>
          <w14:ligatures w14:val="standardContextual"/>
        </w:rPr>
      </w:pPr>
      <w:r w:rsidRPr="00C333EB">
        <w:rPr>
          <w:rFonts w:ascii="Cambria" w:eastAsia="Cambria" w:hAnsi="Cambria" w:cs="Cambria"/>
          <w:b/>
          <w:color w:val="000000"/>
          <w:kern w:val="2"/>
          <w:sz w:val="32"/>
          <w:szCs w:val="32"/>
          <w14:ligatures w14:val="standardContextual"/>
        </w:rPr>
        <w:t>Center For Advanced Studies in Pure and Applied Mathematics</w:t>
      </w:r>
    </w:p>
    <w:p w14:paraId="7F621127" w14:textId="6A859FCC" w:rsidR="00395080" w:rsidRDefault="00962584" w:rsidP="00962584">
      <w:pPr>
        <w:pStyle w:val="NormalWeb"/>
        <w:jc w:val="center"/>
        <w:rPr>
          <w:rFonts w:ascii="Cambria" w:eastAsia="Cambria" w:hAnsi="Cambria" w:cs="Cambria"/>
          <w:b/>
          <w:color w:val="000000"/>
          <w:kern w:val="2"/>
          <w:sz w:val="32"/>
          <w:szCs w:val="32"/>
          <w14:ligatures w14:val="standardContextual"/>
        </w:rPr>
      </w:pPr>
      <w:r w:rsidRPr="00C333EB">
        <w:rPr>
          <w:rFonts w:ascii="Cambria" w:eastAsia="Cambria" w:hAnsi="Cambria" w:cs="Cambria"/>
          <w:b/>
          <w:color w:val="000000"/>
          <w:kern w:val="2"/>
          <w:sz w:val="32"/>
          <w:szCs w:val="32"/>
          <w14:ligatures w14:val="standardContextual"/>
        </w:rPr>
        <w:t>Bahauddin Zakariya University, Multan, Pakistan.</w:t>
      </w:r>
    </w:p>
    <w:p w14:paraId="235055EA" w14:textId="77777777" w:rsidR="00C333EB" w:rsidRPr="00C333EB" w:rsidRDefault="00C333EB" w:rsidP="00962584">
      <w:pPr>
        <w:pStyle w:val="NormalWeb"/>
        <w:jc w:val="center"/>
        <w:rPr>
          <w:rFonts w:ascii="Cambria" w:eastAsia="Cambria" w:hAnsi="Cambria" w:cs="Cambria"/>
          <w:b/>
          <w:color w:val="000000"/>
          <w:kern w:val="2"/>
          <w:sz w:val="32"/>
          <w:szCs w:val="32"/>
          <w14:ligatures w14:val="standardContextual"/>
        </w:rPr>
      </w:pPr>
    </w:p>
    <w:p w14:paraId="41FE1D4A" w14:textId="77777777" w:rsidR="00962584" w:rsidRDefault="00962584" w:rsidP="00DC4188">
      <w:pPr>
        <w:pStyle w:val="NormalWeb"/>
        <w:rPr>
          <w:rStyle w:val="Strong"/>
          <w:bCs w:val="0"/>
          <w:sz w:val="28"/>
          <w:szCs w:val="28"/>
        </w:rPr>
      </w:pPr>
    </w:p>
    <w:p w14:paraId="7F67DB3E" w14:textId="582296C0" w:rsidR="00F85A10" w:rsidRPr="005C4A39" w:rsidRDefault="00F85A10" w:rsidP="00DC4188">
      <w:pPr>
        <w:pStyle w:val="NormalWeb"/>
        <w:rPr>
          <w:rStyle w:val="Strong"/>
          <w:bCs w:val="0"/>
          <w:sz w:val="28"/>
          <w:szCs w:val="28"/>
        </w:rPr>
      </w:pPr>
      <w:r w:rsidRPr="005C4A39">
        <w:rPr>
          <w:rStyle w:val="Strong"/>
          <w:bCs w:val="0"/>
          <w:sz w:val="28"/>
          <w:szCs w:val="28"/>
        </w:rPr>
        <w:lastRenderedPageBreak/>
        <w:t>Abstract</w:t>
      </w:r>
    </w:p>
    <w:p w14:paraId="1336A453" w14:textId="7E8750D9" w:rsidR="00651AB5" w:rsidRPr="00651AB5" w:rsidRDefault="00651AB5" w:rsidP="002B6999">
      <w:pPr>
        <w:spacing w:before="100" w:beforeAutospacing="1" w:after="100" w:afterAutospacing="1" w:line="360" w:lineRule="auto"/>
        <w:ind w:firstLine="720"/>
        <w:rPr>
          <w:rFonts w:ascii="Times New Roman" w:eastAsia="Times New Roman" w:hAnsi="Times New Roman" w:cs="Times New Roman"/>
          <w:sz w:val="24"/>
          <w:szCs w:val="24"/>
        </w:rPr>
      </w:pPr>
      <w:r w:rsidRPr="00651AB5">
        <w:rPr>
          <w:rFonts w:ascii="Times New Roman" w:eastAsia="Times New Roman" w:hAnsi="Times New Roman" w:cs="Times New Roman"/>
          <w:sz w:val="24"/>
          <w:szCs w:val="24"/>
        </w:rPr>
        <w:t>This project undertakes a comprehensive financial statement analysis of National Foods Limited, a leading player in Pakistan’s food manufacturing sector, to evaluate its financial health, operational performance, and potential for investment. The study spans a four-year period and is based on a detailed examination of the company’s primary financial documents</w:t>
      </w:r>
      <w:r>
        <w:rPr>
          <w:rFonts w:ascii="Times New Roman" w:eastAsia="Times New Roman" w:hAnsi="Times New Roman" w:cs="Times New Roman"/>
          <w:sz w:val="24"/>
          <w:szCs w:val="24"/>
        </w:rPr>
        <w:t xml:space="preserve"> </w:t>
      </w:r>
      <w:r w:rsidRPr="00651AB5">
        <w:rPr>
          <w:rFonts w:ascii="Times New Roman" w:eastAsia="Times New Roman" w:hAnsi="Times New Roman" w:cs="Times New Roman"/>
          <w:sz w:val="24"/>
          <w:szCs w:val="24"/>
        </w:rPr>
        <w:t>namely the Income Statement</w:t>
      </w:r>
      <w:r>
        <w:rPr>
          <w:rFonts w:ascii="Times New Roman" w:eastAsia="Times New Roman" w:hAnsi="Times New Roman" w:cs="Times New Roman"/>
          <w:sz w:val="24"/>
          <w:szCs w:val="24"/>
        </w:rPr>
        <w:t xml:space="preserve">, </w:t>
      </w:r>
      <w:r w:rsidRPr="00651AB5">
        <w:rPr>
          <w:rFonts w:ascii="Times New Roman" w:eastAsia="Times New Roman" w:hAnsi="Times New Roman" w:cs="Times New Roman"/>
          <w:sz w:val="24"/>
          <w:szCs w:val="24"/>
        </w:rPr>
        <w:t>Balance Sheet, and Cash Flow Statement</w:t>
      </w:r>
      <w:r>
        <w:rPr>
          <w:rFonts w:ascii="Times New Roman" w:eastAsia="Times New Roman" w:hAnsi="Times New Roman" w:cs="Times New Roman"/>
          <w:sz w:val="24"/>
          <w:szCs w:val="24"/>
        </w:rPr>
        <w:t xml:space="preserve"> </w:t>
      </w:r>
      <w:r w:rsidRPr="00651AB5">
        <w:rPr>
          <w:rFonts w:ascii="Times New Roman" w:eastAsia="Times New Roman" w:hAnsi="Times New Roman" w:cs="Times New Roman"/>
          <w:sz w:val="24"/>
          <w:szCs w:val="24"/>
        </w:rPr>
        <w:t>to understand its financial trajectory and internal dynamics.</w:t>
      </w:r>
    </w:p>
    <w:p w14:paraId="324ABDC6" w14:textId="77777777" w:rsidR="00651AB5" w:rsidRPr="00651AB5" w:rsidRDefault="00651AB5" w:rsidP="00651AB5">
      <w:pPr>
        <w:spacing w:before="100" w:beforeAutospacing="1" w:after="100" w:afterAutospacing="1" w:line="360" w:lineRule="auto"/>
        <w:rPr>
          <w:rFonts w:ascii="Times New Roman" w:eastAsia="Times New Roman" w:hAnsi="Times New Roman" w:cs="Times New Roman"/>
          <w:sz w:val="24"/>
          <w:szCs w:val="24"/>
        </w:rPr>
      </w:pPr>
      <w:r w:rsidRPr="00651AB5">
        <w:rPr>
          <w:rFonts w:ascii="Times New Roman" w:eastAsia="Times New Roman" w:hAnsi="Times New Roman" w:cs="Times New Roman"/>
          <w:sz w:val="24"/>
          <w:szCs w:val="24"/>
        </w:rPr>
        <w:t>The primary aim of this analysis is to provide a holistic assessment of National Foods Ltd.'s profitability, liquidity, efficiency, and solvency through the application of key financial ratios and metrics. These include but are not limited to the gross profit margin, net profit margin, return on equity, current ratio, quick ratio, inventory turnover, asset turnover, debt-to-equity ratio, and interest coverage ratio. By evaluating these indicators, the project identifies trends in the company’s revenue growth, cost management, debt obligations, and cash flow generation.</w:t>
      </w:r>
    </w:p>
    <w:p w14:paraId="5D8E2E43" w14:textId="041A4E19" w:rsidR="00F85A10" w:rsidRDefault="00651AB5" w:rsidP="00651AB5">
      <w:pPr>
        <w:spacing w:before="100" w:beforeAutospacing="1" w:after="100" w:afterAutospacing="1" w:line="360" w:lineRule="auto"/>
        <w:rPr>
          <w:rFonts w:ascii="Times New Roman" w:eastAsia="Times New Roman" w:hAnsi="Times New Roman" w:cs="Times New Roman"/>
          <w:bCs/>
          <w:sz w:val="24"/>
          <w:szCs w:val="24"/>
        </w:rPr>
      </w:pPr>
      <w:r w:rsidRPr="00651AB5">
        <w:rPr>
          <w:rFonts w:ascii="Times New Roman" w:eastAsia="Times New Roman" w:hAnsi="Times New Roman" w:cs="Times New Roman"/>
          <w:sz w:val="24"/>
          <w:szCs w:val="24"/>
        </w:rPr>
        <w:t>The methodology involves both vertical and horizontal analysis to assess year-over-year changes and structural composition of financial statements. Ratio analysis is used to benchmark the company's performance against industry standards and historical norms, providing context to the raw financial data. Additionally, key performance drivers and potential risk factors are discussed to give a clearer picture of the company’s strengths, weaknesses, and overall financial resilience</w:t>
      </w:r>
      <w:r>
        <w:rPr>
          <w:rFonts w:ascii="Times New Roman" w:eastAsia="Times New Roman" w:hAnsi="Times New Roman" w:cs="Times New Roman"/>
          <w:sz w:val="24"/>
          <w:szCs w:val="24"/>
        </w:rPr>
        <w:t xml:space="preserve"> which ultimately helps </w:t>
      </w:r>
      <w:r w:rsidRPr="005D18EA">
        <w:rPr>
          <w:rFonts w:ascii="Times New Roman" w:eastAsia="Times New Roman" w:hAnsi="Times New Roman" w:cs="Times New Roman"/>
          <w:bCs/>
          <w:sz w:val="24"/>
          <w:szCs w:val="24"/>
        </w:rPr>
        <w:t>investors determine its suitability as an investment opportunity.</w:t>
      </w:r>
    </w:p>
    <w:p w14:paraId="0FC19BDF" w14:textId="118586BE" w:rsidR="00962584" w:rsidRDefault="00962584" w:rsidP="00FA0A30">
      <w:pPr>
        <w:spacing w:before="100" w:beforeAutospacing="1" w:after="100" w:afterAutospacing="1" w:line="360" w:lineRule="auto"/>
        <w:rPr>
          <w:rFonts w:ascii="Times New Roman" w:eastAsia="Times New Roman" w:hAnsi="Times New Roman" w:cs="Times New Roman"/>
          <w:bCs/>
          <w:sz w:val="24"/>
          <w:szCs w:val="24"/>
        </w:rPr>
      </w:pPr>
    </w:p>
    <w:p w14:paraId="4A8EDA80" w14:textId="6561322B" w:rsidR="00962584" w:rsidRDefault="00962584" w:rsidP="00FA0A30">
      <w:pPr>
        <w:spacing w:before="100" w:beforeAutospacing="1" w:after="100" w:afterAutospacing="1" w:line="360" w:lineRule="auto"/>
        <w:rPr>
          <w:rFonts w:ascii="Times New Roman" w:eastAsia="Times New Roman" w:hAnsi="Times New Roman" w:cs="Times New Roman"/>
          <w:bCs/>
          <w:sz w:val="24"/>
          <w:szCs w:val="24"/>
        </w:rPr>
      </w:pPr>
    </w:p>
    <w:p w14:paraId="5CCE9B5F" w14:textId="7D2B8019" w:rsidR="00962584" w:rsidRDefault="00962584" w:rsidP="00FA0A30">
      <w:pPr>
        <w:spacing w:before="100" w:beforeAutospacing="1" w:after="100" w:afterAutospacing="1" w:line="360" w:lineRule="auto"/>
        <w:rPr>
          <w:rFonts w:ascii="Times New Roman" w:eastAsia="Times New Roman" w:hAnsi="Times New Roman" w:cs="Times New Roman"/>
          <w:bCs/>
          <w:sz w:val="24"/>
          <w:szCs w:val="24"/>
        </w:rPr>
      </w:pPr>
    </w:p>
    <w:p w14:paraId="42EA5E12" w14:textId="125A954C" w:rsidR="00F85A10" w:rsidRDefault="00F85A10" w:rsidP="00DC4188">
      <w:pPr>
        <w:rPr>
          <w:rFonts w:ascii="Times New Roman" w:eastAsia="Times New Roman" w:hAnsi="Times New Roman" w:cs="Times New Roman"/>
          <w:bCs/>
          <w:sz w:val="24"/>
          <w:szCs w:val="24"/>
        </w:rPr>
      </w:pPr>
    </w:p>
    <w:p w14:paraId="381E45B9" w14:textId="77777777" w:rsidR="00651AB5" w:rsidRPr="003363D4" w:rsidRDefault="00651AB5" w:rsidP="00DC4188">
      <w:pPr>
        <w:rPr>
          <w:bCs/>
          <w:sz w:val="28"/>
          <w:szCs w:val="28"/>
        </w:rPr>
      </w:pPr>
    </w:p>
    <w:p w14:paraId="7F91B453" w14:textId="77777777" w:rsidR="00962584" w:rsidRDefault="00962584" w:rsidP="005D18EA">
      <w:pPr>
        <w:pStyle w:val="NormalWeb"/>
        <w:rPr>
          <w:rStyle w:val="Strong"/>
          <w:bCs w:val="0"/>
          <w:sz w:val="28"/>
          <w:szCs w:val="28"/>
        </w:rPr>
      </w:pPr>
    </w:p>
    <w:p w14:paraId="2F73B3F4" w14:textId="7C63110A" w:rsidR="005D18EA" w:rsidRPr="005D18EA" w:rsidRDefault="00DC4188" w:rsidP="005D18EA">
      <w:pPr>
        <w:pStyle w:val="NormalWeb"/>
        <w:rPr>
          <w:rStyle w:val="Strong"/>
          <w:bCs w:val="0"/>
          <w:sz w:val="28"/>
          <w:szCs w:val="28"/>
        </w:rPr>
      </w:pPr>
      <w:r w:rsidRPr="005D18EA">
        <w:rPr>
          <w:rStyle w:val="Strong"/>
          <w:bCs w:val="0"/>
          <w:sz w:val="28"/>
          <w:szCs w:val="28"/>
        </w:rPr>
        <w:lastRenderedPageBreak/>
        <w:t>Table of Contents</w:t>
      </w:r>
    </w:p>
    <w:p w14:paraId="48F46860" w14:textId="134E02CC" w:rsidR="00DC4188" w:rsidRPr="006B11B6" w:rsidRDefault="00DC4188" w:rsidP="00FA0A30">
      <w:pPr>
        <w:pStyle w:val="NormalWeb"/>
        <w:numPr>
          <w:ilvl w:val="0"/>
          <w:numId w:val="4"/>
        </w:numPr>
        <w:spacing w:line="312" w:lineRule="auto"/>
        <w:rPr>
          <w:bCs/>
        </w:rPr>
      </w:pPr>
      <w:r w:rsidRPr="006B11B6">
        <w:rPr>
          <w:rStyle w:val="Strong"/>
          <w:bCs w:val="0"/>
        </w:rPr>
        <w:t>Introduction</w:t>
      </w:r>
    </w:p>
    <w:p w14:paraId="6354F846" w14:textId="77777777" w:rsidR="00DC4188" w:rsidRPr="006B11B6" w:rsidRDefault="00DC4188" w:rsidP="00FA0A30">
      <w:pPr>
        <w:pStyle w:val="NormalWeb"/>
        <w:numPr>
          <w:ilvl w:val="0"/>
          <w:numId w:val="4"/>
        </w:numPr>
        <w:spacing w:line="312" w:lineRule="auto"/>
        <w:rPr>
          <w:bCs/>
        </w:rPr>
      </w:pPr>
      <w:r w:rsidRPr="006B11B6">
        <w:rPr>
          <w:rStyle w:val="Strong"/>
          <w:bCs w:val="0"/>
        </w:rPr>
        <w:t>Understanding Financial Statements</w:t>
      </w:r>
    </w:p>
    <w:p w14:paraId="4DC5879F" w14:textId="77777777" w:rsidR="00DC4188" w:rsidRPr="006B11B6" w:rsidRDefault="00DC4188" w:rsidP="00FA0A30">
      <w:pPr>
        <w:pStyle w:val="NormalWeb"/>
        <w:numPr>
          <w:ilvl w:val="1"/>
          <w:numId w:val="4"/>
        </w:numPr>
        <w:spacing w:line="312" w:lineRule="auto"/>
        <w:rPr>
          <w:bCs/>
        </w:rPr>
      </w:pPr>
      <w:r w:rsidRPr="006B11B6">
        <w:rPr>
          <w:bCs/>
        </w:rPr>
        <w:t>Balance Sheet</w:t>
      </w:r>
    </w:p>
    <w:p w14:paraId="2DF0B1B5" w14:textId="77777777" w:rsidR="00DC4188" w:rsidRPr="006B11B6" w:rsidRDefault="00DC4188" w:rsidP="00FA0A30">
      <w:pPr>
        <w:pStyle w:val="NormalWeb"/>
        <w:numPr>
          <w:ilvl w:val="1"/>
          <w:numId w:val="4"/>
        </w:numPr>
        <w:spacing w:line="312" w:lineRule="auto"/>
        <w:rPr>
          <w:bCs/>
        </w:rPr>
      </w:pPr>
      <w:r w:rsidRPr="006B11B6">
        <w:rPr>
          <w:bCs/>
        </w:rPr>
        <w:t>Income Statement</w:t>
      </w:r>
    </w:p>
    <w:p w14:paraId="05DE4985" w14:textId="77777777" w:rsidR="00DC4188" w:rsidRPr="006B11B6" w:rsidRDefault="00DC4188" w:rsidP="00FA0A30">
      <w:pPr>
        <w:pStyle w:val="NormalWeb"/>
        <w:numPr>
          <w:ilvl w:val="1"/>
          <w:numId w:val="4"/>
        </w:numPr>
        <w:spacing w:line="312" w:lineRule="auto"/>
        <w:rPr>
          <w:bCs/>
        </w:rPr>
      </w:pPr>
      <w:r w:rsidRPr="006B11B6">
        <w:rPr>
          <w:bCs/>
        </w:rPr>
        <w:t>Cash Flow Statement</w:t>
      </w:r>
    </w:p>
    <w:p w14:paraId="3BB721D9" w14:textId="77777777" w:rsidR="00DC4188" w:rsidRPr="006B11B6" w:rsidRDefault="00DC4188" w:rsidP="00FA0A30">
      <w:pPr>
        <w:pStyle w:val="NormalWeb"/>
        <w:numPr>
          <w:ilvl w:val="0"/>
          <w:numId w:val="4"/>
        </w:numPr>
        <w:spacing w:line="312" w:lineRule="auto"/>
        <w:rPr>
          <w:bCs/>
        </w:rPr>
      </w:pPr>
      <w:r w:rsidRPr="006B11B6">
        <w:rPr>
          <w:rStyle w:val="Strong"/>
          <w:bCs w:val="0"/>
        </w:rPr>
        <w:t>Key Financial Ratios and Their Importance</w:t>
      </w:r>
    </w:p>
    <w:p w14:paraId="7B9A53F3" w14:textId="77777777" w:rsidR="00DC4188" w:rsidRPr="006B11B6" w:rsidRDefault="00DC4188" w:rsidP="00FA0A30">
      <w:pPr>
        <w:pStyle w:val="NormalWeb"/>
        <w:numPr>
          <w:ilvl w:val="1"/>
          <w:numId w:val="4"/>
        </w:numPr>
        <w:spacing w:line="312" w:lineRule="auto"/>
        <w:rPr>
          <w:bCs/>
        </w:rPr>
      </w:pPr>
      <w:r w:rsidRPr="006B11B6">
        <w:rPr>
          <w:rStyle w:val="Strong"/>
          <w:b w:val="0"/>
        </w:rPr>
        <w:t>Liquidity Ratios</w:t>
      </w:r>
    </w:p>
    <w:p w14:paraId="6A939479" w14:textId="77777777" w:rsidR="00DC4188" w:rsidRPr="006B11B6" w:rsidRDefault="00DC4188" w:rsidP="00FA0A30">
      <w:pPr>
        <w:pStyle w:val="NormalWeb"/>
        <w:numPr>
          <w:ilvl w:val="1"/>
          <w:numId w:val="4"/>
        </w:numPr>
        <w:spacing w:line="312" w:lineRule="auto"/>
        <w:rPr>
          <w:bCs/>
        </w:rPr>
      </w:pPr>
      <w:r w:rsidRPr="006B11B6">
        <w:rPr>
          <w:rStyle w:val="Strong"/>
          <w:b w:val="0"/>
        </w:rPr>
        <w:t>Profitability Ratios</w:t>
      </w:r>
    </w:p>
    <w:p w14:paraId="3AB3E842" w14:textId="77777777" w:rsidR="00DC4188" w:rsidRPr="006B11B6" w:rsidRDefault="00DC4188" w:rsidP="00FA0A30">
      <w:pPr>
        <w:pStyle w:val="NormalWeb"/>
        <w:numPr>
          <w:ilvl w:val="1"/>
          <w:numId w:val="4"/>
        </w:numPr>
        <w:spacing w:line="312" w:lineRule="auto"/>
        <w:rPr>
          <w:bCs/>
        </w:rPr>
      </w:pPr>
      <w:r w:rsidRPr="006B11B6">
        <w:rPr>
          <w:rStyle w:val="Strong"/>
          <w:b w:val="0"/>
        </w:rPr>
        <w:t>Efficiency Ratios</w:t>
      </w:r>
    </w:p>
    <w:p w14:paraId="22E200F3" w14:textId="77777777" w:rsidR="00DC4188" w:rsidRPr="006B11B6" w:rsidRDefault="00DC4188" w:rsidP="00FA0A30">
      <w:pPr>
        <w:pStyle w:val="NormalWeb"/>
        <w:numPr>
          <w:ilvl w:val="1"/>
          <w:numId w:val="4"/>
        </w:numPr>
        <w:spacing w:line="312" w:lineRule="auto"/>
        <w:rPr>
          <w:bCs/>
        </w:rPr>
      </w:pPr>
      <w:r w:rsidRPr="006B11B6">
        <w:rPr>
          <w:rStyle w:val="Strong"/>
          <w:b w:val="0"/>
        </w:rPr>
        <w:t>Leverage Ratios</w:t>
      </w:r>
    </w:p>
    <w:p w14:paraId="534B1D01" w14:textId="77777777" w:rsidR="00DC4188" w:rsidRPr="006B11B6" w:rsidRDefault="00DC4188" w:rsidP="00FA0A30">
      <w:pPr>
        <w:pStyle w:val="NormalWeb"/>
        <w:numPr>
          <w:ilvl w:val="1"/>
          <w:numId w:val="4"/>
        </w:numPr>
        <w:spacing w:line="312" w:lineRule="auto"/>
        <w:rPr>
          <w:bCs/>
        </w:rPr>
      </w:pPr>
      <w:r w:rsidRPr="006B11B6">
        <w:rPr>
          <w:rStyle w:val="Strong"/>
          <w:b w:val="0"/>
        </w:rPr>
        <w:t>Market Valuation Ratios</w:t>
      </w:r>
    </w:p>
    <w:p w14:paraId="0749BB6C" w14:textId="60DA7C20" w:rsidR="002E2C6A" w:rsidRPr="006B11B6" w:rsidRDefault="00DC4188" w:rsidP="002E2C6A">
      <w:pPr>
        <w:pStyle w:val="NormalWeb"/>
        <w:numPr>
          <w:ilvl w:val="0"/>
          <w:numId w:val="4"/>
        </w:numPr>
        <w:spacing w:line="312" w:lineRule="auto"/>
        <w:rPr>
          <w:bCs/>
        </w:rPr>
      </w:pPr>
      <w:r w:rsidRPr="006B11B6">
        <w:rPr>
          <w:rStyle w:val="Strong"/>
          <w:bCs w:val="0"/>
        </w:rPr>
        <w:t>Financial Analysis of National Foods</w:t>
      </w:r>
    </w:p>
    <w:p w14:paraId="447D5753" w14:textId="77777777" w:rsidR="002E2C6A" w:rsidRPr="006B11B6" w:rsidRDefault="002E2C6A" w:rsidP="00FA0A30">
      <w:pPr>
        <w:pStyle w:val="NormalWeb"/>
        <w:numPr>
          <w:ilvl w:val="1"/>
          <w:numId w:val="4"/>
        </w:numPr>
        <w:spacing w:line="312" w:lineRule="auto"/>
        <w:rPr>
          <w:rStyle w:val="Strong"/>
          <w:b w:val="0"/>
        </w:rPr>
      </w:pPr>
      <w:r w:rsidRPr="006B11B6">
        <w:rPr>
          <w:rStyle w:val="Strong"/>
          <w:b w:val="0"/>
        </w:rPr>
        <w:t>Company Overview</w:t>
      </w:r>
    </w:p>
    <w:p w14:paraId="5A054380" w14:textId="7B609D3E" w:rsidR="00DC4188" w:rsidRPr="006B11B6" w:rsidRDefault="00DC4188" w:rsidP="00FA0A30">
      <w:pPr>
        <w:pStyle w:val="NormalWeb"/>
        <w:numPr>
          <w:ilvl w:val="1"/>
          <w:numId w:val="4"/>
        </w:numPr>
        <w:spacing w:line="312" w:lineRule="auto"/>
        <w:rPr>
          <w:bCs/>
        </w:rPr>
      </w:pPr>
      <w:r w:rsidRPr="006B11B6">
        <w:rPr>
          <w:rStyle w:val="Strong"/>
          <w:b w:val="0"/>
        </w:rPr>
        <w:t>Liquidity Position</w:t>
      </w:r>
    </w:p>
    <w:p w14:paraId="16FB7658" w14:textId="77777777" w:rsidR="00DC4188" w:rsidRPr="006B11B6" w:rsidRDefault="00DC4188" w:rsidP="00FA0A30">
      <w:pPr>
        <w:pStyle w:val="NormalWeb"/>
        <w:numPr>
          <w:ilvl w:val="1"/>
          <w:numId w:val="4"/>
        </w:numPr>
        <w:spacing w:line="312" w:lineRule="auto"/>
        <w:rPr>
          <w:bCs/>
        </w:rPr>
      </w:pPr>
      <w:r w:rsidRPr="006B11B6">
        <w:rPr>
          <w:rStyle w:val="Strong"/>
          <w:b w:val="0"/>
        </w:rPr>
        <w:t>Profitability Performance</w:t>
      </w:r>
    </w:p>
    <w:p w14:paraId="47F7D693" w14:textId="77777777" w:rsidR="00DC4188" w:rsidRPr="006B11B6" w:rsidRDefault="00DC4188" w:rsidP="00FA0A30">
      <w:pPr>
        <w:pStyle w:val="NormalWeb"/>
        <w:numPr>
          <w:ilvl w:val="1"/>
          <w:numId w:val="4"/>
        </w:numPr>
        <w:spacing w:line="312" w:lineRule="auto"/>
        <w:rPr>
          <w:bCs/>
        </w:rPr>
      </w:pPr>
      <w:r w:rsidRPr="006B11B6">
        <w:rPr>
          <w:rStyle w:val="Strong"/>
          <w:b w:val="0"/>
        </w:rPr>
        <w:t>Operational Efficiency</w:t>
      </w:r>
    </w:p>
    <w:p w14:paraId="09EF9F9F" w14:textId="77777777" w:rsidR="00DC4188" w:rsidRPr="006B11B6" w:rsidRDefault="00DC4188" w:rsidP="00FA0A30">
      <w:pPr>
        <w:pStyle w:val="NormalWeb"/>
        <w:numPr>
          <w:ilvl w:val="1"/>
          <w:numId w:val="4"/>
        </w:numPr>
        <w:spacing w:line="312" w:lineRule="auto"/>
        <w:rPr>
          <w:bCs/>
        </w:rPr>
      </w:pPr>
      <w:r w:rsidRPr="006B11B6">
        <w:rPr>
          <w:rStyle w:val="Strong"/>
          <w:b w:val="0"/>
        </w:rPr>
        <w:t>Financial Leverage</w:t>
      </w:r>
    </w:p>
    <w:p w14:paraId="382B6C02" w14:textId="4312EA42" w:rsidR="00DC4188" w:rsidRPr="006B11B6" w:rsidRDefault="00DC4188" w:rsidP="002E2C6A">
      <w:pPr>
        <w:pStyle w:val="NormalWeb"/>
        <w:numPr>
          <w:ilvl w:val="1"/>
          <w:numId w:val="4"/>
        </w:numPr>
        <w:spacing w:line="312" w:lineRule="auto"/>
        <w:rPr>
          <w:bCs/>
        </w:rPr>
      </w:pPr>
      <w:r w:rsidRPr="006B11B6">
        <w:rPr>
          <w:rStyle w:val="Strong"/>
          <w:b w:val="0"/>
        </w:rPr>
        <w:t>Market Performance</w:t>
      </w:r>
    </w:p>
    <w:p w14:paraId="4FC9CA03" w14:textId="77777777" w:rsidR="003A5FBD" w:rsidRPr="003A5FBD" w:rsidRDefault="00DC4188" w:rsidP="003A5FBD">
      <w:pPr>
        <w:pStyle w:val="NormalWeb"/>
        <w:numPr>
          <w:ilvl w:val="0"/>
          <w:numId w:val="4"/>
        </w:numPr>
        <w:jc w:val="both"/>
        <w:rPr>
          <w:rStyle w:val="Strong"/>
          <w:b w:val="0"/>
        </w:rPr>
      </w:pPr>
      <w:r w:rsidRPr="006B11B6">
        <w:rPr>
          <w:rStyle w:val="Strong"/>
          <w:bCs w:val="0"/>
        </w:rPr>
        <w:t>Conclusion &amp; Investment Decision</w:t>
      </w:r>
    </w:p>
    <w:p w14:paraId="6D4737EF" w14:textId="56F6A94D" w:rsidR="00DC4188" w:rsidRPr="003A5FBD" w:rsidRDefault="00DC4188" w:rsidP="003A5FBD">
      <w:pPr>
        <w:pStyle w:val="NormalWeb"/>
        <w:ind w:left="630"/>
        <w:jc w:val="both"/>
        <w:rPr>
          <w:bCs/>
        </w:rPr>
      </w:pPr>
      <w:r w:rsidRPr="003A5FBD">
        <w:rPr>
          <w:rStyle w:val="Strong"/>
          <w:bCs w:val="0"/>
        </w:rPr>
        <w:t>References</w:t>
      </w:r>
    </w:p>
    <w:p w14:paraId="6039B612" w14:textId="443AE3A1" w:rsidR="00DC4188" w:rsidRPr="003363D4" w:rsidRDefault="00DC4188" w:rsidP="00DC4188">
      <w:pPr>
        <w:rPr>
          <w:bCs/>
          <w:sz w:val="28"/>
          <w:szCs w:val="28"/>
        </w:rPr>
      </w:pPr>
    </w:p>
    <w:p w14:paraId="754C0407" w14:textId="20CB3516" w:rsidR="00D524E5" w:rsidRPr="003363D4" w:rsidRDefault="00D524E5" w:rsidP="00DC4188">
      <w:pPr>
        <w:rPr>
          <w:bCs/>
          <w:sz w:val="28"/>
          <w:szCs w:val="28"/>
        </w:rPr>
      </w:pPr>
    </w:p>
    <w:p w14:paraId="2EC041D1" w14:textId="20A9CAF1" w:rsidR="00D524E5" w:rsidRPr="003363D4" w:rsidRDefault="00D524E5" w:rsidP="00DC4188">
      <w:pPr>
        <w:rPr>
          <w:bCs/>
          <w:sz w:val="28"/>
          <w:szCs w:val="28"/>
        </w:rPr>
      </w:pPr>
    </w:p>
    <w:p w14:paraId="2CDB3520" w14:textId="7091E197" w:rsidR="00D524E5" w:rsidRPr="003363D4" w:rsidRDefault="00D524E5" w:rsidP="00DC4188">
      <w:pPr>
        <w:rPr>
          <w:bCs/>
          <w:sz w:val="28"/>
          <w:szCs w:val="28"/>
        </w:rPr>
      </w:pPr>
    </w:p>
    <w:p w14:paraId="27885D4F" w14:textId="3570787D" w:rsidR="00D524E5" w:rsidRPr="003363D4" w:rsidRDefault="00D524E5" w:rsidP="00DC4188">
      <w:pPr>
        <w:rPr>
          <w:bCs/>
          <w:sz w:val="28"/>
          <w:szCs w:val="28"/>
        </w:rPr>
      </w:pPr>
    </w:p>
    <w:p w14:paraId="36CB369E" w14:textId="2CFB11C2" w:rsidR="00D524E5" w:rsidRPr="003363D4" w:rsidRDefault="00D524E5" w:rsidP="00DC4188">
      <w:pPr>
        <w:rPr>
          <w:bCs/>
          <w:sz w:val="28"/>
          <w:szCs w:val="28"/>
        </w:rPr>
      </w:pPr>
    </w:p>
    <w:p w14:paraId="36E50875" w14:textId="0B824733" w:rsidR="00D524E5" w:rsidRPr="003363D4" w:rsidRDefault="00D524E5" w:rsidP="00DC4188">
      <w:pPr>
        <w:rPr>
          <w:bCs/>
          <w:sz w:val="28"/>
          <w:szCs w:val="28"/>
        </w:rPr>
      </w:pPr>
    </w:p>
    <w:p w14:paraId="57BB3707" w14:textId="6A1F9898" w:rsidR="00FC490F" w:rsidRDefault="00FC490F" w:rsidP="00DC4188">
      <w:pPr>
        <w:rPr>
          <w:bCs/>
          <w:sz w:val="28"/>
          <w:szCs w:val="28"/>
        </w:rPr>
      </w:pPr>
    </w:p>
    <w:p w14:paraId="592DFAC6" w14:textId="77777777" w:rsidR="00FC490F" w:rsidRPr="003363D4" w:rsidRDefault="00FC490F" w:rsidP="00DC4188">
      <w:pPr>
        <w:rPr>
          <w:bCs/>
          <w:sz w:val="28"/>
          <w:szCs w:val="28"/>
        </w:rPr>
      </w:pPr>
    </w:p>
    <w:p w14:paraId="210AC042" w14:textId="7DAF96AF" w:rsidR="00DC4188" w:rsidRPr="006B11B6" w:rsidRDefault="00DC4188" w:rsidP="00A30B56">
      <w:pPr>
        <w:pStyle w:val="Heading2"/>
        <w:numPr>
          <w:ilvl w:val="0"/>
          <w:numId w:val="50"/>
        </w:numPr>
        <w:rPr>
          <w:rStyle w:val="Strong"/>
          <w:rFonts w:ascii="Times New Roman" w:eastAsia="Times New Roman" w:hAnsi="Times New Roman" w:cs="Times New Roman"/>
          <w:sz w:val="28"/>
          <w:szCs w:val="28"/>
        </w:rPr>
      </w:pPr>
      <w:r w:rsidRPr="006B11B6">
        <w:rPr>
          <w:rStyle w:val="Strong"/>
          <w:rFonts w:ascii="Times New Roman" w:eastAsia="Times New Roman" w:hAnsi="Times New Roman" w:cs="Times New Roman"/>
          <w:bCs w:val="0"/>
          <w:color w:val="auto"/>
          <w:sz w:val="28"/>
          <w:szCs w:val="28"/>
        </w:rPr>
        <w:lastRenderedPageBreak/>
        <w:t>Introduction</w:t>
      </w:r>
    </w:p>
    <w:p w14:paraId="398C2E2E" w14:textId="5BDD59AB" w:rsidR="00F85A10" w:rsidRPr="005D18EA" w:rsidRDefault="00F85A10" w:rsidP="002B6999">
      <w:pPr>
        <w:spacing w:before="100" w:beforeAutospacing="1" w:after="100" w:afterAutospacing="1" w:line="360" w:lineRule="auto"/>
        <w:ind w:firstLine="360"/>
        <w:rPr>
          <w:rFonts w:ascii="Times New Roman" w:eastAsia="Times New Roman" w:hAnsi="Times New Roman" w:cs="Times New Roman"/>
          <w:bCs/>
          <w:sz w:val="24"/>
          <w:szCs w:val="24"/>
        </w:rPr>
      </w:pPr>
      <w:r w:rsidRPr="005D18EA">
        <w:rPr>
          <w:rFonts w:ascii="Times New Roman" w:eastAsia="Times New Roman" w:hAnsi="Times New Roman" w:cs="Times New Roman"/>
          <w:bCs/>
          <w:sz w:val="24"/>
          <w:szCs w:val="24"/>
        </w:rPr>
        <w:t>Financial</w:t>
      </w:r>
      <w:r w:rsidR="005A3FE2" w:rsidRPr="005D18EA">
        <w:rPr>
          <w:rFonts w:ascii="Times New Roman" w:eastAsia="Times New Roman" w:hAnsi="Times New Roman" w:cs="Times New Roman"/>
          <w:bCs/>
          <w:sz w:val="24"/>
          <w:szCs w:val="24"/>
        </w:rPr>
        <w:t xml:space="preserve"> S</w:t>
      </w:r>
      <w:r w:rsidRPr="005D18EA">
        <w:rPr>
          <w:rFonts w:ascii="Times New Roman" w:eastAsia="Times New Roman" w:hAnsi="Times New Roman" w:cs="Times New Roman"/>
          <w:bCs/>
          <w:sz w:val="24"/>
          <w:szCs w:val="24"/>
        </w:rPr>
        <w:t xml:space="preserve">tatement </w:t>
      </w:r>
      <w:r w:rsidR="005A3FE2" w:rsidRPr="005D18EA">
        <w:rPr>
          <w:rFonts w:ascii="Times New Roman" w:eastAsia="Times New Roman" w:hAnsi="Times New Roman" w:cs="Times New Roman"/>
          <w:bCs/>
          <w:sz w:val="24"/>
          <w:szCs w:val="24"/>
        </w:rPr>
        <w:t>A</w:t>
      </w:r>
      <w:r w:rsidRPr="005D18EA">
        <w:rPr>
          <w:rFonts w:ascii="Times New Roman" w:eastAsia="Times New Roman" w:hAnsi="Times New Roman" w:cs="Times New Roman"/>
          <w:bCs/>
          <w:sz w:val="24"/>
          <w:szCs w:val="24"/>
        </w:rPr>
        <w:t>nalysis is a crucial process for investors, financial analysts, and company stakeholders to assess a company's financial health and performance. This project focuses on analyzing the financial statements of National Foods Ltd. over the past four years, examining key financial ratios and trends to determine its investment potential.</w:t>
      </w:r>
    </w:p>
    <w:p w14:paraId="5F64B988" w14:textId="312FE530" w:rsidR="003828B6" w:rsidRDefault="00F85A10" w:rsidP="003828B6">
      <w:pPr>
        <w:spacing w:before="100" w:beforeAutospacing="1" w:after="100" w:afterAutospacing="1" w:line="360" w:lineRule="auto"/>
        <w:rPr>
          <w:rFonts w:ascii="Times New Roman" w:eastAsia="Times New Roman" w:hAnsi="Times New Roman" w:cs="Times New Roman"/>
          <w:bCs/>
          <w:sz w:val="24"/>
          <w:szCs w:val="24"/>
        </w:rPr>
      </w:pPr>
      <w:r w:rsidRPr="005D18EA">
        <w:rPr>
          <w:rFonts w:ascii="Times New Roman" w:eastAsia="Times New Roman" w:hAnsi="Times New Roman" w:cs="Times New Roman"/>
          <w:bCs/>
          <w:sz w:val="24"/>
          <w:szCs w:val="24"/>
        </w:rPr>
        <w:t>The study covers the three core financial statements: the Balance Sheet, Income Statement, and Cash Flow Statement, along with an in-depth evaluation of key financial metrics. These insights help in understanding the company’s profitability, liquidity, solvency, and operational efficiency, which are essential factors for investment decision-making.</w:t>
      </w:r>
    </w:p>
    <w:p w14:paraId="5CD8C3A8" w14:textId="77777777" w:rsidR="009961F7" w:rsidRDefault="009961F7" w:rsidP="00DC4188">
      <w:pPr>
        <w:pStyle w:val="NormalWeb"/>
        <w:rPr>
          <w:rStyle w:val="Strong"/>
          <w:rFonts w:eastAsiaTheme="majorEastAsia"/>
          <w:bCs w:val="0"/>
          <w:sz w:val="28"/>
          <w:szCs w:val="28"/>
        </w:rPr>
      </w:pPr>
    </w:p>
    <w:p w14:paraId="08AC16A4" w14:textId="0D491C47" w:rsidR="00DC4188" w:rsidRPr="006B11B6" w:rsidRDefault="00DC4188" w:rsidP="00A30B56">
      <w:pPr>
        <w:pStyle w:val="NormalWeb"/>
        <w:numPr>
          <w:ilvl w:val="0"/>
          <w:numId w:val="50"/>
        </w:numPr>
        <w:rPr>
          <w:rStyle w:val="Strong"/>
          <w:rFonts w:eastAsiaTheme="majorEastAsia"/>
          <w:b w:val="0"/>
          <w:sz w:val="28"/>
          <w:szCs w:val="28"/>
        </w:rPr>
      </w:pPr>
      <w:r w:rsidRPr="006B11B6">
        <w:rPr>
          <w:rStyle w:val="Strong"/>
          <w:rFonts w:eastAsiaTheme="majorEastAsia"/>
          <w:bCs w:val="0"/>
          <w:sz w:val="28"/>
          <w:szCs w:val="28"/>
        </w:rPr>
        <w:t>Understanding Financial Statements</w:t>
      </w:r>
    </w:p>
    <w:p w14:paraId="6F66FEC0" w14:textId="73DC5B65" w:rsidR="00F85A10" w:rsidRPr="005D18EA" w:rsidRDefault="00F85A10" w:rsidP="009E47A5">
      <w:pPr>
        <w:pStyle w:val="Heading3"/>
        <w:spacing w:line="360" w:lineRule="auto"/>
        <w:ind w:firstLine="360"/>
        <w:rPr>
          <w:b w:val="0"/>
          <w:sz w:val="24"/>
          <w:szCs w:val="24"/>
        </w:rPr>
      </w:pPr>
      <w:r w:rsidRPr="005D18EA">
        <w:rPr>
          <w:b w:val="0"/>
          <w:sz w:val="24"/>
          <w:szCs w:val="24"/>
        </w:rPr>
        <w:t xml:space="preserve">Financial statements provide a snapshot of a company’s financial health, offering a detailed overview of its </w:t>
      </w:r>
      <w:r w:rsidRPr="005D18EA">
        <w:rPr>
          <w:rStyle w:val="Strong"/>
          <w:bCs/>
          <w:sz w:val="24"/>
          <w:szCs w:val="24"/>
        </w:rPr>
        <w:t>assets, liabilities, revenue, expenses, and cash flow movements</w:t>
      </w:r>
      <w:r w:rsidRPr="005D18EA">
        <w:rPr>
          <w:b w:val="0"/>
          <w:sz w:val="24"/>
          <w:szCs w:val="24"/>
        </w:rPr>
        <w:t xml:space="preserve"> over a specific period. They are essential for stakeholders, including </w:t>
      </w:r>
      <w:r w:rsidRPr="005D18EA">
        <w:rPr>
          <w:rStyle w:val="Strong"/>
          <w:bCs/>
          <w:sz w:val="24"/>
          <w:szCs w:val="24"/>
        </w:rPr>
        <w:t>investors, creditors, and management</w:t>
      </w:r>
      <w:r w:rsidRPr="005D18EA">
        <w:rPr>
          <w:b w:val="0"/>
          <w:sz w:val="24"/>
          <w:szCs w:val="24"/>
        </w:rPr>
        <w:t xml:space="preserve">, to assess a company’s performance, profitability, and long-term sustainability. By analyzing these statements, businesses can </w:t>
      </w:r>
      <w:r w:rsidRPr="005D18EA">
        <w:rPr>
          <w:rStyle w:val="Strong"/>
          <w:bCs/>
          <w:sz w:val="24"/>
          <w:szCs w:val="24"/>
        </w:rPr>
        <w:t>identify financial trends, measure efficiency, and evaluate risk factors</w:t>
      </w:r>
      <w:r w:rsidRPr="005D18EA">
        <w:rPr>
          <w:b w:val="0"/>
          <w:sz w:val="24"/>
          <w:szCs w:val="24"/>
        </w:rPr>
        <w:t xml:space="preserve"> that impact decision-making. The core components of the any financial statement are as follows:</w:t>
      </w:r>
    </w:p>
    <w:p w14:paraId="2A95E4DD" w14:textId="77777777" w:rsidR="005A3FE2" w:rsidRPr="005D18EA" w:rsidRDefault="005A3FE2" w:rsidP="00F85A10">
      <w:pPr>
        <w:pStyle w:val="Heading4"/>
        <w:rPr>
          <w:rStyle w:val="Strong"/>
          <w:rFonts w:ascii="Times New Roman" w:eastAsia="Times New Roman" w:hAnsi="Times New Roman" w:cs="Times New Roman"/>
          <w:bCs w:val="0"/>
          <w:i w:val="0"/>
          <w:iCs w:val="0"/>
          <w:color w:val="auto"/>
          <w:sz w:val="24"/>
          <w:szCs w:val="24"/>
        </w:rPr>
      </w:pPr>
    </w:p>
    <w:p w14:paraId="46802D8C" w14:textId="3B82F8F7" w:rsidR="00F85A10" w:rsidRPr="005D18EA" w:rsidRDefault="00F85A10" w:rsidP="00A30B56">
      <w:pPr>
        <w:pStyle w:val="Heading4"/>
        <w:numPr>
          <w:ilvl w:val="1"/>
          <w:numId w:val="50"/>
        </w:numPr>
        <w:rPr>
          <w:rStyle w:val="Strong"/>
          <w:rFonts w:ascii="Times New Roman" w:eastAsia="Times New Roman" w:hAnsi="Times New Roman" w:cs="Times New Roman"/>
          <w:bCs w:val="0"/>
          <w:i w:val="0"/>
          <w:iCs w:val="0"/>
          <w:color w:val="auto"/>
          <w:sz w:val="24"/>
          <w:szCs w:val="24"/>
        </w:rPr>
      </w:pPr>
      <w:r w:rsidRPr="005D18EA">
        <w:rPr>
          <w:rStyle w:val="Strong"/>
          <w:rFonts w:ascii="Times New Roman" w:eastAsia="Times New Roman" w:hAnsi="Times New Roman" w:cs="Times New Roman"/>
          <w:bCs w:val="0"/>
          <w:i w:val="0"/>
          <w:iCs w:val="0"/>
          <w:color w:val="auto"/>
          <w:sz w:val="24"/>
          <w:szCs w:val="24"/>
        </w:rPr>
        <w:t>Income Statement (Profit &amp; Loss Statement)</w:t>
      </w:r>
    </w:p>
    <w:p w14:paraId="3A55EE78" w14:textId="63632CC2" w:rsidR="00105609" w:rsidRDefault="00105609" w:rsidP="009E47A5">
      <w:pPr>
        <w:pStyle w:val="NormalWeb"/>
        <w:spacing w:line="276" w:lineRule="auto"/>
        <w:ind w:firstLine="360"/>
      </w:pPr>
      <w:r w:rsidRPr="005D18EA">
        <w:rPr>
          <w:bCs/>
        </w:rPr>
        <w:t>The income statement is a core financial document that shows a company's financial performance over a specific accounting period, typically quarterly or annually.</w:t>
      </w:r>
      <w:r w:rsidR="006B11B6" w:rsidRPr="006B11B6">
        <w:t xml:space="preserve"> </w:t>
      </w:r>
      <w:r w:rsidR="006B11B6">
        <w:br/>
        <w:t>It summarizes a company's revenues, expenses, and net profit or loss over a specific period, usually quarterly or annually. It starts with total revenue or sales and subtracts the cost of goods sold (COGS) to determine gross profit. Operating expenses such as salaries, rent, and depreciation are then deducted to arrive at operating income. Further adjustments for interest and taxes lead to the final figure. This statement provides a clear view of a company's profitability and performance over time. Investors and analysts use it to assess trends in sales, margins, and overall earnings growth.</w:t>
      </w:r>
    </w:p>
    <w:p w14:paraId="6EB90AC8" w14:textId="77777777" w:rsidR="00345C76" w:rsidRPr="005D18EA" w:rsidRDefault="00345C76" w:rsidP="00FA0A30">
      <w:pPr>
        <w:pStyle w:val="NormalWeb"/>
        <w:spacing w:line="276" w:lineRule="auto"/>
        <w:rPr>
          <w:bCs/>
        </w:rPr>
      </w:pPr>
    </w:p>
    <w:p w14:paraId="166B6C43" w14:textId="0DAA382E" w:rsidR="001F5F9F" w:rsidRDefault="001F5F9F" w:rsidP="00863F49">
      <w:pPr>
        <w:pStyle w:val="NormalWeb"/>
        <w:rPr>
          <w:bCs/>
          <w:sz w:val="28"/>
          <w:szCs w:val="28"/>
        </w:rPr>
      </w:pPr>
      <w:r>
        <w:rPr>
          <w:bCs/>
          <w:noProof/>
          <w:sz w:val="28"/>
          <w:szCs w:val="28"/>
        </w:rPr>
        <w:lastRenderedPageBreak/>
        <w:drawing>
          <wp:inline distT="0" distB="0" distL="0" distR="0" wp14:anchorId="3C34722D" wp14:editId="49E2118D">
            <wp:extent cx="5933545" cy="43967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5952221" cy="4410579"/>
                    </a:xfrm>
                    <a:prstGeom prst="rect">
                      <a:avLst/>
                    </a:prstGeom>
                  </pic:spPr>
                </pic:pic>
              </a:graphicData>
            </a:graphic>
          </wp:inline>
        </w:drawing>
      </w:r>
    </w:p>
    <w:p w14:paraId="08A9E41F" w14:textId="77777777" w:rsidR="001F5F9F" w:rsidRPr="003363D4" w:rsidRDefault="001F5F9F" w:rsidP="00863F49">
      <w:pPr>
        <w:pStyle w:val="NormalWeb"/>
        <w:rPr>
          <w:bCs/>
          <w:sz w:val="28"/>
          <w:szCs w:val="28"/>
        </w:rPr>
      </w:pPr>
    </w:p>
    <w:p w14:paraId="30D4AFFC" w14:textId="77777777" w:rsidR="006B11B6" w:rsidRPr="006B11B6" w:rsidRDefault="00863F49" w:rsidP="005C4A39">
      <w:pPr>
        <w:pStyle w:val="NormalWeb"/>
        <w:numPr>
          <w:ilvl w:val="0"/>
          <w:numId w:val="20"/>
        </w:numPr>
        <w:spacing w:line="360" w:lineRule="auto"/>
        <w:rPr>
          <w:rStyle w:val="Strong"/>
          <w:b w:val="0"/>
        </w:rPr>
      </w:pPr>
      <w:r w:rsidRPr="006B11B6">
        <w:rPr>
          <w:rStyle w:val="Strong"/>
          <w:b w:val="0"/>
        </w:rPr>
        <w:t>Total Sales/Revenue:</w:t>
      </w:r>
      <w:r w:rsidRPr="005D18EA">
        <w:rPr>
          <w:rStyle w:val="Strong"/>
          <w:b w:val="0"/>
        </w:rPr>
        <w:t xml:space="preserve"> </w:t>
      </w:r>
      <w:r w:rsidRPr="005C4A39">
        <w:rPr>
          <w:rStyle w:val="Strong"/>
          <w:b w:val="0"/>
        </w:rPr>
        <w:t xml:space="preserve">Total income generated from selling goods or services before deducting any costs.                                                                                                  </w:t>
      </w:r>
    </w:p>
    <w:p w14:paraId="692436AE" w14:textId="14B64DD5" w:rsidR="00863F49" w:rsidRPr="005C4A39" w:rsidRDefault="00863F49" w:rsidP="006B11B6">
      <w:pPr>
        <w:pStyle w:val="NormalWeb"/>
        <w:spacing w:line="360" w:lineRule="auto"/>
        <w:ind w:left="720"/>
        <w:rPr>
          <w:rStyle w:val="Strong"/>
          <w:b w:val="0"/>
        </w:rPr>
      </w:pPr>
      <w:r w:rsidRPr="005C4A39">
        <w:rPr>
          <w:rStyle w:val="Strong"/>
          <w:b w:val="0"/>
        </w:rPr>
        <w:t>Total Revenue = Price per unit × Quantity sold</w:t>
      </w:r>
    </w:p>
    <w:p w14:paraId="43360225" w14:textId="77777777" w:rsidR="005C4A39" w:rsidRPr="005C4A39" w:rsidRDefault="00863F49" w:rsidP="005C4A39">
      <w:pPr>
        <w:pStyle w:val="NormalWeb"/>
        <w:numPr>
          <w:ilvl w:val="0"/>
          <w:numId w:val="20"/>
        </w:numPr>
        <w:spacing w:line="360" w:lineRule="auto"/>
        <w:rPr>
          <w:rStyle w:val="Strong"/>
          <w:b w:val="0"/>
        </w:rPr>
      </w:pPr>
      <w:r w:rsidRPr="006B11B6">
        <w:rPr>
          <w:rStyle w:val="Strong"/>
          <w:b w:val="0"/>
        </w:rPr>
        <w:t>COGS (Cost of Goods Sold):</w:t>
      </w:r>
      <w:r w:rsidRPr="005C4A39">
        <w:rPr>
          <w:rStyle w:val="Strong"/>
          <w:b w:val="0"/>
        </w:rPr>
        <w:t xml:space="preserve"> The direct costs incurred in producing or purchasing goods sold by the company.</w:t>
      </w:r>
      <w:r w:rsidR="004F5A8C" w:rsidRPr="005C4A39">
        <w:rPr>
          <w:rStyle w:val="Strong"/>
          <w:b w:val="0"/>
        </w:rPr>
        <w:t xml:space="preserve">                                         </w:t>
      </w:r>
      <w:r w:rsidR="003363D4" w:rsidRPr="005C4A39">
        <w:rPr>
          <w:rStyle w:val="Strong"/>
          <w:b w:val="0"/>
        </w:rPr>
        <w:t xml:space="preserve">   </w:t>
      </w:r>
      <w:r w:rsidR="004F5A8C" w:rsidRPr="005C4A39">
        <w:rPr>
          <w:rStyle w:val="Strong"/>
          <w:b w:val="0"/>
        </w:rPr>
        <w:t xml:space="preserve">   </w:t>
      </w:r>
    </w:p>
    <w:p w14:paraId="4D9DFBD6" w14:textId="6A701496" w:rsidR="00863F49" w:rsidRPr="005C4A39" w:rsidRDefault="00863F49" w:rsidP="005C4A39">
      <w:pPr>
        <w:pStyle w:val="NormalWeb"/>
        <w:spacing w:line="360" w:lineRule="auto"/>
        <w:ind w:left="720"/>
        <w:rPr>
          <w:rStyle w:val="Strong"/>
          <w:b w:val="0"/>
        </w:rPr>
      </w:pPr>
      <w:r w:rsidRPr="005C4A39">
        <w:rPr>
          <w:rStyle w:val="Strong"/>
          <w:b w:val="0"/>
        </w:rPr>
        <w:t>COGS = Opening Inventory + Purchases - Closing Inventory</w:t>
      </w:r>
    </w:p>
    <w:p w14:paraId="66D01A9C" w14:textId="77777777" w:rsidR="005D18EA" w:rsidRDefault="00863F49" w:rsidP="00FA0A30">
      <w:pPr>
        <w:pStyle w:val="NormalWeb"/>
        <w:numPr>
          <w:ilvl w:val="0"/>
          <w:numId w:val="20"/>
        </w:numPr>
        <w:spacing w:line="360" w:lineRule="auto"/>
        <w:rPr>
          <w:rStyle w:val="Strong"/>
          <w:b w:val="0"/>
        </w:rPr>
      </w:pPr>
      <w:r w:rsidRPr="006B11B6">
        <w:rPr>
          <w:rStyle w:val="Strong"/>
          <w:b w:val="0"/>
        </w:rPr>
        <w:t>Gross Profit</w:t>
      </w:r>
      <w:r w:rsidR="004F5A8C" w:rsidRPr="006B11B6">
        <w:rPr>
          <w:rStyle w:val="Strong"/>
          <w:b w:val="0"/>
        </w:rPr>
        <w:t>:</w:t>
      </w:r>
      <w:r w:rsidRPr="005D18EA">
        <w:rPr>
          <w:rStyle w:val="Strong"/>
          <w:b w:val="0"/>
        </w:rPr>
        <w:t xml:space="preserve"> The profit left after subtracting COGS from total revenue.</w:t>
      </w:r>
      <w:r w:rsidR="004F5A8C" w:rsidRPr="005D18EA">
        <w:rPr>
          <w:rStyle w:val="Strong"/>
          <w:b w:val="0"/>
        </w:rPr>
        <w:t xml:space="preserve">     </w:t>
      </w:r>
    </w:p>
    <w:p w14:paraId="40D3291E" w14:textId="7DFEAB9E" w:rsidR="00863F49" w:rsidRPr="005D18EA" w:rsidRDefault="00863F49" w:rsidP="005D18EA">
      <w:pPr>
        <w:pStyle w:val="NormalWeb"/>
        <w:spacing w:line="360" w:lineRule="auto"/>
        <w:ind w:left="720"/>
        <w:rPr>
          <w:rStyle w:val="Strong"/>
          <w:b w:val="0"/>
        </w:rPr>
      </w:pPr>
      <w:r w:rsidRPr="005D18EA">
        <w:rPr>
          <w:rStyle w:val="Strong"/>
          <w:b w:val="0"/>
        </w:rPr>
        <w:t>Gross Profit = Total Revenue - COGS</w:t>
      </w:r>
    </w:p>
    <w:p w14:paraId="7FDD3EB5" w14:textId="6CFE7AD6" w:rsidR="00863F49" w:rsidRPr="005D18EA" w:rsidRDefault="00863F49" w:rsidP="00FA0A30">
      <w:pPr>
        <w:pStyle w:val="NormalWeb"/>
        <w:numPr>
          <w:ilvl w:val="0"/>
          <w:numId w:val="20"/>
        </w:numPr>
        <w:spacing w:line="360" w:lineRule="auto"/>
        <w:rPr>
          <w:rStyle w:val="Strong"/>
          <w:b w:val="0"/>
        </w:rPr>
      </w:pPr>
      <w:r w:rsidRPr="006B11B6">
        <w:rPr>
          <w:rStyle w:val="Strong"/>
          <w:b w:val="0"/>
        </w:rPr>
        <w:lastRenderedPageBreak/>
        <w:t>Administrative Expenses</w:t>
      </w:r>
      <w:r w:rsidR="004F5A8C" w:rsidRPr="006B11B6">
        <w:rPr>
          <w:rStyle w:val="Strong"/>
          <w:b w:val="0"/>
        </w:rPr>
        <w:t>:</w:t>
      </w:r>
      <w:r w:rsidRPr="005D18EA">
        <w:rPr>
          <w:rStyle w:val="Strong"/>
          <w:b w:val="0"/>
        </w:rPr>
        <w:t xml:space="preserve"> General business expenses like salaries, office rent, and utilities, not directly related to production.</w:t>
      </w:r>
    </w:p>
    <w:p w14:paraId="5A7E5EB4" w14:textId="496ECB32" w:rsidR="00863F49" w:rsidRPr="005C4A39" w:rsidRDefault="00863F49" w:rsidP="00FA0A30">
      <w:pPr>
        <w:pStyle w:val="NormalWeb"/>
        <w:numPr>
          <w:ilvl w:val="0"/>
          <w:numId w:val="20"/>
        </w:numPr>
        <w:spacing w:line="360" w:lineRule="auto"/>
        <w:rPr>
          <w:rStyle w:val="Strong"/>
          <w:b w:val="0"/>
        </w:rPr>
      </w:pPr>
      <w:r w:rsidRPr="006B11B6">
        <w:rPr>
          <w:rStyle w:val="Strong"/>
          <w:b w:val="0"/>
        </w:rPr>
        <w:t>Selling &amp; Distributive Expenses</w:t>
      </w:r>
      <w:r w:rsidR="004F5A8C" w:rsidRPr="006B11B6">
        <w:rPr>
          <w:rStyle w:val="Strong"/>
          <w:b w:val="0"/>
        </w:rPr>
        <w:t>:</w:t>
      </w:r>
      <w:r w:rsidRPr="005C4A39">
        <w:rPr>
          <w:rStyle w:val="Strong"/>
          <w:b w:val="0"/>
        </w:rPr>
        <w:t xml:space="preserve"> Expenses related to marketing, sales, commissions, and logistics.</w:t>
      </w:r>
    </w:p>
    <w:p w14:paraId="704771EE" w14:textId="77777777" w:rsidR="006B11B6" w:rsidRDefault="00863F49" w:rsidP="006B11B6">
      <w:pPr>
        <w:pStyle w:val="NormalWeb"/>
        <w:numPr>
          <w:ilvl w:val="0"/>
          <w:numId w:val="20"/>
        </w:numPr>
        <w:spacing w:line="360" w:lineRule="auto"/>
        <w:rPr>
          <w:rStyle w:val="Strong"/>
          <w:b w:val="0"/>
        </w:rPr>
      </w:pPr>
      <w:r w:rsidRPr="006B11B6">
        <w:rPr>
          <w:rStyle w:val="Strong"/>
          <w:b w:val="0"/>
        </w:rPr>
        <w:t>EBT (Earnings Before Tax)</w:t>
      </w:r>
      <w:r w:rsidR="004F5A8C" w:rsidRPr="006B11B6">
        <w:rPr>
          <w:rStyle w:val="Strong"/>
          <w:b w:val="0"/>
        </w:rPr>
        <w:t>:</w:t>
      </w:r>
      <w:r w:rsidRPr="005C4A39">
        <w:rPr>
          <w:rStyle w:val="Strong"/>
          <w:b w:val="0"/>
        </w:rPr>
        <w:t xml:space="preserve"> Company profit after deducting interest expenses but before tax payments.</w:t>
      </w:r>
      <w:r w:rsidR="004F5A8C" w:rsidRPr="005C4A39">
        <w:rPr>
          <w:rStyle w:val="Strong"/>
          <w:b w:val="0"/>
        </w:rPr>
        <w:t xml:space="preserve"> </w:t>
      </w:r>
    </w:p>
    <w:p w14:paraId="4025CBBA" w14:textId="18D9A2CE" w:rsidR="004F5A8C" w:rsidRPr="006B11B6" w:rsidRDefault="004F5A8C" w:rsidP="006B11B6">
      <w:pPr>
        <w:pStyle w:val="NormalWeb"/>
        <w:spacing w:line="360" w:lineRule="auto"/>
        <w:ind w:left="720"/>
        <w:rPr>
          <w:rStyle w:val="Strong"/>
          <w:b w:val="0"/>
        </w:rPr>
      </w:pPr>
      <w:r w:rsidRPr="006B11B6">
        <w:rPr>
          <w:rStyle w:val="Strong"/>
          <w:b w:val="0"/>
        </w:rPr>
        <w:t>EBT = EBIT - Interest Expense</w:t>
      </w:r>
    </w:p>
    <w:p w14:paraId="5A04E105" w14:textId="77777777" w:rsidR="005C4A39" w:rsidRPr="005C4A39" w:rsidRDefault="004F5A8C" w:rsidP="00FA0A30">
      <w:pPr>
        <w:pStyle w:val="NormalWeb"/>
        <w:numPr>
          <w:ilvl w:val="0"/>
          <w:numId w:val="20"/>
        </w:numPr>
        <w:spacing w:line="360" w:lineRule="auto"/>
        <w:rPr>
          <w:rStyle w:val="Strong"/>
          <w:b w:val="0"/>
        </w:rPr>
      </w:pPr>
      <w:r w:rsidRPr="006B11B6">
        <w:rPr>
          <w:rStyle w:val="Strong"/>
          <w:b w:val="0"/>
        </w:rPr>
        <w:t>EBIT</w:t>
      </w:r>
      <w:r w:rsidRPr="005C4A39">
        <w:rPr>
          <w:rStyle w:val="Strong"/>
          <w:b w:val="0"/>
        </w:rPr>
        <w:t xml:space="preserve"> (Earnings Before Interest and Taxes):</w:t>
      </w:r>
      <w:r w:rsidR="00684C29" w:rsidRPr="005C4A39">
        <w:rPr>
          <w:rStyle w:val="Strong"/>
          <w:b w:val="0"/>
        </w:rPr>
        <w:t xml:space="preserve"> </w:t>
      </w:r>
      <w:r w:rsidRPr="005C4A39">
        <w:rPr>
          <w:rStyle w:val="Strong"/>
          <w:b w:val="0"/>
        </w:rPr>
        <w:t xml:space="preserve">Also known as Operating Profit, EBIT accounts for all operating costs except interest and taxes. </w:t>
      </w:r>
      <w:r w:rsidR="00684C29" w:rsidRPr="005C4A39">
        <w:rPr>
          <w:rStyle w:val="Strong"/>
          <w:b w:val="0"/>
        </w:rPr>
        <w:t xml:space="preserve">       </w:t>
      </w:r>
    </w:p>
    <w:p w14:paraId="3D040CDD" w14:textId="435D67AD" w:rsidR="00863F49" w:rsidRPr="005C4A39" w:rsidRDefault="004F5A8C" w:rsidP="005C4A39">
      <w:pPr>
        <w:pStyle w:val="NormalWeb"/>
        <w:spacing w:line="360" w:lineRule="auto"/>
        <w:ind w:left="720"/>
        <w:rPr>
          <w:rStyle w:val="Strong"/>
          <w:b w:val="0"/>
        </w:rPr>
      </w:pPr>
      <w:r w:rsidRPr="005C4A39">
        <w:rPr>
          <w:rStyle w:val="Strong"/>
          <w:b w:val="0"/>
        </w:rPr>
        <w:t>EBIT = EBITDA - Depreciation and Amortization</w:t>
      </w:r>
    </w:p>
    <w:p w14:paraId="42774A9C" w14:textId="526D6528" w:rsidR="004F5A8C" w:rsidRPr="005C4A39" w:rsidRDefault="004F5A8C" w:rsidP="005C4A39">
      <w:pPr>
        <w:pStyle w:val="NormalWeb"/>
        <w:numPr>
          <w:ilvl w:val="0"/>
          <w:numId w:val="20"/>
        </w:numPr>
        <w:spacing w:line="360" w:lineRule="auto"/>
        <w:rPr>
          <w:rStyle w:val="Strong"/>
          <w:b w:val="0"/>
        </w:rPr>
      </w:pPr>
      <w:r w:rsidRPr="006B11B6">
        <w:rPr>
          <w:rStyle w:val="Strong"/>
          <w:b w:val="0"/>
        </w:rPr>
        <w:t>EBITDA</w:t>
      </w:r>
      <w:r w:rsidRPr="005C4A39">
        <w:rPr>
          <w:rStyle w:val="Strong"/>
          <w:b w:val="0"/>
        </w:rPr>
        <w:t xml:space="preserve"> (Earnings Before Interest, Taxes, Depreciation, and Amortization):</w:t>
      </w:r>
      <w:r w:rsidR="003363D4" w:rsidRPr="005C4A39">
        <w:rPr>
          <w:rStyle w:val="Strong"/>
          <w:b w:val="0"/>
        </w:rPr>
        <w:t xml:space="preserve"> </w:t>
      </w:r>
      <w:r w:rsidRPr="005C4A39">
        <w:rPr>
          <w:rStyle w:val="Strong"/>
          <w:b w:val="0"/>
        </w:rPr>
        <w:t xml:space="preserve">A measure of operational profitability before deducting financial and non-cash expenses.                                                                                   </w:t>
      </w:r>
      <w:r w:rsidR="003363D4" w:rsidRPr="005C4A39">
        <w:rPr>
          <w:rStyle w:val="Strong"/>
          <w:b w:val="0"/>
        </w:rPr>
        <w:t xml:space="preserve">   </w:t>
      </w:r>
      <w:r w:rsidRPr="005C4A39">
        <w:rPr>
          <w:rStyle w:val="Strong"/>
          <w:b w:val="0"/>
        </w:rPr>
        <w:t>EBITDA = Gross Profit - (Administrative Expenses + Selling &amp; Other Expenses)</w:t>
      </w:r>
    </w:p>
    <w:p w14:paraId="54B21CE7" w14:textId="77777777" w:rsidR="005A3FE2" w:rsidRPr="005D18EA" w:rsidRDefault="005A3FE2" w:rsidP="00863F49">
      <w:pPr>
        <w:rPr>
          <w:bCs/>
          <w:sz w:val="24"/>
          <w:szCs w:val="24"/>
        </w:rPr>
      </w:pPr>
    </w:p>
    <w:p w14:paraId="5D47FB3E" w14:textId="2E48D181" w:rsidR="00F85A10" w:rsidRPr="005D18EA" w:rsidRDefault="00F85A10" w:rsidP="00A30B56">
      <w:pPr>
        <w:pStyle w:val="Heading4"/>
        <w:numPr>
          <w:ilvl w:val="1"/>
          <w:numId w:val="50"/>
        </w:numPr>
        <w:rPr>
          <w:rStyle w:val="Strong"/>
          <w:rFonts w:ascii="Times New Roman" w:eastAsia="Times New Roman" w:hAnsi="Times New Roman" w:cs="Times New Roman"/>
          <w:bCs w:val="0"/>
          <w:i w:val="0"/>
          <w:iCs w:val="0"/>
          <w:color w:val="auto"/>
          <w:sz w:val="24"/>
          <w:szCs w:val="24"/>
        </w:rPr>
      </w:pPr>
      <w:r w:rsidRPr="005D18EA">
        <w:rPr>
          <w:rStyle w:val="Strong"/>
          <w:rFonts w:ascii="Times New Roman" w:eastAsia="Times New Roman" w:hAnsi="Times New Roman" w:cs="Times New Roman"/>
          <w:bCs w:val="0"/>
          <w:i w:val="0"/>
          <w:iCs w:val="0"/>
          <w:color w:val="auto"/>
          <w:sz w:val="24"/>
          <w:szCs w:val="24"/>
        </w:rPr>
        <w:t>Balance Sheet</w:t>
      </w:r>
    </w:p>
    <w:p w14:paraId="680C0C71" w14:textId="58817322" w:rsidR="005D18EA" w:rsidRDefault="006B11B6" w:rsidP="009E47A5">
      <w:pPr>
        <w:pStyle w:val="NormalWeb"/>
        <w:spacing w:line="360" w:lineRule="auto"/>
        <w:ind w:firstLine="360"/>
        <w:rPr>
          <w:rStyle w:val="Strong"/>
          <w:b w:val="0"/>
          <w:bCs w:val="0"/>
        </w:rPr>
      </w:pPr>
      <w:r>
        <w:t xml:space="preserve">The balance sheet provides a snapshot of a company's financial position at a specific point in time. It is structured around the fundamental equation: Assets = Liabilities + Shareholders’ Equity. Assets include everything the company owns, such as cash, inventory, equipment, and receivables. Liabilities cover obligations like loans, accounts payable, and accrued expenses. The difference between assets and liabilities is the shareholders’ equity, representing the owners’ residual interest. A strong balance sheet indicates good financial health and solvency. It is crucial for evaluating liquidity, leverage, and long-term stability. </w:t>
      </w:r>
      <w:r w:rsidR="00105609" w:rsidRPr="005D18EA">
        <w:rPr>
          <w:rStyle w:val="Strong"/>
          <w:b w:val="0"/>
          <w:bCs w:val="0"/>
        </w:rPr>
        <w:t>It is structured around the accounting equation:</w:t>
      </w:r>
    </w:p>
    <w:p w14:paraId="587C0753" w14:textId="77777777" w:rsidR="00345C76" w:rsidRDefault="00105609" w:rsidP="00FA0A30">
      <w:pPr>
        <w:pStyle w:val="NormalWeb"/>
        <w:spacing w:line="360" w:lineRule="auto"/>
        <w:rPr>
          <w:rStyle w:val="Strong"/>
          <w:b w:val="0"/>
          <w:bCs w:val="0"/>
          <w:sz w:val="28"/>
          <w:szCs w:val="28"/>
        </w:rPr>
      </w:pPr>
      <w:r w:rsidRPr="005D18EA">
        <w:rPr>
          <w:rStyle w:val="Strong"/>
          <w:b w:val="0"/>
          <w:bCs w:val="0"/>
        </w:rPr>
        <w:t xml:space="preserve">Assets = Liabilities + Shareholders’ Equity. </w:t>
      </w:r>
      <w:r>
        <w:rPr>
          <w:rStyle w:val="Strong"/>
          <w:b w:val="0"/>
          <w:bCs w:val="0"/>
          <w:sz w:val="28"/>
          <w:szCs w:val="28"/>
        </w:rPr>
        <w:t xml:space="preserve"> </w:t>
      </w:r>
    </w:p>
    <w:p w14:paraId="0427872A" w14:textId="4BDF819B" w:rsidR="001F5F9F" w:rsidRPr="005D18EA" w:rsidRDefault="00105609" w:rsidP="00FA0A30">
      <w:pPr>
        <w:pStyle w:val="NormalWeb"/>
        <w:spacing w:line="360" w:lineRule="auto"/>
      </w:pPr>
      <w:r>
        <w:rPr>
          <w:rStyle w:val="Strong"/>
          <w:b w:val="0"/>
          <w:bCs w:val="0"/>
          <w:sz w:val="28"/>
          <w:szCs w:val="28"/>
        </w:rPr>
        <w:t xml:space="preserve">                                                    </w:t>
      </w:r>
    </w:p>
    <w:p w14:paraId="6CFBA887" w14:textId="45B7A629" w:rsidR="001F5F9F" w:rsidRDefault="001F5F9F" w:rsidP="00F85A10">
      <w:pPr>
        <w:pStyle w:val="NormalWeb"/>
        <w:rPr>
          <w:bCs/>
          <w:sz w:val="28"/>
          <w:szCs w:val="28"/>
        </w:rPr>
      </w:pPr>
      <w:r>
        <w:rPr>
          <w:bCs/>
          <w:noProof/>
          <w:sz w:val="28"/>
          <w:szCs w:val="28"/>
        </w:rPr>
        <w:lastRenderedPageBreak/>
        <w:drawing>
          <wp:inline distT="0" distB="0" distL="0" distR="0" wp14:anchorId="27D50214" wp14:editId="66209441">
            <wp:extent cx="5486400" cy="42338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5500217" cy="4244519"/>
                    </a:xfrm>
                    <a:prstGeom prst="rect">
                      <a:avLst/>
                    </a:prstGeom>
                  </pic:spPr>
                </pic:pic>
              </a:graphicData>
            </a:graphic>
          </wp:inline>
        </w:drawing>
      </w:r>
    </w:p>
    <w:p w14:paraId="316E58CC" w14:textId="77777777" w:rsidR="001F5F9F" w:rsidRPr="003363D4" w:rsidRDefault="001F5F9F" w:rsidP="00F85A10">
      <w:pPr>
        <w:pStyle w:val="NormalWeb"/>
        <w:rPr>
          <w:bCs/>
          <w:sz w:val="28"/>
          <w:szCs w:val="28"/>
        </w:rPr>
      </w:pPr>
    </w:p>
    <w:p w14:paraId="0FB52A54" w14:textId="77777777" w:rsidR="00AF7EDF" w:rsidRPr="005C4A39" w:rsidRDefault="00F85A10" w:rsidP="00FA0A30">
      <w:pPr>
        <w:pStyle w:val="NormalWeb"/>
        <w:numPr>
          <w:ilvl w:val="0"/>
          <w:numId w:val="20"/>
        </w:numPr>
        <w:spacing w:line="360" w:lineRule="auto"/>
        <w:rPr>
          <w:bCs/>
        </w:rPr>
      </w:pPr>
      <w:r w:rsidRPr="006B11B6">
        <w:rPr>
          <w:rStyle w:val="Strong"/>
          <w:b w:val="0"/>
        </w:rPr>
        <w:t>Assets</w:t>
      </w:r>
      <w:r w:rsidRPr="006B11B6">
        <w:rPr>
          <w:b/>
        </w:rPr>
        <w:t>:</w:t>
      </w:r>
      <w:r w:rsidRPr="005C4A39">
        <w:rPr>
          <w:bCs/>
        </w:rPr>
        <w:t xml:space="preserve"> Resources owned by the company that provide economic benefits, categorized as </w:t>
      </w:r>
      <w:r w:rsidRPr="005C4A39">
        <w:rPr>
          <w:rStyle w:val="Strong"/>
          <w:b w:val="0"/>
        </w:rPr>
        <w:t>current assets</w:t>
      </w:r>
      <w:r w:rsidRPr="005C4A39">
        <w:rPr>
          <w:bCs/>
        </w:rPr>
        <w:t xml:space="preserve"> (cash, accounts receivable, inventory) and </w:t>
      </w:r>
      <w:r w:rsidRPr="005C4A39">
        <w:rPr>
          <w:rStyle w:val="Strong"/>
          <w:b w:val="0"/>
        </w:rPr>
        <w:t>non-current assets</w:t>
      </w:r>
      <w:r w:rsidRPr="005C4A39">
        <w:rPr>
          <w:bCs/>
        </w:rPr>
        <w:t xml:space="preserve"> (property, equipment, intangible assets).</w:t>
      </w:r>
    </w:p>
    <w:p w14:paraId="0EA1C332" w14:textId="330D6032" w:rsidR="00AF7EDF" w:rsidRPr="005C4A39" w:rsidRDefault="00AF7EDF" w:rsidP="00FA0A30">
      <w:pPr>
        <w:pStyle w:val="NormalWeb"/>
        <w:numPr>
          <w:ilvl w:val="0"/>
          <w:numId w:val="20"/>
        </w:numPr>
        <w:spacing w:line="360" w:lineRule="auto"/>
        <w:rPr>
          <w:bCs/>
        </w:rPr>
      </w:pPr>
      <w:r w:rsidRPr="006B11B6">
        <w:rPr>
          <w:rStyle w:val="Strong"/>
          <w:b w:val="0"/>
        </w:rPr>
        <w:t>Current Assets</w:t>
      </w:r>
      <w:r w:rsidR="00684C29" w:rsidRPr="006B11B6">
        <w:rPr>
          <w:rStyle w:val="Strong"/>
          <w:b w:val="0"/>
        </w:rPr>
        <w:t>:</w:t>
      </w:r>
      <w:r w:rsidRPr="005C4A39">
        <w:rPr>
          <w:rStyle w:val="Strong"/>
          <w:b w:val="0"/>
        </w:rPr>
        <w:t xml:space="preserve"> </w:t>
      </w:r>
      <w:r w:rsidR="00684C29" w:rsidRPr="005C4A39">
        <w:rPr>
          <w:bCs/>
        </w:rPr>
        <w:t>S</w:t>
      </w:r>
      <w:r w:rsidRPr="005C4A39">
        <w:rPr>
          <w:bCs/>
        </w:rPr>
        <w:t>hort-term assets that can be converted into cash within a year. These include cash, accounts receivable, inventory, and marketable securities. They are essential for a company’s day-to-day operations and indicate liquidity. A higher level of current assets ensures a business can meet its short-term obligations and manage unexpected expenses</w:t>
      </w:r>
    </w:p>
    <w:p w14:paraId="691F70DC" w14:textId="379C7CAC" w:rsidR="00AF7EDF" w:rsidRPr="005C4A39" w:rsidRDefault="00AF7EDF" w:rsidP="00FA0A30">
      <w:pPr>
        <w:pStyle w:val="NormalWeb"/>
        <w:numPr>
          <w:ilvl w:val="0"/>
          <w:numId w:val="20"/>
        </w:numPr>
        <w:spacing w:line="360" w:lineRule="auto"/>
        <w:rPr>
          <w:bCs/>
        </w:rPr>
      </w:pPr>
      <w:r w:rsidRPr="006B11B6">
        <w:rPr>
          <w:rStyle w:val="Strong"/>
          <w:b w:val="0"/>
        </w:rPr>
        <w:t>Quick Assets</w:t>
      </w:r>
      <w:r w:rsidR="00863F49" w:rsidRPr="006B11B6">
        <w:rPr>
          <w:rStyle w:val="Strong"/>
          <w:b w:val="0"/>
        </w:rPr>
        <w:t>:</w:t>
      </w:r>
      <w:r w:rsidRPr="005C4A39">
        <w:rPr>
          <w:bCs/>
        </w:rPr>
        <w:t xml:space="preserve"> </w:t>
      </w:r>
      <w:r w:rsidR="00863F49" w:rsidRPr="005C4A39">
        <w:rPr>
          <w:bCs/>
        </w:rPr>
        <w:t>S</w:t>
      </w:r>
      <w:r w:rsidRPr="005C4A39">
        <w:rPr>
          <w:bCs/>
        </w:rPr>
        <w:t xml:space="preserve">ubset of current assets that can be quickly converted into cash, usually within 90 days. They include cash, marketable securities, and accounts receivable but exclude inventory. The </w:t>
      </w:r>
      <w:r w:rsidRPr="005C4A39">
        <w:rPr>
          <w:rStyle w:val="Strong"/>
          <w:b w:val="0"/>
        </w:rPr>
        <w:t>quick ratio</w:t>
      </w:r>
      <w:r w:rsidRPr="005C4A39">
        <w:rPr>
          <w:bCs/>
        </w:rPr>
        <w:t xml:space="preserve"> (quick assets ÷ current liabilities) measures a company's ability to pay off short-term debts without relying on inventory sales. This is crucial for financial stability.</w:t>
      </w:r>
    </w:p>
    <w:p w14:paraId="5C8E3A26" w14:textId="77777777" w:rsidR="00F85A10" w:rsidRPr="005C4A39" w:rsidRDefault="00F85A10" w:rsidP="00FA0A30">
      <w:pPr>
        <w:pStyle w:val="NormalWeb"/>
        <w:numPr>
          <w:ilvl w:val="0"/>
          <w:numId w:val="20"/>
        </w:numPr>
        <w:spacing w:line="360" w:lineRule="auto"/>
        <w:rPr>
          <w:bCs/>
        </w:rPr>
      </w:pPr>
      <w:r w:rsidRPr="006B11B6">
        <w:rPr>
          <w:rStyle w:val="Strong"/>
          <w:b w:val="0"/>
        </w:rPr>
        <w:lastRenderedPageBreak/>
        <w:t>Liabilities</w:t>
      </w:r>
      <w:r w:rsidRPr="006B11B6">
        <w:rPr>
          <w:b/>
        </w:rPr>
        <w:t>:</w:t>
      </w:r>
      <w:r w:rsidRPr="005C4A39">
        <w:rPr>
          <w:bCs/>
        </w:rPr>
        <w:t xml:space="preserve"> Obligations the company must pay, divided into </w:t>
      </w:r>
      <w:r w:rsidRPr="005C4A39">
        <w:rPr>
          <w:rStyle w:val="Strong"/>
          <w:b w:val="0"/>
        </w:rPr>
        <w:t>current liabilities</w:t>
      </w:r>
      <w:r w:rsidRPr="005C4A39">
        <w:rPr>
          <w:bCs/>
        </w:rPr>
        <w:t xml:space="preserve"> (short-term debt, accounts payable) and </w:t>
      </w:r>
      <w:r w:rsidRPr="005C4A39">
        <w:rPr>
          <w:rStyle w:val="Strong"/>
          <w:b w:val="0"/>
        </w:rPr>
        <w:t>long-term liabilities</w:t>
      </w:r>
      <w:r w:rsidRPr="005C4A39">
        <w:rPr>
          <w:bCs/>
        </w:rPr>
        <w:t xml:space="preserve"> (bonds payable, deferred taxes).</w:t>
      </w:r>
    </w:p>
    <w:p w14:paraId="66F5C5B7" w14:textId="6380A1B6" w:rsidR="00345C76" w:rsidRDefault="00F85A10" w:rsidP="009961F7">
      <w:pPr>
        <w:pStyle w:val="NormalWeb"/>
        <w:numPr>
          <w:ilvl w:val="0"/>
          <w:numId w:val="20"/>
        </w:numPr>
        <w:spacing w:line="360" w:lineRule="auto"/>
        <w:rPr>
          <w:bCs/>
        </w:rPr>
      </w:pPr>
      <w:r w:rsidRPr="006B11B6">
        <w:rPr>
          <w:rStyle w:val="Strong"/>
          <w:b w:val="0"/>
        </w:rPr>
        <w:t>Shareholders’</w:t>
      </w:r>
      <w:r w:rsidR="003363D4" w:rsidRPr="006B11B6">
        <w:rPr>
          <w:rStyle w:val="Strong"/>
          <w:b w:val="0"/>
        </w:rPr>
        <w:t xml:space="preserve"> </w:t>
      </w:r>
      <w:r w:rsidRPr="006B11B6">
        <w:rPr>
          <w:rStyle w:val="Strong"/>
          <w:b w:val="0"/>
        </w:rPr>
        <w:t>Equity</w:t>
      </w:r>
      <w:r w:rsidRPr="006B11B6">
        <w:rPr>
          <w:b/>
        </w:rPr>
        <w:t>:</w:t>
      </w:r>
      <w:r w:rsidRPr="005C4A39">
        <w:rPr>
          <w:bCs/>
        </w:rPr>
        <w:t xml:space="preserve"> Represents the owners claim on assets after liabilities are settled, including </w:t>
      </w:r>
      <w:r w:rsidRPr="005C4A39">
        <w:rPr>
          <w:rStyle w:val="Strong"/>
          <w:b w:val="0"/>
        </w:rPr>
        <w:t>retained earnings and common stock</w:t>
      </w:r>
      <w:r w:rsidRPr="005C4A39">
        <w:rPr>
          <w:bCs/>
        </w:rPr>
        <w:t>. A strong equity position indicates financial stability and growth potential.</w:t>
      </w:r>
    </w:p>
    <w:p w14:paraId="58C8A3C6" w14:textId="77777777" w:rsidR="009961F7" w:rsidRPr="009961F7" w:rsidRDefault="009961F7" w:rsidP="009961F7">
      <w:pPr>
        <w:pStyle w:val="NormalWeb"/>
        <w:spacing w:line="360" w:lineRule="auto"/>
        <w:ind w:left="720"/>
        <w:rPr>
          <w:bCs/>
        </w:rPr>
      </w:pPr>
    </w:p>
    <w:p w14:paraId="75AED3DD" w14:textId="1B4E52F1" w:rsidR="00F85A10" w:rsidRPr="005C4A39" w:rsidRDefault="00F85A10" w:rsidP="00A30B56">
      <w:pPr>
        <w:pStyle w:val="Heading4"/>
        <w:numPr>
          <w:ilvl w:val="1"/>
          <w:numId w:val="50"/>
        </w:numPr>
        <w:rPr>
          <w:rStyle w:val="Strong"/>
          <w:rFonts w:ascii="Times New Roman" w:eastAsia="Times New Roman" w:hAnsi="Times New Roman" w:cs="Times New Roman"/>
          <w:bCs w:val="0"/>
          <w:i w:val="0"/>
          <w:iCs w:val="0"/>
          <w:color w:val="auto"/>
          <w:sz w:val="24"/>
          <w:szCs w:val="24"/>
        </w:rPr>
      </w:pPr>
      <w:r w:rsidRPr="005C4A39">
        <w:rPr>
          <w:rStyle w:val="Strong"/>
          <w:rFonts w:ascii="Times New Roman" w:eastAsia="Times New Roman" w:hAnsi="Times New Roman" w:cs="Times New Roman"/>
          <w:bCs w:val="0"/>
          <w:i w:val="0"/>
          <w:iCs w:val="0"/>
          <w:color w:val="auto"/>
          <w:sz w:val="24"/>
          <w:szCs w:val="24"/>
        </w:rPr>
        <w:t>Cash Flow Statement</w:t>
      </w:r>
    </w:p>
    <w:p w14:paraId="6977F6C5" w14:textId="5ACAB313" w:rsidR="001F5F9F" w:rsidRDefault="006B11B6" w:rsidP="009E47A5">
      <w:pPr>
        <w:pStyle w:val="NormalWeb"/>
        <w:ind w:firstLine="360"/>
      </w:pPr>
      <w:r>
        <w:t>The cash flow statement tracks the inflow and outflow of cash in a business across three main activities: operating, investing, and financing. Operating activities reflect cash generated or used in the core business, like receipts from customers or payments to suppliers</w:t>
      </w:r>
      <w:r w:rsidR="00345C76">
        <w:t xml:space="preserve">. </w:t>
      </w:r>
      <w:r>
        <w:t>This statement helps assess a company’s liquidity and ability to generate cash, ensuring it can meet short-term obligations and invest in future growth.</w:t>
      </w:r>
    </w:p>
    <w:p w14:paraId="7A9C4639" w14:textId="1CB9E709" w:rsidR="001F5F9F" w:rsidRDefault="00345C76" w:rsidP="00F85A10">
      <w:pPr>
        <w:pStyle w:val="NormalWeb"/>
        <w:rPr>
          <w:bCs/>
          <w:sz w:val="28"/>
          <w:szCs w:val="28"/>
        </w:rPr>
      </w:pPr>
      <w:r>
        <w:rPr>
          <w:bCs/>
          <w:noProof/>
          <w:sz w:val="28"/>
          <w:szCs w:val="28"/>
        </w:rPr>
        <w:drawing>
          <wp:inline distT="0" distB="0" distL="0" distR="0" wp14:anchorId="57943631" wp14:editId="6BEFD688">
            <wp:extent cx="5661660" cy="39833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5672579" cy="3991037"/>
                    </a:xfrm>
                    <a:prstGeom prst="rect">
                      <a:avLst/>
                    </a:prstGeom>
                  </pic:spPr>
                </pic:pic>
              </a:graphicData>
            </a:graphic>
          </wp:inline>
        </w:drawing>
      </w:r>
    </w:p>
    <w:p w14:paraId="22E11891" w14:textId="77777777" w:rsidR="00913006" w:rsidRPr="006B11B6" w:rsidRDefault="00913006" w:rsidP="00F85A10">
      <w:pPr>
        <w:pStyle w:val="NormalWeb"/>
        <w:rPr>
          <w:bCs/>
          <w:sz w:val="28"/>
          <w:szCs w:val="28"/>
        </w:rPr>
      </w:pPr>
    </w:p>
    <w:p w14:paraId="35D29B71" w14:textId="77777777" w:rsidR="00F85A10" w:rsidRPr="005C4A39" w:rsidRDefault="00F85A10" w:rsidP="00FA0A30">
      <w:pPr>
        <w:pStyle w:val="NormalWeb"/>
        <w:numPr>
          <w:ilvl w:val="0"/>
          <w:numId w:val="22"/>
        </w:numPr>
        <w:spacing w:line="360" w:lineRule="auto"/>
        <w:rPr>
          <w:bCs/>
        </w:rPr>
      </w:pPr>
      <w:r w:rsidRPr="006B11B6">
        <w:rPr>
          <w:rStyle w:val="Strong"/>
          <w:b w:val="0"/>
        </w:rPr>
        <w:lastRenderedPageBreak/>
        <w:t>Operating Cash Flow (OCF)</w:t>
      </w:r>
      <w:r w:rsidRPr="006B11B6">
        <w:rPr>
          <w:bCs/>
        </w:rPr>
        <w:t>:</w:t>
      </w:r>
      <w:r w:rsidRPr="005C4A39">
        <w:rPr>
          <w:bCs/>
        </w:rPr>
        <w:t xml:space="preserve"> Cash generated from core business activities. A positive OCF means the company can sustain its operations.</w:t>
      </w:r>
    </w:p>
    <w:p w14:paraId="6D82FD34" w14:textId="77777777" w:rsidR="00AF7EDF" w:rsidRPr="005C4A39" w:rsidRDefault="00AF7EDF" w:rsidP="00FA0A30">
      <w:pPr>
        <w:pStyle w:val="NormalWeb"/>
        <w:numPr>
          <w:ilvl w:val="0"/>
          <w:numId w:val="22"/>
        </w:numPr>
        <w:spacing w:line="360" w:lineRule="auto"/>
        <w:rPr>
          <w:bCs/>
        </w:rPr>
      </w:pPr>
      <w:r w:rsidRPr="006B11B6">
        <w:rPr>
          <w:rStyle w:val="Strong"/>
          <w:b w:val="0"/>
        </w:rPr>
        <w:t>Opening Cash Balance:</w:t>
      </w:r>
      <w:r w:rsidRPr="005C4A39">
        <w:rPr>
          <w:rStyle w:val="Strong"/>
          <w:b w:val="0"/>
        </w:rPr>
        <w:t xml:space="preserve"> </w:t>
      </w:r>
      <w:r w:rsidRPr="005C4A39">
        <w:rPr>
          <w:bCs/>
        </w:rPr>
        <w:t>The opening cash balance is the amount of cash a company had at the start of the financial period. It serves as a starting point for tracking cash movements and is reported in the previous period’s closing cash balance.</w:t>
      </w:r>
    </w:p>
    <w:p w14:paraId="465C7CBA" w14:textId="77777777" w:rsidR="00AF7EDF" w:rsidRPr="005C4A39" w:rsidRDefault="00AF7EDF" w:rsidP="00FA0A30">
      <w:pPr>
        <w:pStyle w:val="NormalWeb"/>
        <w:numPr>
          <w:ilvl w:val="0"/>
          <w:numId w:val="22"/>
        </w:numPr>
        <w:spacing w:line="360" w:lineRule="auto"/>
        <w:rPr>
          <w:rStyle w:val="Strong"/>
          <w:b w:val="0"/>
        </w:rPr>
      </w:pPr>
      <w:r w:rsidRPr="006B11B6">
        <w:rPr>
          <w:rStyle w:val="Strong"/>
          <w:b w:val="0"/>
        </w:rPr>
        <w:t>Closing Cash Balance</w:t>
      </w:r>
      <w:r w:rsidRPr="006B11B6">
        <w:rPr>
          <w:b/>
        </w:rPr>
        <w:t>:</w:t>
      </w:r>
      <w:r w:rsidRPr="005C4A39">
        <w:rPr>
          <w:bCs/>
        </w:rPr>
        <w:t xml:space="preserve"> The closing cash balance is the amount of cash a company holds at the end of a financial period. It is derived by adding the net change in cash to the opening balance. A higher closing cash balance provides financial security and flexibility in business operations.</w:t>
      </w:r>
      <w:r w:rsidRPr="005C4A39">
        <w:rPr>
          <w:rStyle w:val="Strong"/>
          <w:b w:val="0"/>
        </w:rPr>
        <w:t xml:space="preserve"> </w:t>
      </w:r>
    </w:p>
    <w:p w14:paraId="39FA19D7" w14:textId="77777777" w:rsidR="003828B6" w:rsidRDefault="00AF7EDF" w:rsidP="003828B6">
      <w:pPr>
        <w:pStyle w:val="NormalWeb"/>
        <w:numPr>
          <w:ilvl w:val="0"/>
          <w:numId w:val="22"/>
        </w:numPr>
        <w:spacing w:line="360" w:lineRule="auto"/>
        <w:rPr>
          <w:bCs/>
        </w:rPr>
      </w:pPr>
      <w:r w:rsidRPr="006B11B6">
        <w:rPr>
          <w:rStyle w:val="Strong"/>
          <w:b w:val="0"/>
        </w:rPr>
        <w:t>Free Cash Flow to Firm (FCFF):</w:t>
      </w:r>
      <w:r w:rsidRPr="005C4A39">
        <w:rPr>
          <w:rStyle w:val="Strong"/>
          <w:b w:val="0"/>
        </w:rPr>
        <w:t xml:space="preserve"> </w:t>
      </w:r>
      <w:r w:rsidRPr="005C4A39">
        <w:rPr>
          <w:bCs/>
        </w:rPr>
        <w:t xml:space="preserve">FCFF, or </w:t>
      </w:r>
      <w:r w:rsidRPr="005C4A39">
        <w:rPr>
          <w:rStyle w:val="Strong"/>
          <w:b w:val="0"/>
        </w:rPr>
        <w:t>Unlevered Free Cash Flow</w:t>
      </w:r>
      <w:r w:rsidRPr="005C4A39">
        <w:rPr>
          <w:bCs/>
        </w:rPr>
        <w:t xml:space="preserve">, represents the cash available to all investors, including both debt and equity holders, after accounting for operating expenses and capital expenditures. It is calculated as: </w:t>
      </w:r>
      <w:r w:rsidR="002243F2" w:rsidRPr="005C4A39">
        <w:rPr>
          <w:bCs/>
        </w:rPr>
        <w:t xml:space="preserve">                      </w:t>
      </w:r>
      <w:r w:rsidR="003363D4" w:rsidRPr="005C4A39">
        <w:rPr>
          <w:bCs/>
        </w:rPr>
        <w:t xml:space="preserve">                                                                </w:t>
      </w:r>
      <w:r w:rsidRPr="005C4A39">
        <w:rPr>
          <w:rStyle w:val="katex-mathml"/>
          <w:rFonts w:eastAsiaTheme="majorEastAsia"/>
          <w:bCs/>
        </w:rPr>
        <w:t>FCFF=</w:t>
      </w:r>
      <w:r w:rsidR="002243F2" w:rsidRPr="005C4A39">
        <w:rPr>
          <w:rStyle w:val="katex-mathml"/>
          <w:rFonts w:eastAsiaTheme="majorEastAsia"/>
          <w:bCs/>
        </w:rPr>
        <w:t xml:space="preserve"> </w:t>
      </w:r>
      <w:r w:rsidRPr="005C4A39">
        <w:rPr>
          <w:rStyle w:val="katex-mathml"/>
          <w:rFonts w:eastAsiaTheme="majorEastAsia"/>
          <w:bCs/>
        </w:rPr>
        <w:t>Operating Cash Flow</w:t>
      </w:r>
      <w:r w:rsidR="002243F2" w:rsidRPr="005C4A39">
        <w:rPr>
          <w:rStyle w:val="katex-mathml"/>
          <w:rFonts w:eastAsiaTheme="majorEastAsia"/>
          <w:bCs/>
        </w:rPr>
        <w:t xml:space="preserve"> – </w:t>
      </w:r>
      <w:r w:rsidRPr="005C4A39">
        <w:rPr>
          <w:rStyle w:val="katex-mathml"/>
          <w:rFonts w:eastAsiaTheme="majorEastAsia"/>
          <w:bCs/>
        </w:rPr>
        <w:t>Cap</w:t>
      </w:r>
      <w:r w:rsidR="00C32CA5" w:rsidRPr="005C4A39">
        <w:rPr>
          <w:rStyle w:val="katex-mathml"/>
          <w:rFonts w:eastAsiaTheme="majorEastAsia"/>
          <w:bCs/>
        </w:rPr>
        <w:t xml:space="preserve">ital </w:t>
      </w:r>
      <w:r w:rsidRPr="005C4A39">
        <w:rPr>
          <w:rStyle w:val="katex-mathml"/>
          <w:rFonts w:eastAsiaTheme="majorEastAsia"/>
          <w:bCs/>
        </w:rPr>
        <w:t>Ex</w:t>
      </w:r>
      <w:r w:rsidR="00C32CA5" w:rsidRPr="005C4A39">
        <w:rPr>
          <w:rStyle w:val="katex-mathml"/>
          <w:rFonts w:eastAsiaTheme="majorEastAsia"/>
          <w:bCs/>
        </w:rPr>
        <w:t>penditures</w:t>
      </w:r>
      <w:r w:rsidR="002243F2" w:rsidRPr="005C4A39">
        <w:rPr>
          <w:rStyle w:val="katex-mathml"/>
          <w:rFonts w:eastAsiaTheme="majorEastAsia"/>
          <w:bCs/>
        </w:rPr>
        <w:t xml:space="preserve"> </w:t>
      </w:r>
      <w:r w:rsidRPr="005C4A39">
        <w:rPr>
          <w:rStyle w:val="katex-mathml"/>
          <w:rFonts w:eastAsiaTheme="majorEastAsia"/>
          <w:bCs/>
        </w:rPr>
        <w:t>+</w:t>
      </w:r>
      <w:r w:rsidR="002243F2" w:rsidRPr="005C4A39">
        <w:rPr>
          <w:rStyle w:val="katex-mathml"/>
          <w:rFonts w:eastAsiaTheme="majorEastAsia"/>
          <w:bCs/>
        </w:rPr>
        <w:t xml:space="preserve"> </w:t>
      </w:r>
      <w:r w:rsidRPr="005C4A39">
        <w:rPr>
          <w:rStyle w:val="katex-mathml"/>
          <w:rFonts w:eastAsiaTheme="majorEastAsia"/>
          <w:bCs/>
        </w:rPr>
        <w:t>Interest Paid</w:t>
      </w:r>
      <w:r w:rsidR="002243F2" w:rsidRPr="005C4A39">
        <w:rPr>
          <w:rStyle w:val="katex-mathml"/>
          <w:rFonts w:eastAsiaTheme="majorEastAsia"/>
          <w:bCs/>
        </w:rPr>
        <w:t xml:space="preserve"> </w:t>
      </w:r>
      <w:r w:rsidRPr="005C4A39">
        <w:rPr>
          <w:rStyle w:val="katex-mathml"/>
          <w:rFonts w:eastAsiaTheme="majorEastAsia"/>
          <w:bCs/>
        </w:rPr>
        <w:t>×</w:t>
      </w:r>
      <w:r w:rsidR="002243F2" w:rsidRPr="005C4A39">
        <w:rPr>
          <w:rStyle w:val="katex-mathml"/>
          <w:rFonts w:eastAsiaTheme="majorEastAsia"/>
          <w:bCs/>
        </w:rPr>
        <w:t xml:space="preserve"> </w:t>
      </w:r>
      <w:r w:rsidRPr="005C4A39">
        <w:rPr>
          <w:rStyle w:val="katex-mathml"/>
          <w:rFonts w:eastAsiaTheme="majorEastAsia"/>
          <w:bCs/>
        </w:rPr>
        <w:t>(1−Tax Rate</w:t>
      </w:r>
      <w:r w:rsidR="002243F2" w:rsidRPr="005C4A39">
        <w:rPr>
          <w:bCs/>
        </w:rPr>
        <w:t>)</w:t>
      </w:r>
    </w:p>
    <w:p w14:paraId="7E191B0C" w14:textId="37510358" w:rsidR="002243F2" w:rsidRPr="003828B6" w:rsidRDefault="00AF7EDF" w:rsidP="003828B6">
      <w:pPr>
        <w:pStyle w:val="NormalWeb"/>
        <w:spacing w:line="360" w:lineRule="auto"/>
        <w:ind w:left="720"/>
        <w:rPr>
          <w:bCs/>
        </w:rPr>
      </w:pPr>
      <w:r w:rsidRPr="003828B6">
        <w:rPr>
          <w:bCs/>
        </w:rPr>
        <w:t>FCFF is crucial in valuing companies and assessing their ability to generate cash for reinvestment and debt repayment.</w:t>
      </w:r>
    </w:p>
    <w:p w14:paraId="5687746F" w14:textId="77777777" w:rsidR="003828B6" w:rsidRDefault="00AF7EDF" w:rsidP="00FA0A30">
      <w:pPr>
        <w:pStyle w:val="NormalWeb"/>
        <w:numPr>
          <w:ilvl w:val="0"/>
          <w:numId w:val="22"/>
        </w:numPr>
        <w:spacing w:line="360" w:lineRule="auto"/>
        <w:rPr>
          <w:bCs/>
        </w:rPr>
      </w:pPr>
      <w:r w:rsidRPr="003828B6">
        <w:rPr>
          <w:rStyle w:val="Strong"/>
          <w:b w:val="0"/>
        </w:rPr>
        <w:t>Free Cash Flow to Equity (FCFE)</w:t>
      </w:r>
      <w:r w:rsidR="002243F2" w:rsidRPr="003828B6">
        <w:rPr>
          <w:rStyle w:val="Strong"/>
          <w:b w:val="0"/>
        </w:rPr>
        <w:t>:</w:t>
      </w:r>
      <w:r w:rsidR="002243F2" w:rsidRPr="005C4A39">
        <w:rPr>
          <w:bCs/>
        </w:rPr>
        <w:t xml:space="preserve"> </w:t>
      </w:r>
      <w:r w:rsidRPr="005C4A39">
        <w:rPr>
          <w:bCs/>
        </w:rPr>
        <w:t xml:space="preserve">FCFE, or </w:t>
      </w:r>
      <w:r w:rsidRPr="005C4A39">
        <w:rPr>
          <w:rStyle w:val="Strong"/>
          <w:b w:val="0"/>
        </w:rPr>
        <w:t>Levered Free Cash Flow</w:t>
      </w:r>
      <w:r w:rsidRPr="005C4A39">
        <w:rPr>
          <w:bCs/>
        </w:rPr>
        <w:t>, measures the cash available to shareholders after accounting for all expenses, capital expenditures, and debt repayments. It is calculated</w:t>
      </w:r>
      <w:r w:rsidR="002243F2" w:rsidRPr="005C4A39">
        <w:rPr>
          <w:bCs/>
        </w:rPr>
        <w:t xml:space="preserve"> </w:t>
      </w:r>
      <w:r w:rsidRPr="005C4A39">
        <w:rPr>
          <w:bCs/>
        </w:rPr>
        <w:t>as:</w:t>
      </w:r>
      <w:r w:rsidR="002243F2" w:rsidRPr="005C4A39">
        <w:rPr>
          <w:bCs/>
        </w:rPr>
        <w:t xml:space="preserve">                                                                 </w:t>
      </w:r>
    </w:p>
    <w:p w14:paraId="1A48CF25" w14:textId="1286C02F" w:rsidR="002243F2" w:rsidRPr="005C4A39" w:rsidRDefault="00AF7EDF" w:rsidP="003828B6">
      <w:pPr>
        <w:pStyle w:val="NormalWeb"/>
        <w:spacing w:line="360" w:lineRule="auto"/>
        <w:ind w:left="720"/>
        <w:rPr>
          <w:rStyle w:val="katex-mathml"/>
          <w:bCs/>
        </w:rPr>
      </w:pPr>
      <w:r w:rsidRPr="005C4A39">
        <w:rPr>
          <w:rStyle w:val="katex-mathml"/>
          <w:rFonts w:eastAsiaTheme="majorEastAsia"/>
          <w:bCs/>
        </w:rPr>
        <w:t>FCFE=</w:t>
      </w:r>
      <w:r w:rsidR="002243F2" w:rsidRPr="005C4A39">
        <w:rPr>
          <w:rStyle w:val="katex-mathml"/>
          <w:rFonts w:eastAsiaTheme="majorEastAsia"/>
          <w:bCs/>
        </w:rPr>
        <w:t xml:space="preserve"> </w:t>
      </w:r>
      <w:r w:rsidRPr="005C4A39">
        <w:rPr>
          <w:rStyle w:val="katex-mathml"/>
          <w:rFonts w:eastAsiaTheme="majorEastAsia"/>
          <w:bCs/>
        </w:rPr>
        <w:t>FCFF</w:t>
      </w:r>
      <w:r w:rsidR="00C32CA5" w:rsidRPr="005C4A39">
        <w:rPr>
          <w:rStyle w:val="katex-mathml"/>
          <w:rFonts w:eastAsiaTheme="majorEastAsia"/>
          <w:bCs/>
        </w:rPr>
        <w:t xml:space="preserve"> </w:t>
      </w:r>
      <w:r w:rsidRPr="005C4A39">
        <w:rPr>
          <w:rStyle w:val="katex-mathml"/>
          <w:rFonts w:eastAsiaTheme="majorEastAsia"/>
          <w:bCs/>
        </w:rPr>
        <w:t>−</w:t>
      </w:r>
      <w:r w:rsidR="00C32CA5" w:rsidRPr="005C4A39">
        <w:rPr>
          <w:rStyle w:val="katex-mathml"/>
          <w:rFonts w:eastAsiaTheme="majorEastAsia"/>
          <w:bCs/>
        </w:rPr>
        <w:t xml:space="preserve"> </w:t>
      </w:r>
      <w:r w:rsidRPr="005C4A39">
        <w:rPr>
          <w:rStyle w:val="katex-mathml"/>
          <w:rFonts w:eastAsiaTheme="majorEastAsia"/>
          <w:bCs/>
        </w:rPr>
        <w:t>Debt Repayments</w:t>
      </w:r>
      <w:r w:rsidR="002243F2" w:rsidRPr="005C4A39">
        <w:rPr>
          <w:rStyle w:val="katex-mathml"/>
          <w:rFonts w:eastAsiaTheme="majorEastAsia"/>
          <w:bCs/>
        </w:rPr>
        <w:t xml:space="preserve"> </w:t>
      </w:r>
      <w:r w:rsidRPr="005C4A39">
        <w:rPr>
          <w:rStyle w:val="katex-mathml"/>
          <w:rFonts w:eastAsiaTheme="majorEastAsia"/>
          <w:bCs/>
        </w:rPr>
        <w:t>+</w:t>
      </w:r>
      <w:r w:rsidR="002243F2" w:rsidRPr="005C4A39">
        <w:rPr>
          <w:rStyle w:val="katex-mathml"/>
          <w:rFonts w:eastAsiaTheme="majorEastAsia"/>
          <w:bCs/>
        </w:rPr>
        <w:t xml:space="preserve"> </w:t>
      </w:r>
      <w:r w:rsidRPr="005C4A39">
        <w:rPr>
          <w:rStyle w:val="katex-mathml"/>
          <w:rFonts w:eastAsiaTheme="majorEastAsia"/>
          <w:bCs/>
        </w:rPr>
        <w:t>New Debt Issued</w:t>
      </w:r>
    </w:p>
    <w:p w14:paraId="249A0906" w14:textId="77777777" w:rsidR="005A3FE2" w:rsidRPr="005C4A39" w:rsidRDefault="00AF7EDF" w:rsidP="00FA0A30">
      <w:pPr>
        <w:pStyle w:val="NormalWeb"/>
        <w:spacing w:line="360" w:lineRule="auto"/>
        <w:ind w:left="720"/>
        <w:rPr>
          <w:bCs/>
        </w:rPr>
      </w:pPr>
      <w:r w:rsidRPr="005C4A39">
        <w:rPr>
          <w:bCs/>
        </w:rPr>
        <w:t>FCFE helps investors determine how much cash a company can distribute as dividends or reinvest in growth.</w:t>
      </w:r>
    </w:p>
    <w:p w14:paraId="4013B1D6" w14:textId="006455A6" w:rsidR="00FA0A30" w:rsidRPr="00345C76" w:rsidRDefault="001F5F9F" w:rsidP="00345C76">
      <w:pPr>
        <w:pStyle w:val="NormalWeb"/>
        <w:spacing w:line="360" w:lineRule="auto"/>
        <w:ind w:left="720"/>
        <w:rPr>
          <w:bCs/>
        </w:rPr>
      </w:pPr>
      <w:r w:rsidRPr="005C4A39">
        <w:rPr>
          <w:bCs/>
        </w:rPr>
        <w:br/>
      </w:r>
      <w:r w:rsidR="002243F2" w:rsidRPr="005C4A39">
        <w:rPr>
          <w:bCs/>
        </w:rPr>
        <w:t>These financial statements collectively provide a comprehensive view of a company’s financial health, enabling investors to evaluate its liquidity, profitability, and long-term stability</w:t>
      </w:r>
      <w:r w:rsidR="00345C76" w:rsidRPr="00345C76">
        <w:t xml:space="preserve"> </w:t>
      </w:r>
      <w:r w:rsidR="00345C76">
        <w:t>The balance sheet shows short-term solvency, the income statement reflects profit generation, and the cash flow statement tracks cash management. Key metrics like profit margins, debt levels, and EPS guide investment decisions. Strong, consistent financial performance signals long-term viability and lower investment risk.</w:t>
      </w:r>
      <w:r w:rsidR="002243F2" w:rsidRPr="005C4A39">
        <w:rPr>
          <w:bCs/>
        </w:rPr>
        <w:t xml:space="preserve"> </w:t>
      </w:r>
    </w:p>
    <w:p w14:paraId="6613C41A" w14:textId="01B0FBD7" w:rsidR="00DC4188" w:rsidRPr="006B11B6" w:rsidRDefault="00DC4188" w:rsidP="00A30B56">
      <w:pPr>
        <w:pStyle w:val="Heading2"/>
        <w:numPr>
          <w:ilvl w:val="0"/>
          <w:numId w:val="50"/>
        </w:numPr>
        <w:rPr>
          <w:rFonts w:ascii="Times New Roman" w:hAnsi="Times New Roman" w:cs="Times New Roman"/>
          <w:bCs/>
          <w:sz w:val="28"/>
          <w:szCs w:val="28"/>
        </w:rPr>
      </w:pPr>
      <w:r w:rsidRPr="006B11B6">
        <w:rPr>
          <w:rStyle w:val="Strong"/>
          <w:rFonts w:ascii="Times New Roman" w:hAnsi="Times New Roman" w:cs="Times New Roman"/>
          <w:bCs w:val="0"/>
          <w:color w:val="auto"/>
          <w:sz w:val="28"/>
          <w:szCs w:val="28"/>
        </w:rPr>
        <w:lastRenderedPageBreak/>
        <w:t>. Key Financial Ratios and Their Importance</w:t>
      </w:r>
    </w:p>
    <w:p w14:paraId="417AF198" w14:textId="2231B997" w:rsidR="001F5F9F" w:rsidRPr="005C4A39" w:rsidRDefault="00B853B8" w:rsidP="009E47A5">
      <w:pPr>
        <w:pStyle w:val="NormalWeb"/>
        <w:spacing w:line="360" w:lineRule="auto"/>
        <w:ind w:firstLine="360"/>
        <w:rPr>
          <w:bCs/>
        </w:rPr>
      </w:pPr>
      <w:r w:rsidRPr="005C4A39">
        <w:rPr>
          <w:bCs/>
        </w:rPr>
        <w:t xml:space="preserve">Financial ratios are essential tools used by investors, analysts, and managers to evaluate a company’s financial performance. These ratios help in understanding a company’s ability to meet obligations, generate profits, efficiently manage resources, and assess market valuation. </w:t>
      </w:r>
      <w:r w:rsidR="00DC4188" w:rsidRPr="005C4A39">
        <w:rPr>
          <w:bCs/>
        </w:rPr>
        <w:t>To assess National Foods' performance, we analyze the following ratios:</w:t>
      </w:r>
    </w:p>
    <w:p w14:paraId="0EB1E39E" w14:textId="789C1EBC" w:rsidR="00B853B8" w:rsidRPr="00B853B8" w:rsidRDefault="001F5F9F" w:rsidP="00B853B8">
      <w:pPr>
        <w:pStyle w:val="NormalWeb"/>
        <w:rPr>
          <w:bCs/>
          <w:sz w:val="28"/>
          <w:szCs w:val="28"/>
        </w:rPr>
      </w:pPr>
      <w:r>
        <w:rPr>
          <w:bCs/>
          <w:sz w:val="28"/>
          <w:szCs w:val="28"/>
        </w:rPr>
        <w:br/>
      </w:r>
      <w:r>
        <w:rPr>
          <w:bCs/>
          <w:noProof/>
          <w:sz w:val="28"/>
          <w:szCs w:val="28"/>
        </w:rPr>
        <w:drawing>
          <wp:inline distT="0" distB="0" distL="0" distR="0" wp14:anchorId="624474AC" wp14:editId="033FC01E">
            <wp:extent cx="6309360" cy="43891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6313816" cy="4392220"/>
                    </a:xfrm>
                    <a:prstGeom prst="rect">
                      <a:avLst/>
                    </a:prstGeom>
                  </pic:spPr>
                </pic:pic>
              </a:graphicData>
            </a:graphic>
          </wp:inline>
        </w:drawing>
      </w:r>
    </w:p>
    <w:p w14:paraId="5975CF8E" w14:textId="66FFF39C" w:rsidR="00B853B8" w:rsidRDefault="00B853B8" w:rsidP="00B853B8">
      <w:pPr>
        <w:pStyle w:val="NormalWeb"/>
        <w:rPr>
          <w:bCs/>
          <w:sz w:val="28"/>
          <w:szCs w:val="28"/>
        </w:rPr>
      </w:pPr>
    </w:p>
    <w:p w14:paraId="04318C01" w14:textId="7BD4BE27" w:rsidR="005A3FE2" w:rsidRDefault="005A3FE2" w:rsidP="00B853B8">
      <w:pPr>
        <w:pStyle w:val="NormalWeb"/>
        <w:rPr>
          <w:bCs/>
          <w:sz w:val="28"/>
          <w:szCs w:val="28"/>
        </w:rPr>
      </w:pPr>
    </w:p>
    <w:p w14:paraId="2B8FDC6C" w14:textId="5A41A42D" w:rsidR="005A3FE2" w:rsidRDefault="005A3FE2" w:rsidP="00B853B8">
      <w:pPr>
        <w:pStyle w:val="NormalWeb"/>
        <w:rPr>
          <w:bCs/>
          <w:sz w:val="28"/>
          <w:szCs w:val="28"/>
        </w:rPr>
      </w:pPr>
    </w:p>
    <w:p w14:paraId="2344291E" w14:textId="77777777" w:rsidR="003828B6" w:rsidRPr="00B853B8" w:rsidRDefault="003828B6" w:rsidP="00B853B8">
      <w:pPr>
        <w:pStyle w:val="NormalWeb"/>
        <w:rPr>
          <w:bCs/>
          <w:sz w:val="28"/>
          <w:szCs w:val="28"/>
        </w:rPr>
      </w:pPr>
    </w:p>
    <w:p w14:paraId="754CEE30" w14:textId="77777777" w:rsidR="00962584" w:rsidRDefault="00962584" w:rsidP="00B853B8">
      <w:pPr>
        <w:pStyle w:val="Heading3"/>
        <w:rPr>
          <w:sz w:val="24"/>
          <w:szCs w:val="24"/>
        </w:rPr>
      </w:pPr>
    </w:p>
    <w:p w14:paraId="4E08E21B" w14:textId="41E7D115" w:rsidR="005A3FE2" w:rsidRPr="005C4A39" w:rsidRDefault="00B853B8" w:rsidP="00A30B56">
      <w:pPr>
        <w:pStyle w:val="Heading3"/>
        <w:numPr>
          <w:ilvl w:val="1"/>
          <w:numId w:val="50"/>
        </w:numPr>
        <w:rPr>
          <w:sz w:val="24"/>
          <w:szCs w:val="24"/>
        </w:rPr>
      </w:pPr>
      <w:r w:rsidRPr="005C4A39">
        <w:rPr>
          <w:sz w:val="24"/>
          <w:szCs w:val="24"/>
        </w:rPr>
        <w:lastRenderedPageBreak/>
        <w:t>Liquidity Ratios</w:t>
      </w:r>
    </w:p>
    <w:p w14:paraId="25AAAC78" w14:textId="741112BD" w:rsidR="00B853B8" w:rsidRPr="005C4A39" w:rsidRDefault="00B853B8" w:rsidP="009E47A5">
      <w:pPr>
        <w:pStyle w:val="Heading3"/>
        <w:spacing w:line="360" w:lineRule="auto"/>
        <w:ind w:firstLine="360"/>
        <w:rPr>
          <w:sz w:val="24"/>
          <w:szCs w:val="24"/>
        </w:rPr>
      </w:pPr>
      <w:r w:rsidRPr="005C4A39">
        <w:rPr>
          <w:b w:val="0"/>
          <w:sz w:val="24"/>
          <w:szCs w:val="24"/>
        </w:rPr>
        <w:t>Liquidity ratios measure a company’s ability to meet its short-term liabilities using its current or liquid assets. These ratios help determine how easily a company can convert assets to cash in the near term.</w:t>
      </w:r>
    </w:p>
    <w:p w14:paraId="1FA74A9E" w14:textId="3BBAA8B4" w:rsidR="00B853B8" w:rsidRPr="005C4A39" w:rsidRDefault="00B853B8" w:rsidP="00FA0A30">
      <w:pPr>
        <w:pStyle w:val="NormalWeb"/>
        <w:numPr>
          <w:ilvl w:val="0"/>
          <w:numId w:val="41"/>
        </w:numPr>
        <w:spacing w:line="360" w:lineRule="auto"/>
        <w:rPr>
          <w:bCs/>
        </w:rPr>
      </w:pPr>
      <w:r w:rsidRPr="005C4A39">
        <w:rPr>
          <w:bCs/>
        </w:rPr>
        <w:t xml:space="preserve">Current Ratio = </w:t>
      </w:r>
      <w:r w:rsidRPr="005C4A39">
        <w:rPr>
          <w:bCs/>
          <w:i/>
          <w:iCs/>
        </w:rPr>
        <w:t>Current Assets / Current Liabilities</w:t>
      </w:r>
      <w:r w:rsidRPr="005C4A39">
        <w:rPr>
          <w:bCs/>
        </w:rPr>
        <w:br/>
        <w:t>Shows whether the company can pay off its short-term debts with its short-term assets. A ratio above 1 is generally healthy.</w:t>
      </w:r>
    </w:p>
    <w:p w14:paraId="6FE64CC3" w14:textId="6CA081AC" w:rsidR="00B853B8" w:rsidRPr="005C4A39" w:rsidRDefault="00B853B8" w:rsidP="00FA0A30">
      <w:pPr>
        <w:pStyle w:val="NormalWeb"/>
        <w:numPr>
          <w:ilvl w:val="0"/>
          <w:numId w:val="41"/>
        </w:numPr>
        <w:spacing w:line="360" w:lineRule="auto"/>
        <w:rPr>
          <w:bCs/>
        </w:rPr>
      </w:pPr>
      <w:r w:rsidRPr="005C4A39">
        <w:rPr>
          <w:bCs/>
        </w:rPr>
        <w:t xml:space="preserve">Quick Ratio = </w:t>
      </w:r>
      <w:r w:rsidRPr="005C4A39">
        <w:rPr>
          <w:bCs/>
          <w:i/>
          <w:iCs/>
        </w:rPr>
        <w:t>(Current Assets - Inventory) / Current Liabilities</w:t>
      </w:r>
      <w:r w:rsidRPr="005C4A39">
        <w:rPr>
          <w:bCs/>
        </w:rPr>
        <w:br/>
        <w:t>A more stringent measure than the current ratio, it excludes inventory since it's not always easily converted to cash.</w:t>
      </w:r>
    </w:p>
    <w:p w14:paraId="4D9783DD" w14:textId="77777777" w:rsidR="005A3FE2" w:rsidRPr="005C4A39" w:rsidRDefault="005A3FE2" w:rsidP="00B853B8">
      <w:pPr>
        <w:pStyle w:val="Heading3"/>
        <w:rPr>
          <w:sz w:val="24"/>
          <w:szCs w:val="24"/>
        </w:rPr>
      </w:pPr>
    </w:p>
    <w:p w14:paraId="705AA9A9" w14:textId="6A8A1012" w:rsidR="00B853B8" w:rsidRPr="005C4A39" w:rsidRDefault="00B853B8" w:rsidP="00A30B56">
      <w:pPr>
        <w:pStyle w:val="Heading3"/>
        <w:numPr>
          <w:ilvl w:val="1"/>
          <w:numId w:val="50"/>
        </w:numPr>
        <w:rPr>
          <w:sz w:val="24"/>
          <w:szCs w:val="24"/>
        </w:rPr>
      </w:pPr>
      <w:r w:rsidRPr="005C4A39">
        <w:rPr>
          <w:sz w:val="24"/>
          <w:szCs w:val="24"/>
        </w:rPr>
        <w:t>Profitability Ratios</w:t>
      </w:r>
    </w:p>
    <w:p w14:paraId="3BEAA48F" w14:textId="48AAA2C1" w:rsidR="00B853B8" w:rsidRPr="005C4A39" w:rsidRDefault="00B853B8" w:rsidP="009E47A5">
      <w:pPr>
        <w:pStyle w:val="Heading3"/>
        <w:spacing w:line="360" w:lineRule="auto"/>
        <w:ind w:firstLine="360"/>
        <w:rPr>
          <w:b w:val="0"/>
          <w:sz w:val="24"/>
          <w:szCs w:val="24"/>
        </w:rPr>
      </w:pPr>
      <w:r w:rsidRPr="005C4A39">
        <w:rPr>
          <w:b w:val="0"/>
          <w:sz w:val="24"/>
          <w:szCs w:val="24"/>
        </w:rPr>
        <w:t>Profitability ratios indicate how well a company can generate profit relative to its sales, assets, or equity. These are key indicators of financial health and performance.</w:t>
      </w:r>
    </w:p>
    <w:p w14:paraId="33B7C7EF" w14:textId="60E62A56" w:rsidR="00B853B8" w:rsidRPr="005C4A39" w:rsidRDefault="00B853B8" w:rsidP="00FA0A30">
      <w:pPr>
        <w:pStyle w:val="NormalWeb"/>
        <w:numPr>
          <w:ilvl w:val="0"/>
          <w:numId w:val="42"/>
        </w:numPr>
        <w:spacing w:line="360" w:lineRule="auto"/>
        <w:rPr>
          <w:bCs/>
        </w:rPr>
      </w:pPr>
      <w:r w:rsidRPr="005C4A39">
        <w:rPr>
          <w:bCs/>
        </w:rPr>
        <w:t xml:space="preserve">Gross Profit Margin = </w:t>
      </w:r>
      <w:r w:rsidRPr="005C4A39">
        <w:rPr>
          <w:bCs/>
          <w:i/>
          <w:iCs/>
        </w:rPr>
        <w:t>(Gross Profit / Revenue) × 100</w:t>
      </w:r>
      <w:r w:rsidRPr="005C4A39">
        <w:rPr>
          <w:bCs/>
        </w:rPr>
        <w:br/>
        <w:t>Measures the efficiency of production and how much profit is left after subtracting cost of goods sold.</w:t>
      </w:r>
    </w:p>
    <w:p w14:paraId="2C7DE854" w14:textId="1F9A9E7F" w:rsidR="00B853B8" w:rsidRPr="005C4A39" w:rsidRDefault="00B853B8" w:rsidP="00FA0A30">
      <w:pPr>
        <w:pStyle w:val="NormalWeb"/>
        <w:numPr>
          <w:ilvl w:val="0"/>
          <w:numId w:val="42"/>
        </w:numPr>
        <w:spacing w:line="360" w:lineRule="auto"/>
        <w:rPr>
          <w:bCs/>
        </w:rPr>
      </w:pPr>
      <w:r w:rsidRPr="005C4A39">
        <w:rPr>
          <w:bCs/>
        </w:rPr>
        <w:t xml:space="preserve">Net Profit Margin = </w:t>
      </w:r>
      <w:r w:rsidRPr="005C4A39">
        <w:rPr>
          <w:bCs/>
          <w:i/>
          <w:iCs/>
        </w:rPr>
        <w:t>(Net Profit / Revenue) × 100</w:t>
      </w:r>
      <w:r w:rsidRPr="005C4A39">
        <w:rPr>
          <w:bCs/>
        </w:rPr>
        <w:br/>
        <w:t>Reflects the company’s overall profitability after all expenses, taxes, and interest.</w:t>
      </w:r>
    </w:p>
    <w:p w14:paraId="7546A372" w14:textId="099DDA7B" w:rsidR="00B853B8" w:rsidRPr="005C4A39" w:rsidRDefault="00B853B8" w:rsidP="00FA0A30">
      <w:pPr>
        <w:pStyle w:val="NormalWeb"/>
        <w:numPr>
          <w:ilvl w:val="0"/>
          <w:numId w:val="42"/>
        </w:numPr>
        <w:spacing w:line="360" w:lineRule="auto"/>
        <w:rPr>
          <w:bCs/>
        </w:rPr>
      </w:pPr>
      <w:r w:rsidRPr="005C4A39">
        <w:rPr>
          <w:bCs/>
        </w:rPr>
        <w:t xml:space="preserve">Return on Assets (ROA) = </w:t>
      </w:r>
      <w:r w:rsidRPr="005C4A39">
        <w:rPr>
          <w:bCs/>
          <w:i/>
          <w:iCs/>
        </w:rPr>
        <w:t>(Net Income / Total Assets) × 100</w:t>
      </w:r>
      <w:r w:rsidRPr="005C4A39">
        <w:rPr>
          <w:bCs/>
        </w:rPr>
        <w:br/>
        <w:t>Indicates how efficiently the company is using its assets to generate profit.</w:t>
      </w:r>
    </w:p>
    <w:p w14:paraId="31F950D0" w14:textId="08EA246A" w:rsidR="00B853B8" w:rsidRDefault="00B853B8" w:rsidP="00FA0A30">
      <w:pPr>
        <w:pStyle w:val="NormalWeb"/>
        <w:numPr>
          <w:ilvl w:val="0"/>
          <w:numId w:val="42"/>
        </w:numPr>
        <w:spacing w:line="360" w:lineRule="auto"/>
        <w:rPr>
          <w:bCs/>
        </w:rPr>
      </w:pPr>
      <w:r w:rsidRPr="005C4A39">
        <w:rPr>
          <w:bCs/>
        </w:rPr>
        <w:t xml:space="preserve">Return on Equity (ROE) = </w:t>
      </w:r>
      <w:r w:rsidRPr="005C4A39">
        <w:rPr>
          <w:bCs/>
          <w:i/>
          <w:iCs/>
        </w:rPr>
        <w:t>(Net Income / Shareholders’ Equity) × 100</w:t>
      </w:r>
      <w:r w:rsidRPr="005C4A39">
        <w:rPr>
          <w:bCs/>
        </w:rPr>
        <w:br/>
        <w:t>Measures the return earned on the shareholders' investment. Higher ROE means higher profitability.</w:t>
      </w:r>
    </w:p>
    <w:p w14:paraId="1983B90C" w14:textId="670133C1" w:rsidR="003828B6" w:rsidRPr="005C4A39" w:rsidRDefault="003828B6" w:rsidP="003828B6">
      <w:pPr>
        <w:pStyle w:val="NormalWeb"/>
        <w:spacing w:line="360" w:lineRule="auto"/>
        <w:ind w:left="720"/>
        <w:rPr>
          <w:bCs/>
        </w:rPr>
      </w:pPr>
    </w:p>
    <w:p w14:paraId="4FC57280" w14:textId="77777777" w:rsidR="005A3FE2" w:rsidRPr="005C4A39" w:rsidRDefault="005A3FE2" w:rsidP="00B853B8">
      <w:pPr>
        <w:pStyle w:val="Heading3"/>
        <w:rPr>
          <w:sz w:val="24"/>
          <w:szCs w:val="24"/>
        </w:rPr>
      </w:pPr>
    </w:p>
    <w:p w14:paraId="0FC6C982" w14:textId="58CD1C59" w:rsidR="00B853B8" w:rsidRPr="005C4A39" w:rsidRDefault="00B853B8" w:rsidP="00A30B56">
      <w:pPr>
        <w:pStyle w:val="Heading3"/>
        <w:numPr>
          <w:ilvl w:val="1"/>
          <w:numId w:val="50"/>
        </w:numPr>
        <w:rPr>
          <w:sz w:val="24"/>
          <w:szCs w:val="24"/>
        </w:rPr>
      </w:pPr>
      <w:r w:rsidRPr="005C4A39">
        <w:rPr>
          <w:sz w:val="24"/>
          <w:szCs w:val="24"/>
        </w:rPr>
        <w:lastRenderedPageBreak/>
        <w:t>Efficiency Ratios</w:t>
      </w:r>
    </w:p>
    <w:p w14:paraId="49191FEE" w14:textId="64C66F1D" w:rsidR="00B853B8" w:rsidRPr="005C4A39" w:rsidRDefault="00B853B8" w:rsidP="009E47A5">
      <w:pPr>
        <w:pStyle w:val="Heading3"/>
        <w:spacing w:line="360" w:lineRule="auto"/>
        <w:ind w:firstLine="360"/>
        <w:rPr>
          <w:b w:val="0"/>
          <w:sz w:val="24"/>
          <w:szCs w:val="24"/>
        </w:rPr>
      </w:pPr>
      <w:r w:rsidRPr="005C4A39">
        <w:rPr>
          <w:b w:val="0"/>
          <w:sz w:val="24"/>
          <w:szCs w:val="24"/>
        </w:rPr>
        <w:t>These ratios assess how effectively a company uses its resources, such as assets and inventory, to generate revenue.</w:t>
      </w:r>
    </w:p>
    <w:p w14:paraId="63EADAA1" w14:textId="5BAC14F6" w:rsidR="00B853B8" w:rsidRPr="005C4A39" w:rsidRDefault="00B853B8" w:rsidP="00FA0A30">
      <w:pPr>
        <w:pStyle w:val="NormalWeb"/>
        <w:numPr>
          <w:ilvl w:val="0"/>
          <w:numId w:val="43"/>
        </w:numPr>
        <w:spacing w:line="360" w:lineRule="auto"/>
        <w:rPr>
          <w:bCs/>
        </w:rPr>
      </w:pPr>
      <w:r w:rsidRPr="005C4A39">
        <w:rPr>
          <w:bCs/>
        </w:rPr>
        <w:t xml:space="preserve">Asset Turnover Ratio = </w:t>
      </w:r>
      <w:r w:rsidRPr="005C4A39">
        <w:rPr>
          <w:bCs/>
          <w:i/>
          <w:iCs/>
        </w:rPr>
        <w:t>Revenue / Total Assets</w:t>
      </w:r>
      <w:r w:rsidRPr="005C4A39">
        <w:rPr>
          <w:bCs/>
        </w:rPr>
        <w:br/>
        <w:t>Shows how efficiently assets are used to generate sales. A higher ratio indicates better efficiency.</w:t>
      </w:r>
    </w:p>
    <w:p w14:paraId="43D24547" w14:textId="52E25BBD" w:rsidR="00B853B8" w:rsidRPr="005C4A39" w:rsidRDefault="00B853B8" w:rsidP="00FA0A30">
      <w:pPr>
        <w:pStyle w:val="NormalWeb"/>
        <w:numPr>
          <w:ilvl w:val="0"/>
          <w:numId w:val="43"/>
        </w:numPr>
        <w:spacing w:line="360" w:lineRule="auto"/>
        <w:rPr>
          <w:bCs/>
        </w:rPr>
      </w:pPr>
      <w:r w:rsidRPr="005C4A39">
        <w:rPr>
          <w:bCs/>
        </w:rPr>
        <w:t xml:space="preserve">Inventory Turnover Ratio = </w:t>
      </w:r>
      <w:r w:rsidRPr="005C4A39">
        <w:rPr>
          <w:bCs/>
          <w:i/>
          <w:iCs/>
        </w:rPr>
        <w:t>Cost of Goods Sold / Average Inventory</w:t>
      </w:r>
      <w:r w:rsidRPr="005C4A39">
        <w:rPr>
          <w:bCs/>
        </w:rPr>
        <w:br/>
        <w:t>Reflects how often inventory is sold and replaced during a period. Higher turnover suggests strong demand or efficient inventory management.</w:t>
      </w:r>
    </w:p>
    <w:p w14:paraId="74B8991E" w14:textId="50E63AC0" w:rsidR="00B853B8" w:rsidRPr="005C4A39" w:rsidRDefault="00B853B8" w:rsidP="00B853B8">
      <w:pPr>
        <w:rPr>
          <w:rFonts w:ascii="Times New Roman" w:eastAsia="Times New Roman" w:hAnsi="Times New Roman" w:cs="Times New Roman"/>
          <w:bCs/>
          <w:sz w:val="24"/>
          <w:szCs w:val="24"/>
        </w:rPr>
      </w:pPr>
    </w:p>
    <w:p w14:paraId="68D71C6A" w14:textId="73346D70" w:rsidR="00B853B8" w:rsidRPr="005C4A39" w:rsidRDefault="00B853B8" w:rsidP="00A30B56">
      <w:pPr>
        <w:pStyle w:val="Heading3"/>
        <w:numPr>
          <w:ilvl w:val="1"/>
          <w:numId w:val="50"/>
        </w:numPr>
        <w:rPr>
          <w:b w:val="0"/>
          <w:sz w:val="24"/>
          <w:szCs w:val="24"/>
        </w:rPr>
      </w:pPr>
      <w:r w:rsidRPr="005C4A39">
        <w:rPr>
          <w:sz w:val="24"/>
          <w:szCs w:val="24"/>
        </w:rPr>
        <w:t>Leverage Ratios</w:t>
      </w:r>
    </w:p>
    <w:p w14:paraId="1F6A0CEA" w14:textId="2BA1AAD7" w:rsidR="00B853B8" w:rsidRPr="005C4A39" w:rsidRDefault="00B853B8" w:rsidP="009E47A5">
      <w:pPr>
        <w:pStyle w:val="NormalWeb"/>
        <w:spacing w:line="360" w:lineRule="auto"/>
        <w:ind w:firstLine="360"/>
        <w:rPr>
          <w:bCs/>
        </w:rPr>
      </w:pPr>
      <w:r w:rsidRPr="005C4A39">
        <w:rPr>
          <w:bCs/>
        </w:rPr>
        <w:t>Leverage ratios evaluate the company’s use of debt and its ability to service that debt. They help assess financial risk and capital structure.</w:t>
      </w:r>
    </w:p>
    <w:p w14:paraId="427E30E5" w14:textId="2623AC83" w:rsidR="00B853B8" w:rsidRPr="005C4A39" w:rsidRDefault="00B853B8" w:rsidP="00FA0A30">
      <w:pPr>
        <w:pStyle w:val="NormalWeb"/>
        <w:numPr>
          <w:ilvl w:val="0"/>
          <w:numId w:val="44"/>
        </w:numPr>
        <w:spacing w:line="360" w:lineRule="auto"/>
        <w:rPr>
          <w:bCs/>
        </w:rPr>
      </w:pPr>
      <w:r w:rsidRPr="005C4A39">
        <w:rPr>
          <w:bCs/>
        </w:rPr>
        <w:t xml:space="preserve">Debt-to-Equity Ratio = </w:t>
      </w:r>
      <w:r w:rsidRPr="005C4A39">
        <w:rPr>
          <w:bCs/>
          <w:i/>
          <w:iCs/>
        </w:rPr>
        <w:t>Total Debt / Shareholders’ Equity</w:t>
      </w:r>
      <w:r w:rsidRPr="005C4A39">
        <w:rPr>
          <w:bCs/>
        </w:rPr>
        <w:br/>
        <w:t>Indicates the proportion of financing that comes from debt versus shareholders’ equity.</w:t>
      </w:r>
    </w:p>
    <w:p w14:paraId="7E268A65" w14:textId="5F44C104" w:rsidR="00B853B8" w:rsidRPr="005C4A39" w:rsidRDefault="00B853B8" w:rsidP="00FA0A30">
      <w:pPr>
        <w:pStyle w:val="NormalWeb"/>
        <w:numPr>
          <w:ilvl w:val="0"/>
          <w:numId w:val="44"/>
        </w:numPr>
        <w:spacing w:line="360" w:lineRule="auto"/>
        <w:rPr>
          <w:bCs/>
        </w:rPr>
      </w:pPr>
      <w:r w:rsidRPr="005C4A39">
        <w:rPr>
          <w:bCs/>
        </w:rPr>
        <w:t xml:space="preserve">Interest Coverage Ratio = </w:t>
      </w:r>
      <w:r w:rsidRPr="005C4A39">
        <w:rPr>
          <w:bCs/>
          <w:i/>
          <w:iCs/>
        </w:rPr>
        <w:t>EBIT / Interest Expense</w:t>
      </w:r>
      <w:r w:rsidRPr="005C4A39">
        <w:rPr>
          <w:bCs/>
        </w:rPr>
        <w:br/>
        <w:t>Measures the ability to pay interest on outstanding debt. A ratio above 1.5 is generally considered safe.</w:t>
      </w:r>
    </w:p>
    <w:p w14:paraId="0A035672" w14:textId="77777777" w:rsidR="005A3FE2" w:rsidRPr="005C4A39" w:rsidRDefault="005A3FE2" w:rsidP="00B853B8">
      <w:pPr>
        <w:pStyle w:val="Heading3"/>
        <w:rPr>
          <w:sz w:val="24"/>
          <w:szCs w:val="24"/>
        </w:rPr>
      </w:pPr>
    </w:p>
    <w:p w14:paraId="14815A6E" w14:textId="3FB47BEF" w:rsidR="00B853B8" w:rsidRPr="005C4A39" w:rsidRDefault="00B853B8" w:rsidP="00A30B56">
      <w:pPr>
        <w:pStyle w:val="Heading3"/>
        <w:numPr>
          <w:ilvl w:val="1"/>
          <w:numId w:val="50"/>
        </w:numPr>
        <w:rPr>
          <w:b w:val="0"/>
          <w:sz w:val="24"/>
          <w:szCs w:val="24"/>
        </w:rPr>
      </w:pPr>
      <w:r w:rsidRPr="005C4A39">
        <w:rPr>
          <w:sz w:val="24"/>
          <w:szCs w:val="24"/>
        </w:rPr>
        <w:t>Market Valuation Ratios</w:t>
      </w:r>
    </w:p>
    <w:p w14:paraId="4176F5BE" w14:textId="3D1805FE" w:rsidR="00B853B8" w:rsidRPr="005C4A39" w:rsidRDefault="00B853B8" w:rsidP="009E47A5">
      <w:pPr>
        <w:pStyle w:val="NormalWeb"/>
        <w:spacing w:line="360" w:lineRule="auto"/>
        <w:ind w:firstLine="720"/>
        <w:rPr>
          <w:bCs/>
        </w:rPr>
      </w:pPr>
      <w:r w:rsidRPr="005C4A39">
        <w:rPr>
          <w:bCs/>
        </w:rPr>
        <w:t>These ratios help investors determine whether a company’s stock is overvalued, undervalued, or fairly valued in the market.</w:t>
      </w:r>
    </w:p>
    <w:p w14:paraId="0BBE5451" w14:textId="4A202A7D" w:rsidR="00B853B8" w:rsidRPr="005C4A39" w:rsidRDefault="00B853B8" w:rsidP="00FA0A30">
      <w:pPr>
        <w:pStyle w:val="NormalWeb"/>
        <w:numPr>
          <w:ilvl w:val="0"/>
          <w:numId w:val="45"/>
        </w:numPr>
        <w:spacing w:line="360" w:lineRule="auto"/>
        <w:rPr>
          <w:bCs/>
        </w:rPr>
      </w:pPr>
      <w:r w:rsidRPr="005C4A39">
        <w:rPr>
          <w:bCs/>
        </w:rPr>
        <w:t xml:space="preserve">Price-to-Earnings (P/E) Ratio = </w:t>
      </w:r>
      <w:r w:rsidRPr="005C4A39">
        <w:rPr>
          <w:bCs/>
          <w:i/>
          <w:iCs/>
        </w:rPr>
        <w:t>Market Price per Share / Earnings per Share (EPS)</w:t>
      </w:r>
      <w:r w:rsidRPr="005C4A39">
        <w:rPr>
          <w:bCs/>
        </w:rPr>
        <w:br/>
        <w:t>Shows what the market is willing to pay today for a company’s earnings. High P/E may indicate growth expectations.</w:t>
      </w:r>
    </w:p>
    <w:p w14:paraId="1FB5562F" w14:textId="5DAAAC0D" w:rsidR="00B853B8" w:rsidRPr="005C4A39" w:rsidRDefault="00B853B8" w:rsidP="00FA0A30">
      <w:pPr>
        <w:pStyle w:val="NormalWeb"/>
        <w:numPr>
          <w:ilvl w:val="0"/>
          <w:numId w:val="45"/>
        </w:numPr>
        <w:spacing w:line="360" w:lineRule="auto"/>
        <w:rPr>
          <w:bCs/>
        </w:rPr>
      </w:pPr>
      <w:r w:rsidRPr="005C4A39">
        <w:rPr>
          <w:bCs/>
        </w:rPr>
        <w:lastRenderedPageBreak/>
        <w:t xml:space="preserve">Price-to-Book (P/B) Ratio = </w:t>
      </w:r>
      <w:r w:rsidRPr="005C4A39">
        <w:rPr>
          <w:bCs/>
          <w:i/>
          <w:iCs/>
        </w:rPr>
        <w:t>Market Price per Share / Book Value per Share</w:t>
      </w:r>
      <w:r w:rsidRPr="005C4A39">
        <w:rPr>
          <w:bCs/>
        </w:rPr>
        <w:br/>
        <w:t>Compares market value to book value. A P/B ratio around or above 1 indicates the market values the company at or above its actual net worth.</w:t>
      </w:r>
    </w:p>
    <w:p w14:paraId="3611D3B0" w14:textId="77777777" w:rsidR="00F2153F" w:rsidRDefault="00F2153F" w:rsidP="00DC4188">
      <w:pPr>
        <w:pStyle w:val="Heading2"/>
        <w:rPr>
          <w:rStyle w:val="Strong"/>
          <w:rFonts w:ascii="Times New Roman" w:hAnsi="Times New Roman" w:cs="Times New Roman"/>
          <w:bCs w:val="0"/>
          <w:color w:val="auto"/>
          <w:sz w:val="28"/>
          <w:szCs w:val="28"/>
        </w:rPr>
      </w:pPr>
    </w:p>
    <w:p w14:paraId="121690CB" w14:textId="53F48231" w:rsidR="00DC4188" w:rsidRPr="006B11B6" w:rsidRDefault="00DC4188" w:rsidP="00A30B56">
      <w:pPr>
        <w:pStyle w:val="Heading2"/>
        <w:numPr>
          <w:ilvl w:val="0"/>
          <w:numId w:val="50"/>
        </w:numPr>
        <w:rPr>
          <w:rStyle w:val="Strong"/>
          <w:b w:val="0"/>
          <w:sz w:val="28"/>
          <w:szCs w:val="28"/>
        </w:rPr>
      </w:pPr>
      <w:r w:rsidRPr="006B11B6">
        <w:rPr>
          <w:rStyle w:val="Strong"/>
          <w:rFonts w:ascii="Times New Roman" w:hAnsi="Times New Roman" w:cs="Times New Roman"/>
          <w:bCs w:val="0"/>
          <w:color w:val="auto"/>
          <w:sz w:val="28"/>
          <w:szCs w:val="28"/>
        </w:rPr>
        <w:t>. Financial Analysis of National Foods</w:t>
      </w:r>
    </w:p>
    <w:p w14:paraId="524D45C5" w14:textId="77777777" w:rsidR="00F85A10" w:rsidRPr="005C4A39" w:rsidRDefault="00F85A10" w:rsidP="00F85A10">
      <w:pPr>
        <w:rPr>
          <w:rFonts w:ascii="Times New Roman" w:eastAsia="Times New Roman" w:hAnsi="Times New Roman" w:cs="Times New Roman"/>
          <w:bCs/>
          <w:sz w:val="24"/>
          <w:szCs w:val="24"/>
        </w:rPr>
      </w:pPr>
    </w:p>
    <w:p w14:paraId="58D729D9" w14:textId="07A4A37E" w:rsidR="00DC4188" w:rsidRPr="005C4A39" w:rsidRDefault="00DC4188" w:rsidP="00A30B56">
      <w:pPr>
        <w:pStyle w:val="Heading2"/>
        <w:numPr>
          <w:ilvl w:val="1"/>
          <w:numId w:val="50"/>
        </w:numPr>
        <w:rPr>
          <w:rFonts w:ascii="Times New Roman" w:eastAsia="Times New Roman" w:hAnsi="Times New Roman" w:cs="Times New Roman"/>
          <w:b/>
          <w:bCs/>
          <w:color w:val="auto"/>
          <w:sz w:val="24"/>
          <w:szCs w:val="24"/>
        </w:rPr>
      </w:pPr>
      <w:r w:rsidRPr="005C4A39">
        <w:rPr>
          <w:rFonts w:ascii="Times New Roman" w:eastAsia="Times New Roman" w:hAnsi="Times New Roman" w:cs="Times New Roman"/>
          <w:b/>
          <w:bCs/>
          <w:color w:val="auto"/>
          <w:sz w:val="24"/>
          <w:szCs w:val="24"/>
        </w:rPr>
        <w:t>Company Overview</w:t>
      </w:r>
    </w:p>
    <w:p w14:paraId="516D5774" w14:textId="77777777" w:rsidR="00DC4188" w:rsidRPr="005C4A39" w:rsidRDefault="00DC4188" w:rsidP="009E47A5">
      <w:pPr>
        <w:pStyle w:val="NormalWeb"/>
        <w:spacing w:line="360" w:lineRule="auto"/>
        <w:ind w:firstLine="360"/>
        <w:rPr>
          <w:bCs/>
        </w:rPr>
      </w:pPr>
      <w:r w:rsidRPr="005C4A39">
        <w:rPr>
          <w:bCs/>
        </w:rPr>
        <w:t>National Foods is a leading FMCG company in Pakistan specializing in spices, condiments, and food products. Established in 1970, it has expanded its operations both locally and internationally. The company’s financial statements provide insights into its growth, profitability, and overall market position.</w:t>
      </w:r>
    </w:p>
    <w:p w14:paraId="51EED5F8" w14:textId="40634ABC" w:rsidR="00E80E56" w:rsidRPr="005C4A39" w:rsidRDefault="00DC4188" w:rsidP="00A30B56">
      <w:pPr>
        <w:pStyle w:val="NormalWeb"/>
        <w:spacing w:line="360" w:lineRule="auto"/>
        <w:rPr>
          <w:bCs/>
        </w:rPr>
      </w:pPr>
      <w:r w:rsidRPr="005C4A39">
        <w:rPr>
          <w:bCs/>
        </w:rPr>
        <w:t>Based on the company's financial statements</w:t>
      </w:r>
      <w:r w:rsidR="00E80E56" w:rsidRPr="005C4A39">
        <w:rPr>
          <w:bCs/>
        </w:rPr>
        <w:t xml:space="preserve"> from the years 2022 to 2024</w:t>
      </w:r>
      <w:r w:rsidRPr="005C4A39">
        <w:rPr>
          <w:bCs/>
        </w:rPr>
        <w:t>, the following analysis is conducted:</w:t>
      </w:r>
    </w:p>
    <w:p w14:paraId="529377BD" w14:textId="6D215551" w:rsidR="00E80E56" w:rsidRPr="005C4A39" w:rsidRDefault="00E80E56" w:rsidP="00A30B56">
      <w:pPr>
        <w:pStyle w:val="Heading3"/>
        <w:numPr>
          <w:ilvl w:val="1"/>
          <w:numId w:val="50"/>
        </w:numPr>
        <w:rPr>
          <w:b w:val="0"/>
          <w:sz w:val="24"/>
          <w:szCs w:val="24"/>
        </w:rPr>
      </w:pPr>
      <w:r w:rsidRPr="005C4A39">
        <w:rPr>
          <w:sz w:val="24"/>
          <w:szCs w:val="24"/>
        </w:rPr>
        <w:t>Liquidity Position</w:t>
      </w:r>
    </w:p>
    <w:p w14:paraId="156E1216" w14:textId="77777777" w:rsidR="00E80E56" w:rsidRPr="005C4A39" w:rsidRDefault="00E80E56" w:rsidP="005C4A39">
      <w:pPr>
        <w:pStyle w:val="NormalWeb"/>
        <w:numPr>
          <w:ilvl w:val="0"/>
          <w:numId w:val="33"/>
        </w:numPr>
        <w:spacing w:line="360" w:lineRule="auto"/>
        <w:rPr>
          <w:bCs/>
        </w:rPr>
      </w:pPr>
      <w:r w:rsidRPr="005C4A39">
        <w:rPr>
          <w:bCs/>
        </w:rPr>
        <w:t>The Current Ratio increased from 1.19 in 2022 to 1.38 in 2023, before slightly declining to 1.35 in 2024. This consistently healthy ratio (above 1) shows that the company has more assets than liabilities in the short term.</w:t>
      </w:r>
    </w:p>
    <w:p w14:paraId="7CE0B43D" w14:textId="53CAABC6" w:rsidR="005A3FE2" w:rsidRPr="002B6999" w:rsidRDefault="00E80E56" w:rsidP="00FC490F">
      <w:pPr>
        <w:pStyle w:val="NormalWeb"/>
        <w:numPr>
          <w:ilvl w:val="0"/>
          <w:numId w:val="33"/>
        </w:numPr>
        <w:spacing w:line="360" w:lineRule="auto"/>
        <w:rPr>
          <w:bCs/>
        </w:rPr>
      </w:pPr>
      <w:r w:rsidRPr="005C4A39">
        <w:rPr>
          <w:bCs/>
        </w:rPr>
        <w:t>The Quick Ratio, which excludes inventory, improved from 0.81 in 2022 to 0.91 in 2023, and remained solid at 0.89 in 2024, suggesting that the company could cover its immediate liabilities without relying on inventory sales.</w:t>
      </w:r>
    </w:p>
    <w:p w14:paraId="730BC1B5" w14:textId="0F8B72B4" w:rsidR="00E80E56" w:rsidRPr="005C4A39" w:rsidRDefault="00E80E56" w:rsidP="002B6999">
      <w:pPr>
        <w:pStyle w:val="Heading3"/>
        <w:numPr>
          <w:ilvl w:val="1"/>
          <w:numId w:val="50"/>
        </w:numPr>
        <w:rPr>
          <w:b w:val="0"/>
          <w:sz w:val="24"/>
          <w:szCs w:val="24"/>
        </w:rPr>
      </w:pPr>
      <w:r w:rsidRPr="005C4A39">
        <w:rPr>
          <w:sz w:val="24"/>
          <w:szCs w:val="24"/>
        </w:rPr>
        <w:t>Profitability Performance</w:t>
      </w:r>
    </w:p>
    <w:p w14:paraId="251335FD" w14:textId="77777777" w:rsidR="00E80E56" w:rsidRPr="005C4A39" w:rsidRDefault="00E80E56" w:rsidP="005C4A39">
      <w:pPr>
        <w:pStyle w:val="NormalWeb"/>
        <w:numPr>
          <w:ilvl w:val="0"/>
          <w:numId w:val="34"/>
        </w:numPr>
        <w:spacing w:line="360" w:lineRule="auto"/>
        <w:rPr>
          <w:bCs/>
        </w:rPr>
      </w:pPr>
      <w:r w:rsidRPr="005C4A39">
        <w:rPr>
          <w:bCs/>
        </w:rPr>
        <w:t>Gross Profit Margin rose steadily from 27.02% in 2022 to 31.18% in 2024, highlighting improved cost control and pricing strategy.</w:t>
      </w:r>
    </w:p>
    <w:p w14:paraId="6D0B00DA" w14:textId="77777777" w:rsidR="00E80E56" w:rsidRPr="005C4A39" w:rsidRDefault="00E80E56" w:rsidP="005C4A39">
      <w:pPr>
        <w:pStyle w:val="NormalWeb"/>
        <w:numPr>
          <w:ilvl w:val="0"/>
          <w:numId w:val="34"/>
        </w:numPr>
        <w:spacing w:line="360" w:lineRule="auto"/>
        <w:rPr>
          <w:bCs/>
        </w:rPr>
      </w:pPr>
      <w:r w:rsidRPr="005C4A39">
        <w:rPr>
          <w:bCs/>
        </w:rPr>
        <w:t>Net Profit Margin, which reflects overall profitability, slightly declined in 2023 to 4.75% but bounced back to 5.61% in 2024, indicating strong bottom-line growth.</w:t>
      </w:r>
    </w:p>
    <w:p w14:paraId="5A2C9225" w14:textId="77777777" w:rsidR="00E80E56" w:rsidRPr="005C4A39" w:rsidRDefault="00E80E56" w:rsidP="005C4A39">
      <w:pPr>
        <w:pStyle w:val="NormalWeb"/>
        <w:numPr>
          <w:ilvl w:val="0"/>
          <w:numId w:val="34"/>
        </w:numPr>
        <w:spacing w:line="360" w:lineRule="auto"/>
        <w:rPr>
          <w:bCs/>
        </w:rPr>
      </w:pPr>
      <w:r w:rsidRPr="005C4A39">
        <w:rPr>
          <w:bCs/>
        </w:rPr>
        <w:t>Return on Assets (ROA) shows how efficiently the company uses its assets to generate profit. ROA decreased to 4.18% in 2023 but rose to 5.41% in 2024.</w:t>
      </w:r>
    </w:p>
    <w:p w14:paraId="0A5445FE" w14:textId="77777777" w:rsidR="005A3FE2" w:rsidRPr="005C4A39" w:rsidRDefault="00E80E56" w:rsidP="005C4A39">
      <w:pPr>
        <w:pStyle w:val="NormalWeb"/>
        <w:numPr>
          <w:ilvl w:val="0"/>
          <w:numId w:val="34"/>
        </w:numPr>
        <w:spacing w:line="360" w:lineRule="auto"/>
        <w:rPr>
          <w:bCs/>
        </w:rPr>
      </w:pPr>
      <w:r w:rsidRPr="005C4A39">
        <w:rPr>
          <w:bCs/>
        </w:rPr>
        <w:lastRenderedPageBreak/>
        <w:t>Return on Equity (ROE), a key investor metric, dropped to 9.76% in 2023 but recovered to 11.98% in 2024, reflecting enhanced returns for shareholders.</w:t>
      </w:r>
    </w:p>
    <w:p w14:paraId="40659AEB" w14:textId="73B55804" w:rsidR="00794E7A" w:rsidRPr="005C4A39" w:rsidRDefault="002E2C6A" w:rsidP="002B6999">
      <w:pPr>
        <w:pStyle w:val="NormalWeb"/>
        <w:numPr>
          <w:ilvl w:val="1"/>
          <w:numId w:val="50"/>
        </w:numPr>
        <w:rPr>
          <w:b/>
          <w:bCs/>
        </w:rPr>
      </w:pPr>
      <w:r w:rsidRPr="005C4A39">
        <w:rPr>
          <w:b/>
          <w:bCs/>
        </w:rPr>
        <w:t xml:space="preserve">Operational </w:t>
      </w:r>
      <w:r w:rsidR="00794E7A" w:rsidRPr="005C4A39">
        <w:rPr>
          <w:b/>
          <w:bCs/>
        </w:rPr>
        <w:t>Efficiency</w:t>
      </w:r>
    </w:p>
    <w:p w14:paraId="32DE4217" w14:textId="37546CF9" w:rsidR="00794E7A" w:rsidRPr="005C4A39" w:rsidRDefault="00794E7A" w:rsidP="005C4A39">
      <w:pPr>
        <w:pStyle w:val="NormalWeb"/>
        <w:numPr>
          <w:ilvl w:val="0"/>
          <w:numId w:val="39"/>
        </w:numPr>
        <w:spacing w:line="360" w:lineRule="auto"/>
        <w:rPr>
          <w:bCs/>
        </w:rPr>
      </w:pPr>
      <w:r w:rsidRPr="005C4A39">
        <w:rPr>
          <w:bCs/>
        </w:rPr>
        <w:t xml:space="preserve">In 2022, National Foods had an asset turnover </w:t>
      </w:r>
      <w:r w:rsidR="00FC490F" w:rsidRPr="005C4A39">
        <w:rPr>
          <w:bCs/>
        </w:rPr>
        <w:t xml:space="preserve">ratio </w:t>
      </w:r>
      <w:r w:rsidRPr="005C4A39">
        <w:rPr>
          <w:bCs/>
        </w:rPr>
        <w:t>of 0.99, meaning every Rs. 1 of assets generated Rs. 0.99 in revenue.</w:t>
      </w:r>
    </w:p>
    <w:p w14:paraId="139A3125" w14:textId="77777777" w:rsidR="00794E7A" w:rsidRPr="005C4A39" w:rsidRDefault="00794E7A" w:rsidP="005C4A39">
      <w:pPr>
        <w:pStyle w:val="NormalWeb"/>
        <w:numPr>
          <w:ilvl w:val="0"/>
          <w:numId w:val="39"/>
        </w:numPr>
        <w:spacing w:line="360" w:lineRule="auto"/>
        <w:rPr>
          <w:bCs/>
        </w:rPr>
      </w:pPr>
      <w:r w:rsidRPr="005C4A39">
        <w:rPr>
          <w:bCs/>
        </w:rPr>
        <w:t>This declined to 0.88 in 2023, suggesting slightly lower efficiency.</w:t>
      </w:r>
    </w:p>
    <w:p w14:paraId="52E26F9C" w14:textId="3E60316D" w:rsidR="00FC490F" w:rsidRPr="005C4A39" w:rsidRDefault="00794E7A" w:rsidP="005C4A39">
      <w:pPr>
        <w:pStyle w:val="NormalWeb"/>
        <w:numPr>
          <w:ilvl w:val="0"/>
          <w:numId w:val="39"/>
        </w:numPr>
        <w:spacing w:line="360" w:lineRule="auto"/>
        <w:rPr>
          <w:bCs/>
        </w:rPr>
      </w:pPr>
      <w:r w:rsidRPr="005C4A39">
        <w:rPr>
          <w:bCs/>
        </w:rPr>
        <w:t>It then improved to 0.96 in 2024, showing recovery in asset utilization.</w:t>
      </w:r>
    </w:p>
    <w:p w14:paraId="3E7B1874" w14:textId="6D46A5C0" w:rsidR="00794E7A" w:rsidRPr="005C4A39" w:rsidRDefault="00794E7A" w:rsidP="005C4A39">
      <w:pPr>
        <w:pStyle w:val="NormalWeb"/>
        <w:numPr>
          <w:ilvl w:val="0"/>
          <w:numId w:val="40"/>
        </w:numPr>
        <w:spacing w:line="360" w:lineRule="auto"/>
        <w:rPr>
          <w:bCs/>
        </w:rPr>
      </w:pPr>
      <w:r w:rsidRPr="005C4A39">
        <w:rPr>
          <w:bCs/>
        </w:rPr>
        <w:t>In 2022, the</w:t>
      </w:r>
      <w:r w:rsidR="00FC490F" w:rsidRPr="005C4A39">
        <w:rPr>
          <w:bCs/>
        </w:rPr>
        <w:t xml:space="preserve"> inventory turnover</w:t>
      </w:r>
      <w:r w:rsidRPr="005C4A39">
        <w:rPr>
          <w:bCs/>
        </w:rPr>
        <w:t xml:space="preserve"> ratio was 3.63, which means inventory was sold approximately 3.6 times a year.</w:t>
      </w:r>
    </w:p>
    <w:p w14:paraId="136601C5" w14:textId="77777777" w:rsidR="00794E7A" w:rsidRPr="005C4A39" w:rsidRDefault="00794E7A" w:rsidP="005C4A39">
      <w:pPr>
        <w:pStyle w:val="NormalWeb"/>
        <w:numPr>
          <w:ilvl w:val="0"/>
          <w:numId w:val="40"/>
        </w:numPr>
        <w:spacing w:line="360" w:lineRule="auto"/>
        <w:rPr>
          <w:bCs/>
        </w:rPr>
      </w:pPr>
      <w:r w:rsidRPr="005C4A39">
        <w:rPr>
          <w:bCs/>
        </w:rPr>
        <w:t>It increased to 4.37 in 2023, and slightly rose again to 4.43 in 2024.</w:t>
      </w:r>
    </w:p>
    <w:p w14:paraId="433B7BD1" w14:textId="280226C4" w:rsidR="00B853B8" w:rsidRPr="005C4A39" w:rsidRDefault="00B853B8" w:rsidP="00B853B8">
      <w:pPr>
        <w:rPr>
          <w:rFonts w:ascii="Times New Roman" w:eastAsia="Times New Roman" w:hAnsi="Times New Roman" w:cs="Times New Roman"/>
          <w:bCs/>
          <w:sz w:val="24"/>
          <w:szCs w:val="24"/>
        </w:rPr>
      </w:pPr>
    </w:p>
    <w:p w14:paraId="5C09D31F" w14:textId="26C77980" w:rsidR="00B853B8" w:rsidRPr="005C4A39" w:rsidRDefault="002E2C6A" w:rsidP="002B6999">
      <w:pPr>
        <w:pStyle w:val="Heading3"/>
        <w:numPr>
          <w:ilvl w:val="1"/>
          <w:numId w:val="50"/>
        </w:numPr>
        <w:rPr>
          <w:b w:val="0"/>
          <w:sz w:val="24"/>
          <w:szCs w:val="24"/>
        </w:rPr>
      </w:pPr>
      <w:r w:rsidRPr="005C4A39">
        <w:rPr>
          <w:sz w:val="24"/>
          <w:szCs w:val="24"/>
        </w:rPr>
        <w:t>Financial Leverage</w:t>
      </w:r>
      <w:r w:rsidR="00B853B8" w:rsidRPr="005C4A39">
        <w:rPr>
          <w:sz w:val="24"/>
          <w:szCs w:val="24"/>
        </w:rPr>
        <w:t xml:space="preserve"> </w:t>
      </w:r>
    </w:p>
    <w:p w14:paraId="31D1D506" w14:textId="77777777" w:rsidR="00B853B8" w:rsidRPr="005C4A39" w:rsidRDefault="00B853B8" w:rsidP="005C4A39">
      <w:pPr>
        <w:pStyle w:val="NormalWeb"/>
        <w:numPr>
          <w:ilvl w:val="0"/>
          <w:numId w:val="46"/>
        </w:numPr>
        <w:spacing w:line="360" w:lineRule="auto"/>
        <w:rPr>
          <w:bCs/>
        </w:rPr>
      </w:pPr>
      <w:r w:rsidRPr="005C4A39">
        <w:rPr>
          <w:bCs/>
        </w:rPr>
        <w:t>In 2022, the debt-to-equity ratio was 0.67, showing that for every Rs. 1 of equity, the company had Rs. 0.67 in debt.</w:t>
      </w:r>
    </w:p>
    <w:p w14:paraId="59E60DC3" w14:textId="77777777" w:rsidR="00B853B8" w:rsidRPr="005C4A39" w:rsidRDefault="00B853B8" w:rsidP="005C4A39">
      <w:pPr>
        <w:pStyle w:val="NormalWeb"/>
        <w:numPr>
          <w:ilvl w:val="0"/>
          <w:numId w:val="46"/>
        </w:numPr>
        <w:spacing w:line="360" w:lineRule="auto"/>
        <w:rPr>
          <w:bCs/>
        </w:rPr>
      </w:pPr>
      <w:r w:rsidRPr="005C4A39">
        <w:rPr>
          <w:bCs/>
        </w:rPr>
        <w:t>In 2023, the ratio declined to 0.56, indicating reduced dependence on debt.</w:t>
      </w:r>
    </w:p>
    <w:p w14:paraId="102610F4" w14:textId="2EF8C111" w:rsidR="00B853B8" w:rsidRPr="005C4A39" w:rsidRDefault="00B853B8" w:rsidP="005C4A39">
      <w:pPr>
        <w:pStyle w:val="NormalWeb"/>
        <w:numPr>
          <w:ilvl w:val="0"/>
          <w:numId w:val="46"/>
        </w:numPr>
        <w:spacing w:line="360" w:lineRule="auto"/>
        <w:rPr>
          <w:bCs/>
        </w:rPr>
      </w:pPr>
      <w:r w:rsidRPr="005C4A39">
        <w:rPr>
          <w:bCs/>
        </w:rPr>
        <w:t>By 2024, it further dropped to 0.54, reflecting a steady shift towards equity financing.</w:t>
      </w:r>
    </w:p>
    <w:p w14:paraId="1F6507AE" w14:textId="77777777" w:rsidR="00B853B8" w:rsidRPr="005C4A39" w:rsidRDefault="00B853B8" w:rsidP="005C4A39">
      <w:pPr>
        <w:pStyle w:val="NormalWeb"/>
        <w:numPr>
          <w:ilvl w:val="0"/>
          <w:numId w:val="47"/>
        </w:numPr>
        <w:spacing w:line="360" w:lineRule="auto"/>
        <w:rPr>
          <w:bCs/>
        </w:rPr>
      </w:pPr>
      <w:r w:rsidRPr="005C4A39">
        <w:rPr>
          <w:bCs/>
        </w:rPr>
        <w:t>In 2022, the interest coverage ratio stood at 6.56, meaning the company could cover its interest expense over six times.</w:t>
      </w:r>
    </w:p>
    <w:p w14:paraId="01E46A0B" w14:textId="77777777" w:rsidR="00B853B8" w:rsidRPr="005C4A39" w:rsidRDefault="00B853B8" w:rsidP="005C4A39">
      <w:pPr>
        <w:pStyle w:val="NormalWeb"/>
        <w:numPr>
          <w:ilvl w:val="0"/>
          <w:numId w:val="47"/>
        </w:numPr>
        <w:spacing w:line="360" w:lineRule="auto"/>
        <w:rPr>
          <w:bCs/>
        </w:rPr>
      </w:pPr>
      <w:r w:rsidRPr="005C4A39">
        <w:rPr>
          <w:bCs/>
        </w:rPr>
        <w:t>It slightly dipped to 5.87 in 2023, but remained in a safe range.</w:t>
      </w:r>
    </w:p>
    <w:p w14:paraId="043CB29C" w14:textId="468278F3" w:rsidR="00B853B8" w:rsidRPr="005C4A39" w:rsidRDefault="00B853B8" w:rsidP="005C4A39">
      <w:pPr>
        <w:pStyle w:val="NormalWeb"/>
        <w:numPr>
          <w:ilvl w:val="0"/>
          <w:numId w:val="47"/>
        </w:numPr>
        <w:spacing w:line="360" w:lineRule="auto"/>
        <w:rPr>
          <w:bCs/>
        </w:rPr>
      </w:pPr>
      <w:r w:rsidRPr="005C4A39">
        <w:rPr>
          <w:bCs/>
        </w:rPr>
        <w:t>In 2024, the ratio surged to 10.03, a significant improvement showing enhanced earnings and financial stability.</w:t>
      </w:r>
    </w:p>
    <w:p w14:paraId="63A14F5A" w14:textId="77777777" w:rsidR="00E80E56" w:rsidRPr="005C4A39" w:rsidRDefault="00E80E56" w:rsidP="00DC4188">
      <w:pPr>
        <w:pStyle w:val="NormalWeb"/>
        <w:rPr>
          <w:bCs/>
        </w:rPr>
      </w:pPr>
    </w:p>
    <w:p w14:paraId="3B78FF38" w14:textId="77777777" w:rsidR="00FC490F" w:rsidRPr="005C4A39" w:rsidRDefault="00794E7A" w:rsidP="002B6999">
      <w:pPr>
        <w:pStyle w:val="Heading3"/>
        <w:numPr>
          <w:ilvl w:val="1"/>
          <w:numId w:val="50"/>
        </w:numPr>
        <w:rPr>
          <w:sz w:val="24"/>
          <w:szCs w:val="24"/>
        </w:rPr>
      </w:pPr>
      <w:r w:rsidRPr="005C4A39">
        <w:rPr>
          <w:sz w:val="24"/>
          <w:szCs w:val="24"/>
        </w:rPr>
        <w:t>Market Performance</w:t>
      </w:r>
    </w:p>
    <w:p w14:paraId="34F5948F" w14:textId="77777777" w:rsidR="00794E7A" w:rsidRPr="005C4A39" w:rsidRDefault="00794E7A" w:rsidP="005C4A39">
      <w:pPr>
        <w:numPr>
          <w:ilvl w:val="0"/>
          <w:numId w:val="37"/>
        </w:numPr>
        <w:spacing w:before="100" w:beforeAutospacing="1" w:after="100" w:afterAutospacing="1" w:line="360" w:lineRule="auto"/>
        <w:rPr>
          <w:rFonts w:ascii="Times New Roman" w:eastAsia="Times New Roman" w:hAnsi="Times New Roman" w:cs="Times New Roman"/>
          <w:bCs/>
          <w:sz w:val="24"/>
          <w:szCs w:val="24"/>
        </w:rPr>
      </w:pPr>
      <w:r w:rsidRPr="005C4A39">
        <w:rPr>
          <w:rFonts w:ascii="Times New Roman" w:eastAsia="Times New Roman" w:hAnsi="Times New Roman" w:cs="Times New Roman"/>
          <w:bCs/>
          <w:sz w:val="24"/>
          <w:szCs w:val="24"/>
        </w:rPr>
        <w:t>In 2022, National Foods had a P/E ratio of 7.73.</w:t>
      </w:r>
    </w:p>
    <w:p w14:paraId="6751205A" w14:textId="77777777" w:rsidR="00FC490F" w:rsidRPr="005C4A39" w:rsidRDefault="00794E7A" w:rsidP="005C4A39">
      <w:pPr>
        <w:numPr>
          <w:ilvl w:val="0"/>
          <w:numId w:val="37"/>
        </w:numPr>
        <w:spacing w:before="100" w:beforeAutospacing="1" w:after="100" w:afterAutospacing="1" w:line="360" w:lineRule="auto"/>
        <w:rPr>
          <w:rFonts w:ascii="Times New Roman" w:eastAsia="Times New Roman" w:hAnsi="Times New Roman" w:cs="Times New Roman"/>
          <w:bCs/>
          <w:sz w:val="24"/>
          <w:szCs w:val="24"/>
        </w:rPr>
      </w:pPr>
      <w:r w:rsidRPr="005C4A39">
        <w:rPr>
          <w:rFonts w:ascii="Times New Roman" w:eastAsia="Times New Roman" w:hAnsi="Times New Roman" w:cs="Times New Roman"/>
          <w:bCs/>
          <w:sz w:val="24"/>
          <w:szCs w:val="24"/>
        </w:rPr>
        <w:t>It slightly decreased to 7.27 in 2023, then rose to 8.41 in 2024.</w:t>
      </w:r>
    </w:p>
    <w:p w14:paraId="7BFE43D3" w14:textId="709D8DAD" w:rsidR="00794E7A" w:rsidRPr="005C4A39" w:rsidRDefault="00794E7A" w:rsidP="005C4A39">
      <w:pPr>
        <w:numPr>
          <w:ilvl w:val="0"/>
          <w:numId w:val="37"/>
        </w:numPr>
        <w:spacing w:before="100" w:beforeAutospacing="1" w:after="100" w:afterAutospacing="1" w:line="360" w:lineRule="auto"/>
        <w:rPr>
          <w:rFonts w:ascii="Times New Roman" w:eastAsia="Times New Roman" w:hAnsi="Times New Roman" w:cs="Times New Roman"/>
          <w:bCs/>
          <w:sz w:val="24"/>
          <w:szCs w:val="24"/>
        </w:rPr>
      </w:pPr>
      <w:r w:rsidRPr="005C4A39">
        <w:rPr>
          <w:rFonts w:ascii="Times New Roman" w:eastAsia="Times New Roman" w:hAnsi="Times New Roman" w:cs="Times New Roman"/>
          <w:bCs/>
          <w:sz w:val="24"/>
          <w:szCs w:val="24"/>
        </w:rPr>
        <w:t>The P/B ratio was 0.93 in 2022, increased to 0.97 in 2023, and reached 1.01 in 2024.</w:t>
      </w:r>
    </w:p>
    <w:p w14:paraId="1CA7DBAC" w14:textId="23BD7720" w:rsidR="00D524E5" w:rsidRDefault="00D524E5" w:rsidP="00D524E5">
      <w:pPr>
        <w:pStyle w:val="NormalWeb"/>
        <w:rPr>
          <w:bCs/>
          <w:sz w:val="28"/>
          <w:szCs w:val="28"/>
        </w:rPr>
      </w:pPr>
    </w:p>
    <w:p w14:paraId="368FD91F" w14:textId="77777777" w:rsidR="002E2C6A" w:rsidRPr="003363D4" w:rsidRDefault="002E2C6A" w:rsidP="00D524E5">
      <w:pPr>
        <w:pStyle w:val="NormalWeb"/>
        <w:rPr>
          <w:bCs/>
          <w:sz w:val="28"/>
          <w:szCs w:val="28"/>
        </w:rPr>
      </w:pPr>
    </w:p>
    <w:p w14:paraId="00E3484D" w14:textId="64F2EA4A" w:rsidR="00D524E5" w:rsidRDefault="00D82220" w:rsidP="00D524E5">
      <w:pPr>
        <w:pStyle w:val="NormalWeb"/>
        <w:rPr>
          <w:bCs/>
          <w:sz w:val="28"/>
          <w:szCs w:val="28"/>
        </w:rPr>
      </w:pPr>
      <w:r>
        <w:rPr>
          <w:bCs/>
          <w:noProof/>
          <w:sz w:val="28"/>
          <w:szCs w:val="28"/>
        </w:rPr>
        <w:drawing>
          <wp:inline distT="0" distB="0" distL="0" distR="0" wp14:anchorId="53F1C4A3" wp14:editId="057C29A0">
            <wp:extent cx="5943600" cy="35661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5613138A" w14:textId="34E17C3C" w:rsidR="00F2153F" w:rsidRDefault="00F2153F" w:rsidP="00D524E5">
      <w:pPr>
        <w:pStyle w:val="NormalWeb"/>
        <w:rPr>
          <w:bCs/>
          <w:sz w:val="28"/>
          <w:szCs w:val="28"/>
        </w:rPr>
      </w:pPr>
    </w:p>
    <w:p w14:paraId="4967E13D" w14:textId="3138BA07" w:rsidR="00F2153F" w:rsidRDefault="00F2153F" w:rsidP="00D524E5">
      <w:pPr>
        <w:pStyle w:val="NormalWeb"/>
        <w:rPr>
          <w:bCs/>
          <w:sz w:val="28"/>
          <w:szCs w:val="28"/>
        </w:rPr>
      </w:pPr>
    </w:p>
    <w:p w14:paraId="6845625A" w14:textId="77777777" w:rsidR="00F2153F" w:rsidRDefault="00F2153F" w:rsidP="00D524E5">
      <w:pPr>
        <w:pStyle w:val="NormalWeb"/>
        <w:rPr>
          <w:bCs/>
          <w:sz w:val="28"/>
          <w:szCs w:val="28"/>
        </w:rPr>
      </w:pPr>
    </w:p>
    <w:p w14:paraId="7A581C05" w14:textId="77777777" w:rsidR="002E2C6A" w:rsidRPr="003363D4" w:rsidRDefault="002E2C6A" w:rsidP="00D524E5">
      <w:pPr>
        <w:pStyle w:val="NormalWeb"/>
        <w:rPr>
          <w:bCs/>
          <w:sz w:val="28"/>
          <w:szCs w:val="28"/>
        </w:rPr>
      </w:pPr>
    </w:p>
    <w:p w14:paraId="411A4F86" w14:textId="29698D1A" w:rsidR="00D524E5" w:rsidRPr="003363D4" w:rsidRDefault="00D524E5" w:rsidP="00D524E5">
      <w:pPr>
        <w:pStyle w:val="NormalWeb"/>
        <w:rPr>
          <w:bCs/>
          <w:sz w:val="28"/>
          <w:szCs w:val="28"/>
        </w:rPr>
      </w:pPr>
    </w:p>
    <w:p w14:paraId="5156F044" w14:textId="77777777" w:rsidR="00D524E5" w:rsidRDefault="00D524E5" w:rsidP="00D524E5">
      <w:pPr>
        <w:pStyle w:val="NormalWeb"/>
        <w:rPr>
          <w:bCs/>
          <w:sz w:val="28"/>
          <w:szCs w:val="28"/>
        </w:rPr>
      </w:pPr>
    </w:p>
    <w:p w14:paraId="058AF46E" w14:textId="77777777" w:rsidR="002B6999" w:rsidRDefault="002B6999" w:rsidP="00D524E5">
      <w:pPr>
        <w:pStyle w:val="NormalWeb"/>
        <w:rPr>
          <w:bCs/>
          <w:sz w:val="28"/>
          <w:szCs w:val="28"/>
        </w:rPr>
      </w:pPr>
    </w:p>
    <w:p w14:paraId="47A42DB4" w14:textId="77777777" w:rsidR="002B6999" w:rsidRPr="006B11B6" w:rsidRDefault="002B6999" w:rsidP="00D524E5">
      <w:pPr>
        <w:pStyle w:val="NormalWeb"/>
        <w:rPr>
          <w:bCs/>
          <w:sz w:val="28"/>
          <w:szCs w:val="28"/>
        </w:rPr>
      </w:pPr>
    </w:p>
    <w:p w14:paraId="392F18D7" w14:textId="0D25D50E" w:rsidR="00DC4188" w:rsidRPr="006B11B6" w:rsidRDefault="00DC4188" w:rsidP="002B6999">
      <w:pPr>
        <w:pStyle w:val="Heading2"/>
        <w:numPr>
          <w:ilvl w:val="0"/>
          <w:numId w:val="50"/>
        </w:numPr>
        <w:rPr>
          <w:rStyle w:val="Strong"/>
          <w:rFonts w:ascii="Times New Roman" w:hAnsi="Times New Roman" w:cs="Times New Roman"/>
          <w:sz w:val="28"/>
          <w:szCs w:val="28"/>
        </w:rPr>
      </w:pPr>
      <w:r w:rsidRPr="006B11B6">
        <w:rPr>
          <w:rStyle w:val="Strong"/>
          <w:rFonts w:ascii="Times New Roman" w:hAnsi="Times New Roman" w:cs="Times New Roman"/>
          <w:bCs w:val="0"/>
          <w:color w:val="auto"/>
          <w:sz w:val="28"/>
          <w:szCs w:val="28"/>
        </w:rPr>
        <w:lastRenderedPageBreak/>
        <w:t>. Conclusion &amp; Investment Decision</w:t>
      </w:r>
    </w:p>
    <w:p w14:paraId="6BEB13F4" w14:textId="77777777" w:rsidR="00962584" w:rsidRDefault="00F2153F" w:rsidP="009E47A5">
      <w:pPr>
        <w:pStyle w:val="NormalWeb"/>
        <w:spacing w:line="360" w:lineRule="auto"/>
        <w:ind w:firstLine="360"/>
        <w:rPr>
          <w:bCs/>
        </w:rPr>
      </w:pPr>
      <w:r w:rsidRPr="00F2153F">
        <w:rPr>
          <w:bCs/>
        </w:rPr>
        <w:t>From 2022 to 2024, National Foods Ltd. showed consistent growth and strong financial performance. The company’s liquidity ratios, including current and quick ratios, stayed above 1, meaning it had enough assets to meet short-term obligations comfortably. Its profitability improved, with both gross and net profit margins increasing steadily. The company demonstrated efficient use of resources, as reflected in its high return on assets (ROA) and return on equity (ROE), which also contributed to solid returns for shareholders. Net income grew consistently, indicating that the company's core business operations were strong. The company also reduced its financial risk by lowering its debt-to-equity ratio and increasing its interest coverage ratio, signaling a safer, more stable capital structure. Efficiency ratios, such as asset turnover and inventory turnover, showed that the company was effectively managing its resources to generate revenue. From a market perspective, the price-to-earnings (P/E) and price-to-book (P/B) ratios suggest that the company is fairly valued, with potential for future growth as earnings continue to rise. This reflects strong investor confidence in its future prospects. National Foods’ strong brand, efficient operations, and solid financial health make it an attractive long-term investment. While market conditions and economic factors should be kept in mind, the company’s fundamentals offer a favorable outlook. A careful but optimistic approach to investing in National Foods Ltd. is recommended.</w:t>
      </w:r>
    </w:p>
    <w:p w14:paraId="4A1C6E30" w14:textId="77777777" w:rsidR="00962584" w:rsidRDefault="00962584" w:rsidP="00962584">
      <w:pPr>
        <w:pStyle w:val="NormalWeb"/>
        <w:spacing w:line="360" w:lineRule="auto"/>
        <w:rPr>
          <w:bCs/>
        </w:rPr>
      </w:pPr>
    </w:p>
    <w:p w14:paraId="757D6BE2" w14:textId="77777777" w:rsidR="002B6999" w:rsidRDefault="002B6999" w:rsidP="00962584">
      <w:pPr>
        <w:pStyle w:val="NormalWeb"/>
        <w:spacing w:line="360" w:lineRule="auto"/>
        <w:rPr>
          <w:rStyle w:val="Strong"/>
          <w:bCs w:val="0"/>
          <w:sz w:val="28"/>
          <w:szCs w:val="28"/>
        </w:rPr>
      </w:pPr>
    </w:p>
    <w:p w14:paraId="1A0FE7BE" w14:textId="77777777" w:rsidR="002B6999" w:rsidRDefault="002B6999" w:rsidP="00962584">
      <w:pPr>
        <w:pStyle w:val="NormalWeb"/>
        <w:spacing w:line="360" w:lineRule="auto"/>
        <w:rPr>
          <w:rStyle w:val="Strong"/>
          <w:bCs w:val="0"/>
          <w:sz w:val="28"/>
          <w:szCs w:val="28"/>
        </w:rPr>
      </w:pPr>
    </w:p>
    <w:p w14:paraId="232B7518" w14:textId="77777777" w:rsidR="002B6999" w:rsidRDefault="002B6999" w:rsidP="00962584">
      <w:pPr>
        <w:pStyle w:val="NormalWeb"/>
        <w:spacing w:line="360" w:lineRule="auto"/>
        <w:rPr>
          <w:rStyle w:val="Strong"/>
          <w:bCs w:val="0"/>
          <w:sz w:val="28"/>
          <w:szCs w:val="28"/>
        </w:rPr>
      </w:pPr>
    </w:p>
    <w:p w14:paraId="5E314A80" w14:textId="77777777" w:rsidR="002B6999" w:rsidRDefault="002B6999" w:rsidP="00962584">
      <w:pPr>
        <w:pStyle w:val="NormalWeb"/>
        <w:spacing w:line="360" w:lineRule="auto"/>
        <w:rPr>
          <w:rStyle w:val="Strong"/>
          <w:bCs w:val="0"/>
          <w:sz w:val="28"/>
          <w:szCs w:val="28"/>
        </w:rPr>
      </w:pPr>
    </w:p>
    <w:p w14:paraId="46784F4F" w14:textId="77777777" w:rsidR="002B6999" w:rsidRDefault="002B6999" w:rsidP="00962584">
      <w:pPr>
        <w:pStyle w:val="NormalWeb"/>
        <w:spacing w:line="360" w:lineRule="auto"/>
        <w:rPr>
          <w:rStyle w:val="Strong"/>
          <w:bCs w:val="0"/>
          <w:sz w:val="28"/>
          <w:szCs w:val="28"/>
        </w:rPr>
      </w:pPr>
    </w:p>
    <w:p w14:paraId="58291664" w14:textId="77777777" w:rsidR="002B6999" w:rsidRDefault="002B6999" w:rsidP="00962584">
      <w:pPr>
        <w:pStyle w:val="NormalWeb"/>
        <w:spacing w:line="360" w:lineRule="auto"/>
        <w:rPr>
          <w:rStyle w:val="Strong"/>
          <w:bCs w:val="0"/>
          <w:sz w:val="28"/>
          <w:szCs w:val="28"/>
        </w:rPr>
      </w:pPr>
    </w:p>
    <w:p w14:paraId="25B6D0CF" w14:textId="2AAD5F2D" w:rsidR="00DC4188" w:rsidRPr="00962584" w:rsidRDefault="00DC4188" w:rsidP="00962584">
      <w:pPr>
        <w:pStyle w:val="NormalWeb"/>
        <w:spacing w:line="360" w:lineRule="auto"/>
        <w:rPr>
          <w:rStyle w:val="Strong"/>
          <w:b w:val="0"/>
        </w:rPr>
      </w:pPr>
      <w:r w:rsidRPr="006B11B6">
        <w:rPr>
          <w:rStyle w:val="Strong"/>
          <w:bCs w:val="0"/>
          <w:sz w:val="28"/>
          <w:szCs w:val="28"/>
        </w:rPr>
        <w:lastRenderedPageBreak/>
        <w:t>References</w:t>
      </w:r>
    </w:p>
    <w:p w14:paraId="71755915" w14:textId="0A47B8A9" w:rsidR="00DC4188" w:rsidRPr="005C4A39" w:rsidRDefault="00DC4188" w:rsidP="005C4A39">
      <w:pPr>
        <w:pStyle w:val="NormalWeb"/>
        <w:numPr>
          <w:ilvl w:val="0"/>
          <w:numId w:val="19"/>
        </w:numPr>
        <w:spacing w:line="360" w:lineRule="auto"/>
        <w:rPr>
          <w:bCs/>
        </w:rPr>
      </w:pPr>
      <w:r w:rsidRPr="005C4A39">
        <w:rPr>
          <w:bCs/>
        </w:rPr>
        <w:t>National Foods Financial Reports</w:t>
      </w:r>
    </w:p>
    <w:p w14:paraId="159AD94D" w14:textId="77777777" w:rsidR="002E2C6A" w:rsidRPr="005C4A39" w:rsidRDefault="002E2C6A" w:rsidP="005C4A39">
      <w:pPr>
        <w:pStyle w:val="NormalWeb"/>
        <w:numPr>
          <w:ilvl w:val="0"/>
          <w:numId w:val="19"/>
        </w:numPr>
        <w:spacing w:line="360" w:lineRule="auto"/>
        <w:rPr>
          <w:bCs/>
        </w:rPr>
      </w:pPr>
      <w:r w:rsidRPr="005C4A39">
        <w:rPr>
          <w:bCs/>
        </w:rPr>
        <w:t>Pakistan Stock Exchange</w:t>
      </w:r>
    </w:p>
    <w:p w14:paraId="1AF732D2" w14:textId="240644BA" w:rsidR="001F5F9F" w:rsidRDefault="002E2C6A" w:rsidP="005C4A39">
      <w:pPr>
        <w:pStyle w:val="NormalWeb"/>
        <w:numPr>
          <w:ilvl w:val="0"/>
          <w:numId w:val="19"/>
        </w:numPr>
        <w:spacing w:line="360" w:lineRule="auto"/>
        <w:rPr>
          <w:bCs/>
        </w:rPr>
      </w:pPr>
      <w:r w:rsidRPr="005C4A39">
        <w:rPr>
          <w:bCs/>
        </w:rPr>
        <w:t>s</w:t>
      </w:r>
      <w:r w:rsidR="001F5F9F" w:rsidRPr="005C4A39">
        <w:rPr>
          <w:bCs/>
        </w:rPr>
        <w:t>armayaa.pk</w:t>
      </w:r>
    </w:p>
    <w:p w14:paraId="6BC42747" w14:textId="783CF927" w:rsidR="00544D42" w:rsidRDefault="007363D2" w:rsidP="007363D2">
      <w:pPr>
        <w:pStyle w:val="NormalWeb"/>
        <w:numPr>
          <w:ilvl w:val="0"/>
          <w:numId w:val="19"/>
        </w:numPr>
        <w:spacing w:line="360" w:lineRule="auto"/>
      </w:pPr>
      <w:r w:rsidRPr="007363D2">
        <w:t xml:space="preserve">Ahmed, S., Qureshi, M. A.: Financial performance evaluation of food sector firms listed on PSX: A case study of National Foods, </w:t>
      </w:r>
      <w:r w:rsidRPr="007363D2">
        <w:rPr>
          <w:rStyle w:val="Emphasis"/>
        </w:rPr>
        <w:t>Pakistan Journal of Commerce and Social Sciences</w:t>
      </w:r>
      <w:r w:rsidRPr="007363D2">
        <w:t xml:space="preserve">, </w:t>
      </w:r>
      <w:r w:rsidRPr="007363D2">
        <w:rPr>
          <w:rStyle w:val="Strong"/>
          <w:b w:val="0"/>
          <w:bCs w:val="0"/>
        </w:rPr>
        <w:t>14 (2) (2020)</w:t>
      </w:r>
      <w:r w:rsidRPr="007363D2">
        <w:rPr>
          <w:b/>
          <w:bCs/>
        </w:rPr>
        <w:t>,</w:t>
      </w:r>
      <w:r w:rsidRPr="007363D2">
        <w:t xml:space="preserve"> 301–315.</w:t>
      </w:r>
    </w:p>
    <w:p w14:paraId="562F38FD" w14:textId="4F7C88BA" w:rsidR="007363D2" w:rsidRPr="007363D2" w:rsidRDefault="007363D2" w:rsidP="007363D2">
      <w:pPr>
        <w:pStyle w:val="NormalWeb"/>
        <w:numPr>
          <w:ilvl w:val="0"/>
          <w:numId w:val="19"/>
        </w:numPr>
        <w:spacing w:line="360" w:lineRule="auto"/>
        <w:rPr>
          <w:bCs/>
        </w:rPr>
      </w:pPr>
      <w:r w:rsidRPr="005C4A39">
        <w:rPr>
          <w:bCs/>
        </w:rPr>
        <w:t>Financial Analysis Textbooks &amp; Online Sources</w:t>
      </w:r>
    </w:p>
    <w:sectPr w:rsidR="007363D2" w:rsidRPr="007363D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EF838" w14:textId="77777777" w:rsidR="00AC2BFC" w:rsidRDefault="00AC2BFC" w:rsidP="00A30B56">
      <w:pPr>
        <w:spacing w:after="0" w:line="240" w:lineRule="auto"/>
      </w:pPr>
      <w:r>
        <w:separator/>
      </w:r>
    </w:p>
  </w:endnote>
  <w:endnote w:type="continuationSeparator" w:id="0">
    <w:p w14:paraId="47D639C9" w14:textId="77777777" w:rsidR="00AC2BFC" w:rsidRDefault="00AC2BFC" w:rsidP="00A30B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D5AF4" w14:textId="77777777" w:rsidR="00A30B56" w:rsidRDefault="00A30B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FA8EB" w14:textId="77777777" w:rsidR="00AC2BFC" w:rsidRDefault="00AC2BFC" w:rsidP="00A30B56">
      <w:pPr>
        <w:spacing w:after="0" w:line="240" w:lineRule="auto"/>
      </w:pPr>
      <w:r>
        <w:separator/>
      </w:r>
    </w:p>
  </w:footnote>
  <w:footnote w:type="continuationSeparator" w:id="0">
    <w:p w14:paraId="375CC969" w14:textId="77777777" w:rsidR="00AC2BFC" w:rsidRDefault="00AC2BFC" w:rsidP="00A30B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423" style="width:0;height:1.5pt" o:hralign="center" o:bullet="t" o:hrstd="t" o:hr="t" fillcolor="#a0a0a0" stroked="f"/>
    </w:pict>
  </w:numPicBullet>
  <w:numPicBullet w:numPicBulletId="1">
    <w:pict>
      <v:rect id="_x0000_i1424" style="width:0;height:1.5pt" o:hralign="center" o:bullet="t" o:hrstd="t" o:hr="t" fillcolor="#a0a0a0" stroked="f"/>
    </w:pict>
  </w:numPicBullet>
  <w:abstractNum w:abstractNumId="0" w15:restartNumberingAfterBreak="0">
    <w:nsid w:val="016E0F37"/>
    <w:multiLevelType w:val="multilevel"/>
    <w:tmpl w:val="DE12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4726F"/>
    <w:multiLevelType w:val="multilevel"/>
    <w:tmpl w:val="DCCE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D0226"/>
    <w:multiLevelType w:val="multilevel"/>
    <w:tmpl w:val="4CD0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A24E2"/>
    <w:multiLevelType w:val="multilevel"/>
    <w:tmpl w:val="7200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83BDA"/>
    <w:multiLevelType w:val="multilevel"/>
    <w:tmpl w:val="8FBA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654BD"/>
    <w:multiLevelType w:val="multilevel"/>
    <w:tmpl w:val="287C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46367B"/>
    <w:multiLevelType w:val="multilevel"/>
    <w:tmpl w:val="9E96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7347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1D24AEF"/>
    <w:multiLevelType w:val="multilevel"/>
    <w:tmpl w:val="E44A7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AC509D"/>
    <w:multiLevelType w:val="multilevel"/>
    <w:tmpl w:val="9A20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325B6E"/>
    <w:multiLevelType w:val="multilevel"/>
    <w:tmpl w:val="89CA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7627A7"/>
    <w:multiLevelType w:val="multilevel"/>
    <w:tmpl w:val="EB86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547521"/>
    <w:multiLevelType w:val="multilevel"/>
    <w:tmpl w:val="A33E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5F0B7D"/>
    <w:multiLevelType w:val="multilevel"/>
    <w:tmpl w:val="D8E4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4A391B"/>
    <w:multiLevelType w:val="multilevel"/>
    <w:tmpl w:val="E7A8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F3788A"/>
    <w:multiLevelType w:val="multilevel"/>
    <w:tmpl w:val="3DB6E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1E39BB"/>
    <w:multiLevelType w:val="multilevel"/>
    <w:tmpl w:val="D3E0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B721FF"/>
    <w:multiLevelType w:val="multilevel"/>
    <w:tmpl w:val="DC80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51297A"/>
    <w:multiLevelType w:val="multilevel"/>
    <w:tmpl w:val="BF68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1564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0961E1F"/>
    <w:multiLevelType w:val="multilevel"/>
    <w:tmpl w:val="86B2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39524A"/>
    <w:multiLevelType w:val="multilevel"/>
    <w:tmpl w:val="3716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E16A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7F31FCD"/>
    <w:multiLevelType w:val="multilevel"/>
    <w:tmpl w:val="677C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FB01DA"/>
    <w:multiLevelType w:val="multilevel"/>
    <w:tmpl w:val="7A90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C061BC"/>
    <w:multiLevelType w:val="multilevel"/>
    <w:tmpl w:val="8A46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FD6F4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42433C45"/>
    <w:multiLevelType w:val="multilevel"/>
    <w:tmpl w:val="E75A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5760BA"/>
    <w:multiLevelType w:val="multilevel"/>
    <w:tmpl w:val="2EFC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BD02A1"/>
    <w:multiLevelType w:val="multilevel"/>
    <w:tmpl w:val="09DC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35647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C6438DB"/>
    <w:multiLevelType w:val="multilevel"/>
    <w:tmpl w:val="B892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EF11A2"/>
    <w:multiLevelType w:val="multilevel"/>
    <w:tmpl w:val="4B90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AB3357"/>
    <w:multiLevelType w:val="multilevel"/>
    <w:tmpl w:val="0409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34" w15:restartNumberingAfterBreak="0">
    <w:nsid w:val="5F5B778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0143451"/>
    <w:multiLevelType w:val="multilevel"/>
    <w:tmpl w:val="7738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560F22"/>
    <w:multiLevelType w:val="multilevel"/>
    <w:tmpl w:val="8240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9A3F5C"/>
    <w:multiLevelType w:val="multilevel"/>
    <w:tmpl w:val="F370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6876C7"/>
    <w:multiLevelType w:val="multilevel"/>
    <w:tmpl w:val="02D89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929252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6B9A4CAE"/>
    <w:multiLevelType w:val="multilevel"/>
    <w:tmpl w:val="E3C2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677495"/>
    <w:multiLevelType w:val="multilevel"/>
    <w:tmpl w:val="7A0A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6315E3"/>
    <w:multiLevelType w:val="multilevel"/>
    <w:tmpl w:val="C054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F95D1F"/>
    <w:multiLevelType w:val="multilevel"/>
    <w:tmpl w:val="8198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213E1E"/>
    <w:multiLevelType w:val="multilevel"/>
    <w:tmpl w:val="7064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CD4C04"/>
    <w:multiLevelType w:val="multilevel"/>
    <w:tmpl w:val="1B3E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6A64D7"/>
    <w:multiLevelType w:val="multilevel"/>
    <w:tmpl w:val="A868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7C1963"/>
    <w:multiLevelType w:val="multilevel"/>
    <w:tmpl w:val="3D00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1F710C"/>
    <w:multiLevelType w:val="multilevel"/>
    <w:tmpl w:val="57F0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BD16EF"/>
    <w:multiLevelType w:val="multilevel"/>
    <w:tmpl w:val="EFA0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805F92"/>
    <w:multiLevelType w:val="multilevel"/>
    <w:tmpl w:val="5268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991061"/>
    <w:multiLevelType w:val="multilevel"/>
    <w:tmpl w:val="19D6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C16EAF"/>
    <w:multiLevelType w:val="hybridMultilevel"/>
    <w:tmpl w:val="3FF29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F662E44"/>
    <w:multiLevelType w:val="multilevel"/>
    <w:tmpl w:val="287E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0656645">
    <w:abstractNumId w:val="8"/>
  </w:num>
  <w:num w:numId="2" w16cid:durableId="1392850881">
    <w:abstractNumId w:val="15"/>
  </w:num>
  <w:num w:numId="3" w16cid:durableId="288781697">
    <w:abstractNumId w:val="36"/>
  </w:num>
  <w:num w:numId="4" w16cid:durableId="1054502979">
    <w:abstractNumId w:val="7"/>
  </w:num>
  <w:num w:numId="5" w16cid:durableId="1330250109">
    <w:abstractNumId w:val="17"/>
  </w:num>
  <w:num w:numId="6" w16cid:durableId="1971595161">
    <w:abstractNumId w:val="0"/>
  </w:num>
  <w:num w:numId="7" w16cid:durableId="1700811459">
    <w:abstractNumId w:val="28"/>
  </w:num>
  <w:num w:numId="8" w16cid:durableId="2143813940">
    <w:abstractNumId w:val="12"/>
  </w:num>
  <w:num w:numId="9" w16cid:durableId="142310491">
    <w:abstractNumId w:val="24"/>
  </w:num>
  <w:num w:numId="10" w16cid:durableId="1715739358">
    <w:abstractNumId w:val="47"/>
  </w:num>
  <w:num w:numId="11" w16cid:durableId="168376887">
    <w:abstractNumId w:val="49"/>
  </w:num>
  <w:num w:numId="12" w16cid:durableId="1078021679">
    <w:abstractNumId w:val="29"/>
  </w:num>
  <w:num w:numId="13" w16cid:durableId="1312322815">
    <w:abstractNumId w:val="10"/>
  </w:num>
  <w:num w:numId="14" w16cid:durableId="1825732304">
    <w:abstractNumId w:val="18"/>
  </w:num>
  <w:num w:numId="15" w16cid:durableId="1078943287">
    <w:abstractNumId w:val="9"/>
  </w:num>
  <w:num w:numId="16" w16cid:durableId="1181578795">
    <w:abstractNumId w:val="11"/>
  </w:num>
  <w:num w:numId="17" w16cid:durableId="877665223">
    <w:abstractNumId w:val="41"/>
  </w:num>
  <w:num w:numId="18" w16cid:durableId="438524765">
    <w:abstractNumId w:val="3"/>
  </w:num>
  <w:num w:numId="19" w16cid:durableId="1426613993">
    <w:abstractNumId w:val="33"/>
  </w:num>
  <w:num w:numId="20" w16cid:durableId="1731341132">
    <w:abstractNumId w:val="43"/>
  </w:num>
  <w:num w:numId="21" w16cid:durableId="697315695">
    <w:abstractNumId w:val="23"/>
  </w:num>
  <w:num w:numId="22" w16cid:durableId="2115981034">
    <w:abstractNumId w:val="44"/>
  </w:num>
  <w:num w:numId="23" w16cid:durableId="1495300036">
    <w:abstractNumId w:val="46"/>
  </w:num>
  <w:num w:numId="24" w16cid:durableId="1770003380">
    <w:abstractNumId w:val="25"/>
  </w:num>
  <w:num w:numId="25" w16cid:durableId="534075385">
    <w:abstractNumId w:val="13"/>
  </w:num>
  <w:num w:numId="26" w16cid:durableId="536312613">
    <w:abstractNumId w:val="1"/>
  </w:num>
  <w:num w:numId="27" w16cid:durableId="174926332">
    <w:abstractNumId w:val="51"/>
  </w:num>
  <w:num w:numId="28" w16cid:durableId="1092160655">
    <w:abstractNumId w:val="20"/>
  </w:num>
  <w:num w:numId="29" w16cid:durableId="1011250846">
    <w:abstractNumId w:val="27"/>
  </w:num>
  <w:num w:numId="30" w16cid:durableId="419909768">
    <w:abstractNumId w:val="32"/>
  </w:num>
  <w:num w:numId="31" w16cid:durableId="107697207">
    <w:abstractNumId w:val="38"/>
  </w:num>
  <w:num w:numId="32" w16cid:durableId="729382118">
    <w:abstractNumId w:val="52"/>
  </w:num>
  <w:num w:numId="33" w16cid:durableId="86512095">
    <w:abstractNumId w:val="53"/>
  </w:num>
  <w:num w:numId="34" w16cid:durableId="624315938">
    <w:abstractNumId w:val="5"/>
  </w:num>
  <w:num w:numId="35" w16cid:durableId="1558392771">
    <w:abstractNumId w:val="16"/>
  </w:num>
  <w:num w:numId="36" w16cid:durableId="1603798559">
    <w:abstractNumId w:val="40"/>
  </w:num>
  <w:num w:numId="37" w16cid:durableId="660351469">
    <w:abstractNumId w:val="2"/>
  </w:num>
  <w:num w:numId="38" w16cid:durableId="16539479">
    <w:abstractNumId w:val="6"/>
  </w:num>
  <w:num w:numId="39" w16cid:durableId="282688929">
    <w:abstractNumId w:val="35"/>
  </w:num>
  <w:num w:numId="40" w16cid:durableId="17199431">
    <w:abstractNumId w:val="50"/>
  </w:num>
  <w:num w:numId="41" w16cid:durableId="1241518937">
    <w:abstractNumId w:val="14"/>
  </w:num>
  <w:num w:numId="42" w16cid:durableId="199511078">
    <w:abstractNumId w:val="45"/>
  </w:num>
  <w:num w:numId="43" w16cid:durableId="730422798">
    <w:abstractNumId w:val="21"/>
  </w:num>
  <w:num w:numId="44" w16cid:durableId="338122936">
    <w:abstractNumId w:val="48"/>
  </w:num>
  <w:num w:numId="45" w16cid:durableId="994383471">
    <w:abstractNumId w:val="42"/>
  </w:num>
  <w:num w:numId="46" w16cid:durableId="677660374">
    <w:abstractNumId w:val="37"/>
  </w:num>
  <w:num w:numId="47" w16cid:durableId="2040085958">
    <w:abstractNumId w:val="4"/>
  </w:num>
  <w:num w:numId="48" w16cid:durableId="1073549625">
    <w:abstractNumId w:val="26"/>
  </w:num>
  <w:num w:numId="49" w16cid:durableId="181284448">
    <w:abstractNumId w:val="31"/>
  </w:num>
  <w:num w:numId="50" w16cid:durableId="2130393697">
    <w:abstractNumId w:val="39"/>
  </w:num>
  <w:num w:numId="51" w16cid:durableId="849829015">
    <w:abstractNumId w:val="34"/>
  </w:num>
  <w:num w:numId="52" w16cid:durableId="735859985">
    <w:abstractNumId w:val="22"/>
  </w:num>
  <w:num w:numId="53" w16cid:durableId="1939832184">
    <w:abstractNumId w:val="19"/>
  </w:num>
  <w:num w:numId="54" w16cid:durableId="157682095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188"/>
    <w:rsid w:val="000D1AEE"/>
    <w:rsid w:val="00105609"/>
    <w:rsid w:val="00184403"/>
    <w:rsid w:val="00193D24"/>
    <w:rsid w:val="001B6B16"/>
    <w:rsid w:val="001F5F9F"/>
    <w:rsid w:val="002243F2"/>
    <w:rsid w:val="00255FDB"/>
    <w:rsid w:val="002A211A"/>
    <w:rsid w:val="002B6999"/>
    <w:rsid w:val="002D2EB2"/>
    <w:rsid w:val="002E2C6A"/>
    <w:rsid w:val="003363D4"/>
    <w:rsid w:val="00345C76"/>
    <w:rsid w:val="00361393"/>
    <w:rsid w:val="003828B6"/>
    <w:rsid w:val="00395080"/>
    <w:rsid w:val="003A5FBD"/>
    <w:rsid w:val="004F5A8C"/>
    <w:rsid w:val="00544D42"/>
    <w:rsid w:val="005A3FE2"/>
    <w:rsid w:val="005C4A39"/>
    <w:rsid w:val="005D18EA"/>
    <w:rsid w:val="005F1B20"/>
    <w:rsid w:val="006346E5"/>
    <w:rsid w:val="00651AB5"/>
    <w:rsid w:val="00684C29"/>
    <w:rsid w:val="006B11B6"/>
    <w:rsid w:val="007363D2"/>
    <w:rsid w:val="00794E7A"/>
    <w:rsid w:val="007F03AD"/>
    <w:rsid w:val="00863F49"/>
    <w:rsid w:val="00874EA4"/>
    <w:rsid w:val="00913006"/>
    <w:rsid w:val="00962584"/>
    <w:rsid w:val="009961F7"/>
    <w:rsid w:val="009E47A5"/>
    <w:rsid w:val="00A30B56"/>
    <w:rsid w:val="00AC2BFC"/>
    <w:rsid w:val="00AF59C2"/>
    <w:rsid w:val="00AF7EDF"/>
    <w:rsid w:val="00B853B8"/>
    <w:rsid w:val="00C32CA5"/>
    <w:rsid w:val="00C333EB"/>
    <w:rsid w:val="00C4392F"/>
    <w:rsid w:val="00D524E5"/>
    <w:rsid w:val="00D82220"/>
    <w:rsid w:val="00DC4188"/>
    <w:rsid w:val="00E376B8"/>
    <w:rsid w:val="00E80E56"/>
    <w:rsid w:val="00F2153F"/>
    <w:rsid w:val="00F85A10"/>
    <w:rsid w:val="00FA0A30"/>
    <w:rsid w:val="00FC490F"/>
    <w:rsid w:val="00FD3E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E6835"/>
  <w15:chartTrackingRefBased/>
  <w15:docId w15:val="{8EBFDD68-3D7D-408C-B9A1-0C016C811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DC418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C418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F85A1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C4188"/>
    <w:rPr>
      <w:rFonts w:ascii="Times New Roman" w:eastAsia="Times New Roman" w:hAnsi="Times New Roman" w:cs="Times New Roman"/>
      <w:b/>
      <w:bCs/>
      <w:sz w:val="27"/>
      <w:szCs w:val="27"/>
    </w:rPr>
  </w:style>
  <w:style w:type="paragraph" w:styleId="NormalWeb">
    <w:name w:val="Normal (Web)"/>
    <w:basedOn w:val="Normal"/>
    <w:uiPriority w:val="99"/>
    <w:unhideWhenUsed/>
    <w:rsid w:val="00DC418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C4188"/>
    <w:rPr>
      <w:b/>
      <w:bCs/>
    </w:rPr>
  </w:style>
  <w:style w:type="character" w:customStyle="1" w:styleId="Heading2Char">
    <w:name w:val="Heading 2 Char"/>
    <w:basedOn w:val="DefaultParagraphFont"/>
    <w:link w:val="Heading2"/>
    <w:uiPriority w:val="9"/>
    <w:rsid w:val="00DC4188"/>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DC4188"/>
    <w:rPr>
      <w:i/>
      <w:iCs/>
    </w:rPr>
  </w:style>
  <w:style w:type="character" w:customStyle="1" w:styleId="Heading4Char">
    <w:name w:val="Heading 4 Char"/>
    <w:basedOn w:val="DefaultParagraphFont"/>
    <w:link w:val="Heading4"/>
    <w:uiPriority w:val="9"/>
    <w:rsid w:val="00F85A10"/>
    <w:rPr>
      <w:rFonts w:asciiTheme="majorHAnsi" w:eastAsiaTheme="majorEastAsia" w:hAnsiTheme="majorHAnsi" w:cstheme="majorBidi"/>
      <w:i/>
      <w:iCs/>
      <w:color w:val="2F5496" w:themeColor="accent1" w:themeShade="BF"/>
    </w:rPr>
  </w:style>
  <w:style w:type="character" w:customStyle="1" w:styleId="katex-mathml">
    <w:name w:val="katex-mathml"/>
    <w:basedOn w:val="DefaultParagraphFont"/>
    <w:rsid w:val="00AF7EDF"/>
  </w:style>
  <w:style w:type="character" w:customStyle="1" w:styleId="mord">
    <w:name w:val="mord"/>
    <w:basedOn w:val="DefaultParagraphFont"/>
    <w:rsid w:val="00AF7EDF"/>
  </w:style>
  <w:style w:type="character" w:customStyle="1" w:styleId="mrel">
    <w:name w:val="mrel"/>
    <w:basedOn w:val="DefaultParagraphFont"/>
    <w:rsid w:val="00AF7EDF"/>
  </w:style>
  <w:style w:type="character" w:customStyle="1" w:styleId="mbin">
    <w:name w:val="mbin"/>
    <w:basedOn w:val="DefaultParagraphFont"/>
    <w:rsid w:val="00AF7EDF"/>
  </w:style>
  <w:style w:type="character" w:customStyle="1" w:styleId="mopen">
    <w:name w:val="mopen"/>
    <w:basedOn w:val="DefaultParagraphFont"/>
    <w:rsid w:val="00AF7EDF"/>
  </w:style>
  <w:style w:type="character" w:customStyle="1" w:styleId="mclose">
    <w:name w:val="mclose"/>
    <w:basedOn w:val="DefaultParagraphFont"/>
    <w:rsid w:val="00AF7EDF"/>
  </w:style>
  <w:style w:type="paragraph" w:styleId="ListParagraph">
    <w:name w:val="List Paragraph"/>
    <w:basedOn w:val="Normal"/>
    <w:uiPriority w:val="34"/>
    <w:qFormat/>
    <w:rsid w:val="00863F49"/>
    <w:pPr>
      <w:ind w:left="720"/>
      <w:contextualSpacing/>
    </w:pPr>
  </w:style>
  <w:style w:type="character" w:styleId="Hyperlink">
    <w:name w:val="Hyperlink"/>
    <w:basedOn w:val="DefaultParagraphFont"/>
    <w:uiPriority w:val="99"/>
    <w:unhideWhenUsed/>
    <w:rsid w:val="002D2EB2"/>
    <w:rPr>
      <w:color w:val="0563C1" w:themeColor="hyperlink"/>
      <w:u w:val="single"/>
    </w:rPr>
  </w:style>
  <w:style w:type="character" w:styleId="UnresolvedMention">
    <w:name w:val="Unresolved Mention"/>
    <w:basedOn w:val="DefaultParagraphFont"/>
    <w:uiPriority w:val="99"/>
    <w:semiHidden/>
    <w:unhideWhenUsed/>
    <w:rsid w:val="002D2EB2"/>
    <w:rPr>
      <w:color w:val="605E5C"/>
      <w:shd w:val="clear" w:color="auto" w:fill="E1DFDD"/>
    </w:rPr>
  </w:style>
  <w:style w:type="character" w:customStyle="1" w:styleId="overflow-hidden">
    <w:name w:val="overflow-hidden"/>
    <w:basedOn w:val="DefaultParagraphFont"/>
    <w:rsid w:val="00F2153F"/>
  </w:style>
  <w:style w:type="paragraph" w:styleId="Header">
    <w:name w:val="header"/>
    <w:basedOn w:val="Normal"/>
    <w:link w:val="HeaderChar"/>
    <w:uiPriority w:val="99"/>
    <w:unhideWhenUsed/>
    <w:rsid w:val="00A30B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0B56"/>
  </w:style>
  <w:style w:type="paragraph" w:styleId="Footer">
    <w:name w:val="footer"/>
    <w:basedOn w:val="Normal"/>
    <w:link w:val="FooterChar"/>
    <w:uiPriority w:val="99"/>
    <w:unhideWhenUsed/>
    <w:rsid w:val="00A30B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0B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5918">
      <w:bodyDiv w:val="1"/>
      <w:marLeft w:val="0"/>
      <w:marRight w:val="0"/>
      <w:marTop w:val="0"/>
      <w:marBottom w:val="0"/>
      <w:divBdr>
        <w:top w:val="none" w:sz="0" w:space="0" w:color="auto"/>
        <w:left w:val="none" w:sz="0" w:space="0" w:color="auto"/>
        <w:bottom w:val="none" w:sz="0" w:space="0" w:color="auto"/>
        <w:right w:val="none" w:sz="0" w:space="0" w:color="auto"/>
      </w:divBdr>
    </w:div>
    <w:div w:id="421537718">
      <w:bodyDiv w:val="1"/>
      <w:marLeft w:val="0"/>
      <w:marRight w:val="0"/>
      <w:marTop w:val="0"/>
      <w:marBottom w:val="0"/>
      <w:divBdr>
        <w:top w:val="none" w:sz="0" w:space="0" w:color="auto"/>
        <w:left w:val="none" w:sz="0" w:space="0" w:color="auto"/>
        <w:bottom w:val="none" w:sz="0" w:space="0" w:color="auto"/>
        <w:right w:val="none" w:sz="0" w:space="0" w:color="auto"/>
      </w:divBdr>
    </w:div>
    <w:div w:id="565142614">
      <w:bodyDiv w:val="1"/>
      <w:marLeft w:val="0"/>
      <w:marRight w:val="0"/>
      <w:marTop w:val="0"/>
      <w:marBottom w:val="0"/>
      <w:divBdr>
        <w:top w:val="none" w:sz="0" w:space="0" w:color="auto"/>
        <w:left w:val="none" w:sz="0" w:space="0" w:color="auto"/>
        <w:bottom w:val="none" w:sz="0" w:space="0" w:color="auto"/>
        <w:right w:val="none" w:sz="0" w:space="0" w:color="auto"/>
      </w:divBdr>
    </w:div>
    <w:div w:id="598027625">
      <w:bodyDiv w:val="1"/>
      <w:marLeft w:val="0"/>
      <w:marRight w:val="0"/>
      <w:marTop w:val="0"/>
      <w:marBottom w:val="0"/>
      <w:divBdr>
        <w:top w:val="none" w:sz="0" w:space="0" w:color="auto"/>
        <w:left w:val="none" w:sz="0" w:space="0" w:color="auto"/>
        <w:bottom w:val="none" w:sz="0" w:space="0" w:color="auto"/>
        <w:right w:val="none" w:sz="0" w:space="0" w:color="auto"/>
      </w:divBdr>
    </w:div>
    <w:div w:id="614597225">
      <w:bodyDiv w:val="1"/>
      <w:marLeft w:val="0"/>
      <w:marRight w:val="0"/>
      <w:marTop w:val="0"/>
      <w:marBottom w:val="0"/>
      <w:divBdr>
        <w:top w:val="none" w:sz="0" w:space="0" w:color="auto"/>
        <w:left w:val="none" w:sz="0" w:space="0" w:color="auto"/>
        <w:bottom w:val="none" w:sz="0" w:space="0" w:color="auto"/>
        <w:right w:val="none" w:sz="0" w:space="0" w:color="auto"/>
      </w:divBdr>
    </w:div>
    <w:div w:id="689188470">
      <w:bodyDiv w:val="1"/>
      <w:marLeft w:val="0"/>
      <w:marRight w:val="0"/>
      <w:marTop w:val="0"/>
      <w:marBottom w:val="0"/>
      <w:divBdr>
        <w:top w:val="none" w:sz="0" w:space="0" w:color="auto"/>
        <w:left w:val="none" w:sz="0" w:space="0" w:color="auto"/>
        <w:bottom w:val="none" w:sz="0" w:space="0" w:color="auto"/>
        <w:right w:val="none" w:sz="0" w:space="0" w:color="auto"/>
      </w:divBdr>
    </w:div>
    <w:div w:id="768961957">
      <w:bodyDiv w:val="1"/>
      <w:marLeft w:val="0"/>
      <w:marRight w:val="0"/>
      <w:marTop w:val="0"/>
      <w:marBottom w:val="0"/>
      <w:divBdr>
        <w:top w:val="none" w:sz="0" w:space="0" w:color="auto"/>
        <w:left w:val="none" w:sz="0" w:space="0" w:color="auto"/>
        <w:bottom w:val="none" w:sz="0" w:space="0" w:color="auto"/>
        <w:right w:val="none" w:sz="0" w:space="0" w:color="auto"/>
      </w:divBdr>
    </w:div>
    <w:div w:id="867716458">
      <w:bodyDiv w:val="1"/>
      <w:marLeft w:val="0"/>
      <w:marRight w:val="0"/>
      <w:marTop w:val="0"/>
      <w:marBottom w:val="0"/>
      <w:divBdr>
        <w:top w:val="none" w:sz="0" w:space="0" w:color="auto"/>
        <w:left w:val="none" w:sz="0" w:space="0" w:color="auto"/>
        <w:bottom w:val="none" w:sz="0" w:space="0" w:color="auto"/>
        <w:right w:val="none" w:sz="0" w:space="0" w:color="auto"/>
      </w:divBdr>
    </w:div>
    <w:div w:id="906841931">
      <w:bodyDiv w:val="1"/>
      <w:marLeft w:val="0"/>
      <w:marRight w:val="0"/>
      <w:marTop w:val="0"/>
      <w:marBottom w:val="0"/>
      <w:divBdr>
        <w:top w:val="none" w:sz="0" w:space="0" w:color="auto"/>
        <w:left w:val="none" w:sz="0" w:space="0" w:color="auto"/>
        <w:bottom w:val="none" w:sz="0" w:space="0" w:color="auto"/>
        <w:right w:val="none" w:sz="0" w:space="0" w:color="auto"/>
      </w:divBdr>
    </w:div>
    <w:div w:id="1145314118">
      <w:bodyDiv w:val="1"/>
      <w:marLeft w:val="0"/>
      <w:marRight w:val="0"/>
      <w:marTop w:val="0"/>
      <w:marBottom w:val="0"/>
      <w:divBdr>
        <w:top w:val="none" w:sz="0" w:space="0" w:color="auto"/>
        <w:left w:val="none" w:sz="0" w:space="0" w:color="auto"/>
        <w:bottom w:val="none" w:sz="0" w:space="0" w:color="auto"/>
        <w:right w:val="none" w:sz="0" w:space="0" w:color="auto"/>
      </w:divBdr>
    </w:div>
    <w:div w:id="1217546035">
      <w:bodyDiv w:val="1"/>
      <w:marLeft w:val="0"/>
      <w:marRight w:val="0"/>
      <w:marTop w:val="0"/>
      <w:marBottom w:val="0"/>
      <w:divBdr>
        <w:top w:val="none" w:sz="0" w:space="0" w:color="auto"/>
        <w:left w:val="none" w:sz="0" w:space="0" w:color="auto"/>
        <w:bottom w:val="none" w:sz="0" w:space="0" w:color="auto"/>
        <w:right w:val="none" w:sz="0" w:space="0" w:color="auto"/>
      </w:divBdr>
    </w:div>
    <w:div w:id="1254244486">
      <w:bodyDiv w:val="1"/>
      <w:marLeft w:val="0"/>
      <w:marRight w:val="0"/>
      <w:marTop w:val="0"/>
      <w:marBottom w:val="0"/>
      <w:divBdr>
        <w:top w:val="none" w:sz="0" w:space="0" w:color="auto"/>
        <w:left w:val="none" w:sz="0" w:space="0" w:color="auto"/>
        <w:bottom w:val="none" w:sz="0" w:space="0" w:color="auto"/>
        <w:right w:val="none" w:sz="0" w:space="0" w:color="auto"/>
      </w:divBdr>
    </w:div>
    <w:div w:id="1319919101">
      <w:bodyDiv w:val="1"/>
      <w:marLeft w:val="0"/>
      <w:marRight w:val="0"/>
      <w:marTop w:val="0"/>
      <w:marBottom w:val="0"/>
      <w:divBdr>
        <w:top w:val="none" w:sz="0" w:space="0" w:color="auto"/>
        <w:left w:val="none" w:sz="0" w:space="0" w:color="auto"/>
        <w:bottom w:val="none" w:sz="0" w:space="0" w:color="auto"/>
        <w:right w:val="none" w:sz="0" w:space="0" w:color="auto"/>
      </w:divBdr>
      <w:divsChild>
        <w:div w:id="1102191146">
          <w:marLeft w:val="0"/>
          <w:marRight w:val="0"/>
          <w:marTop w:val="0"/>
          <w:marBottom w:val="0"/>
          <w:divBdr>
            <w:top w:val="none" w:sz="0" w:space="0" w:color="auto"/>
            <w:left w:val="none" w:sz="0" w:space="0" w:color="auto"/>
            <w:bottom w:val="none" w:sz="0" w:space="0" w:color="auto"/>
            <w:right w:val="none" w:sz="0" w:space="0" w:color="auto"/>
          </w:divBdr>
          <w:divsChild>
            <w:div w:id="1296327498">
              <w:marLeft w:val="0"/>
              <w:marRight w:val="0"/>
              <w:marTop w:val="0"/>
              <w:marBottom w:val="0"/>
              <w:divBdr>
                <w:top w:val="none" w:sz="0" w:space="0" w:color="auto"/>
                <w:left w:val="none" w:sz="0" w:space="0" w:color="auto"/>
                <w:bottom w:val="none" w:sz="0" w:space="0" w:color="auto"/>
                <w:right w:val="none" w:sz="0" w:space="0" w:color="auto"/>
              </w:divBdr>
              <w:divsChild>
                <w:div w:id="344678228">
                  <w:marLeft w:val="0"/>
                  <w:marRight w:val="0"/>
                  <w:marTop w:val="0"/>
                  <w:marBottom w:val="0"/>
                  <w:divBdr>
                    <w:top w:val="none" w:sz="0" w:space="0" w:color="auto"/>
                    <w:left w:val="none" w:sz="0" w:space="0" w:color="auto"/>
                    <w:bottom w:val="none" w:sz="0" w:space="0" w:color="auto"/>
                    <w:right w:val="none" w:sz="0" w:space="0" w:color="auto"/>
                  </w:divBdr>
                  <w:divsChild>
                    <w:div w:id="188572769">
                      <w:marLeft w:val="0"/>
                      <w:marRight w:val="0"/>
                      <w:marTop w:val="0"/>
                      <w:marBottom w:val="0"/>
                      <w:divBdr>
                        <w:top w:val="none" w:sz="0" w:space="0" w:color="auto"/>
                        <w:left w:val="none" w:sz="0" w:space="0" w:color="auto"/>
                        <w:bottom w:val="none" w:sz="0" w:space="0" w:color="auto"/>
                        <w:right w:val="none" w:sz="0" w:space="0" w:color="auto"/>
                      </w:divBdr>
                      <w:divsChild>
                        <w:div w:id="1114137061">
                          <w:marLeft w:val="0"/>
                          <w:marRight w:val="0"/>
                          <w:marTop w:val="0"/>
                          <w:marBottom w:val="0"/>
                          <w:divBdr>
                            <w:top w:val="none" w:sz="0" w:space="0" w:color="auto"/>
                            <w:left w:val="none" w:sz="0" w:space="0" w:color="auto"/>
                            <w:bottom w:val="none" w:sz="0" w:space="0" w:color="auto"/>
                            <w:right w:val="none" w:sz="0" w:space="0" w:color="auto"/>
                          </w:divBdr>
                          <w:divsChild>
                            <w:div w:id="427703722">
                              <w:marLeft w:val="0"/>
                              <w:marRight w:val="0"/>
                              <w:marTop w:val="0"/>
                              <w:marBottom w:val="0"/>
                              <w:divBdr>
                                <w:top w:val="none" w:sz="0" w:space="0" w:color="auto"/>
                                <w:left w:val="none" w:sz="0" w:space="0" w:color="auto"/>
                                <w:bottom w:val="none" w:sz="0" w:space="0" w:color="auto"/>
                                <w:right w:val="none" w:sz="0" w:space="0" w:color="auto"/>
                              </w:divBdr>
                              <w:divsChild>
                                <w:div w:id="1335035888">
                                  <w:marLeft w:val="0"/>
                                  <w:marRight w:val="0"/>
                                  <w:marTop w:val="0"/>
                                  <w:marBottom w:val="0"/>
                                  <w:divBdr>
                                    <w:top w:val="none" w:sz="0" w:space="0" w:color="auto"/>
                                    <w:left w:val="none" w:sz="0" w:space="0" w:color="auto"/>
                                    <w:bottom w:val="none" w:sz="0" w:space="0" w:color="auto"/>
                                    <w:right w:val="none" w:sz="0" w:space="0" w:color="auto"/>
                                  </w:divBdr>
                                  <w:divsChild>
                                    <w:div w:id="40595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595675">
                          <w:marLeft w:val="0"/>
                          <w:marRight w:val="0"/>
                          <w:marTop w:val="0"/>
                          <w:marBottom w:val="0"/>
                          <w:divBdr>
                            <w:top w:val="none" w:sz="0" w:space="0" w:color="auto"/>
                            <w:left w:val="none" w:sz="0" w:space="0" w:color="auto"/>
                            <w:bottom w:val="none" w:sz="0" w:space="0" w:color="auto"/>
                            <w:right w:val="none" w:sz="0" w:space="0" w:color="auto"/>
                          </w:divBdr>
                          <w:divsChild>
                            <w:div w:id="1060596972">
                              <w:marLeft w:val="0"/>
                              <w:marRight w:val="0"/>
                              <w:marTop w:val="0"/>
                              <w:marBottom w:val="0"/>
                              <w:divBdr>
                                <w:top w:val="none" w:sz="0" w:space="0" w:color="auto"/>
                                <w:left w:val="none" w:sz="0" w:space="0" w:color="auto"/>
                                <w:bottom w:val="none" w:sz="0" w:space="0" w:color="auto"/>
                                <w:right w:val="none" w:sz="0" w:space="0" w:color="auto"/>
                              </w:divBdr>
                              <w:divsChild>
                                <w:div w:id="110311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8397889">
      <w:bodyDiv w:val="1"/>
      <w:marLeft w:val="0"/>
      <w:marRight w:val="0"/>
      <w:marTop w:val="0"/>
      <w:marBottom w:val="0"/>
      <w:divBdr>
        <w:top w:val="none" w:sz="0" w:space="0" w:color="auto"/>
        <w:left w:val="none" w:sz="0" w:space="0" w:color="auto"/>
        <w:bottom w:val="none" w:sz="0" w:space="0" w:color="auto"/>
        <w:right w:val="none" w:sz="0" w:space="0" w:color="auto"/>
      </w:divBdr>
    </w:div>
    <w:div w:id="1515531217">
      <w:bodyDiv w:val="1"/>
      <w:marLeft w:val="0"/>
      <w:marRight w:val="0"/>
      <w:marTop w:val="0"/>
      <w:marBottom w:val="0"/>
      <w:divBdr>
        <w:top w:val="none" w:sz="0" w:space="0" w:color="auto"/>
        <w:left w:val="none" w:sz="0" w:space="0" w:color="auto"/>
        <w:bottom w:val="none" w:sz="0" w:space="0" w:color="auto"/>
        <w:right w:val="none" w:sz="0" w:space="0" w:color="auto"/>
      </w:divBdr>
    </w:div>
    <w:div w:id="1754156324">
      <w:bodyDiv w:val="1"/>
      <w:marLeft w:val="0"/>
      <w:marRight w:val="0"/>
      <w:marTop w:val="0"/>
      <w:marBottom w:val="0"/>
      <w:divBdr>
        <w:top w:val="none" w:sz="0" w:space="0" w:color="auto"/>
        <w:left w:val="none" w:sz="0" w:space="0" w:color="auto"/>
        <w:bottom w:val="none" w:sz="0" w:space="0" w:color="auto"/>
        <w:right w:val="none" w:sz="0" w:space="0" w:color="auto"/>
      </w:divBdr>
    </w:div>
    <w:div w:id="1822653864">
      <w:bodyDiv w:val="1"/>
      <w:marLeft w:val="0"/>
      <w:marRight w:val="0"/>
      <w:marTop w:val="0"/>
      <w:marBottom w:val="0"/>
      <w:divBdr>
        <w:top w:val="none" w:sz="0" w:space="0" w:color="auto"/>
        <w:left w:val="none" w:sz="0" w:space="0" w:color="auto"/>
        <w:bottom w:val="none" w:sz="0" w:space="0" w:color="auto"/>
        <w:right w:val="none" w:sz="0" w:space="0" w:color="auto"/>
      </w:divBdr>
    </w:div>
    <w:div w:id="2038922531">
      <w:bodyDiv w:val="1"/>
      <w:marLeft w:val="0"/>
      <w:marRight w:val="0"/>
      <w:marTop w:val="0"/>
      <w:marBottom w:val="0"/>
      <w:divBdr>
        <w:top w:val="none" w:sz="0" w:space="0" w:color="auto"/>
        <w:left w:val="none" w:sz="0" w:space="0" w:color="auto"/>
        <w:bottom w:val="none" w:sz="0" w:space="0" w:color="auto"/>
        <w:right w:val="none" w:sz="0" w:space="0" w:color="auto"/>
      </w:divBdr>
    </w:div>
    <w:div w:id="2129228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17</Pages>
  <Words>2810</Words>
  <Characters>16021</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Abdur Rehman</dc:creator>
  <cp:keywords/>
  <dc:description/>
  <cp:lastModifiedBy>waqas bajwa</cp:lastModifiedBy>
  <cp:revision>3</cp:revision>
  <dcterms:created xsi:type="dcterms:W3CDTF">2025-05-17T09:45:00Z</dcterms:created>
  <dcterms:modified xsi:type="dcterms:W3CDTF">2025-05-17T14:55:00Z</dcterms:modified>
</cp:coreProperties>
</file>