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
      </w:pPr>
      <w:r>
        <w:rPr>
          <w:rFonts w:ascii="Calibri" w:hAnsi="Calibri"/>
          <w:b/>
          <w:color w:val="0E7490"/>
          <w:sz w:val="16"/>
          <w:spacing w:val="40"/>
        </w:rPr>
        <w:t>CULINOVA EOS  ·  PHASE 2  ·  SYSTEM ARCHITECTURE</w:t>
      </w:r>
    </w:p>
    <w:p>
      <w:pPr>
        <w:spacing w:after="120"/>
      </w:pPr>
      <w:r>
        <w:rPr>
          <w:b/>
          <w:color w:val="0B5566"/>
          <w:sz w:val="68"/>
        </w:rPr>
        <w:t>The Engineering Brain of EOS</w:t>
      </w:r>
    </w:p>
    <w:p>
      <w:pPr>
        <w:spacing w:after="60"/>
      </w:pPr>
      <w:r>
        <w:rPr>
          <w:color w:val="697585"/>
          <w:sz w:val="24"/>
        </w:rPr>
        <w:t>How the Engineering Standards Library, Rules Engine, and AI connect to turn manufacturer datasheets into calculated, validated, fully-traceable engineering recommendations, MEP point schedules, project schedules, and drawings.</w:t>
      </w:r>
    </w:p>
    <w:p/>
    <w:tbl>
      <w:tblPr>
        <w:tblW w:type="auto" w:w="0"/>
        <w:jc w:val="left"/>
        <w:tblLook w:firstColumn="1" w:firstRow="1" w:lastColumn="0" w:lastRow="0" w:noHBand="0" w:noVBand="1" w:val="04A0"/>
      </w:tblPr>
      <w:tblGrid>
        <w:gridCol w:w="2304"/>
        <w:gridCol w:w="6912"/>
      </w:tblGrid>
      <w:tr>
        <w:tc>
          <w:tcPr>
            <w:tcW w:type="dxa" w:w="4824"/>
            <w:vAlign w:val="center"/>
          </w:tcPr>
          <w:p>
            <w:r/>
            <w:r>
              <w:rPr>
                <w:rFonts w:ascii="Calibri" w:hAnsi="Calibri"/>
                <w:b/>
                <w:color w:val="697585"/>
                <w:sz w:val="19"/>
              </w:rPr>
              <w:t>Prepared for</w:t>
            </w:r>
          </w:p>
        </w:tc>
        <w:tc>
          <w:tcPr>
            <w:tcW w:type="dxa" w:w="4824"/>
            <w:vAlign w:val="center"/>
          </w:tcPr>
          <w:p>
            <w:r/>
            <w:r>
              <w:rPr>
                <w:rFonts w:ascii="Calibri" w:hAnsi="Calibri"/>
                <w:b w:val="0"/>
                <w:sz w:val="20"/>
              </w:rPr>
              <w:t>CULINOVA — Engineering Review</w:t>
            </w:r>
          </w:p>
        </w:tc>
      </w:tr>
      <w:tr>
        <w:tc>
          <w:tcPr>
            <w:tcW w:type="dxa" w:w="4824"/>
            <w:vAlign w:val="center"/>
          </w:tcPr>
          <w:p>
            <w:r/>
            <w:r>
              <w:rPr>
                <w:rFonts w:ascii="Calibri" w:hAnsi="Calibri"/>
                <w:b/>
                <w:color w:val="697585"/>
                <w:sz w:val="19"/>
              </w:rPr>
              <w:t>Document</w:t>
            </w:r>
          </w:p>
        </w:tc>
        <w:tc>
          <w:tcPr>
            <w:tcW w:type="dxa" w:w="4824"/>
            <w:vAlign w:val="center"/>
          </w:tcPr>
          <w:p>
            <w:r/>
            <w:r>
              <w:rPr>
                <w:rFonts w:ascii="Calibri" w:hAnsi="Calibri"/>
                <w:b w:val="0"/>
                <w:sz w:val="20"/>
              </w:rPr>
              <w:t>Version 1.0</w:t>
            </w:r>
          </w:p>
        </w:tc>
      </w:tr>
      <w:tr>
        <w:tc>
          <w:tcPr>
            <w:tcW w:type="dxa" w:w="4824"/>
            <w:vAlign w:val="center"/>
          </w:tcPr>
          <w:p>
            <w:r/>
            <w:r>
              <w:rPr>
                <w:rFonts w:ascii="Calibri" w:hAnsi="Calibri"/>
                <w:b/>
                <w:color w:val="697585"/>
                <w:sz w:val="19"/>
              </w:rPr>
              <w:t>Scope</w:t>
            </w:r>
          </w:p>
        </w:tc>
        <w:tc>
          <w:tcPr>
            <w:tcW w:type="dxa" w:w="4824"/>
            <w:vAlign w:val="center"/>
          </w:tcPr>
          <w:p>
            <w:r/>
            <w:r>
              <w:rPr>
                <w:rFonts w:ascii="Calibri" w:hAnsi="Calibri"/>
                <w:b w:val="0"/>
                <w:sz w:val="20"/>
              </w:rPr>
              <w:t>EOS Phase 2 — Engineering Knowledge Base</w:t>
            </w:r>
          </w:p>
        </w:tc>
      </w:tr>
      <w:tr>
        <w:tc>
          <w:tcPr>
            <w:tcW w:type="dxa" w:w="4824"/>
            <w:vAlign w:val="center"/>
          </w:tcPr>
          <w:p>
            <w:r/>
            <w:r>
              <w:rPr>
                <w:rFonts w:ascii="Calibri" w:hAnsi="Calibri"/>
                <w:b/>
                <w:color w:val="697585"/>
                <w:sz w:val="19"/>
              </w:rPr>
              <w:t>Status</w:t>
            </w:r>
          </w:p>
        </w:tc>
        <w:tc>
          <w:tcPr>
            <w:tcW w:type="dxa" w:w="4824"/>
            <w:vAlign w:val="center"/>
          </w:tcPr>
          <w:p>
            <w:r/>
            <w:r>
              <w:rPr>
                <w:rFonts w:ascii="Calibri" w:hAnsi="Calibri"/>
                <w:b w:val="0"/>
                <w:sz w:val="20"/>
              </w:rPr>
              <w:t>Live system — every figure verified</w:t>
            </w:r>
          </w:p>
        </w:tc>
      </w:tr>
    </w:tbl>
    <w:p/>
    <w:tbl>
      <w:tblPr>
        <w:tblW w:type="auto" w:w="0"/>
        <w:tblLook w:firstColumn="1" w:firstRow="1" w:lastColumn="0" w:lastRow="0" w:noHBand="0" w:noVBand="1" w:val="04A0"/>
      </w:tblPr>
      <w:tblGrid>
        <w:gridCol w:w="2412"/>
        <w:gridCol w:w="2412"/>
        <w:gridCol w:w="2412"/>
        <w:gridCol w:w="2412"/>
      </w:tblGrid>
      <w:tr>
        <w:tc>
          <w:tcPr>
            <w:tcW w:type="dxa" w:w="2412"/>
            <w:shd w:val="clear" w:fill="F2F7F9"/>
            <w:vAlign w:val="center"/>
          </w:tcPr>
          <w:p>
            <w:pPr>
              <w:jc w:val="center"/>
            </w:pPr>
            <w:r/>
            <w:r>
              <w:rPr>
                <w:rFonts w:ascii="Calibri" w:hAnsi="Calibri"/>
                <w:b/>
                <w:color w:val="0B5566"/>
                <w:sz w:val="40"/>
              </w:rPr>
              <w:t>5 / 9</w:t>
            </w:r>
          </w:p>
        </w:tc>
        <w:tc>
          <w:tcPr>
            <w:tcW w:type="dxa" w:w="2412"/>
            <w:shd w:val="clear" w:fill="F2F7F9"/>
            <w:vAlign w:val="center"/>
          </w:tcPr>
          <w:p>
            <w:pPr>
              <w:jc w:val="center"/>
            </w:pPr>
            <w:r/>
            <w:r>
              <w:rPr>
                <w:rFonts w:ascii="Calibri" w:hAnsi="Calibri"/>
                <w:b/>
                <w:color w:val="0B5566"/>
                <w:sz w:val="40"/>
              </w:rPr>
              <w:t>73</w:t>
            </w:r>
          </w:p>
        </w:tc>
        <w:tc>
          <w:tcPr>
            <w:tcW w:type="dxa" w:w="2412"/>
            <w:shd w:val="clear" w:fill="F2F7F9"/>
            <w:vAlign w:val="center"/>
          </w:tcPr>
          <w:p>
            <w:pPr>
              <w:jc w:val="center"/>
            </w:pPr>
            <w:r/>
            <w:r>
              <w:rPr>
                <w:rFonts w:ascii="Calibri" w:hAnsi="Calibri"/>
                <w:b/>
                <w:color w:val="0B5566"/>
                <w:sz w:val="40"/>
              </w:rPr>
              <w:t>4,500</w:t>
            </w:r>
          </w:p>
        </w:tc>
        <w:tc>
          <w:tcPr>
            <w:tcW w:type="dxa" w:w="2412"/>
            <w:shd w:val="clear" w:fill="F2F7F9"/>
            <w:vAlign w:val="center"/>
          </w:tcPr>
          <w:p>
            <w:pPr>
              <w:jc w:val="center"/>
            </w:pPr>
            <w:r/>
            <w:r>
              <w:rPr>
                <w:rFonts w:ascii="Calibri" w:hAnsi="Calibri"/>
                <w:b/>
                <w:color w:val="0B5566"/>
                <w:sz w:val="40"/>
              </w:rPr>
              <w:t>~60</w:t>
            </w:r>
          </w:p>
        </w:tc>
      </w:tr>
      <w:tr>
        <w:tc>
          <w:tcPr>
            <w:tcW w:type="dxa" w:w="2412"/>
            <w:shd w:val="clear" w:fill="F2F7F9"/>
            <w:vAlign w:val="center"/>
          </w:tcPr>
          <w:p>
            <w:pPr>
              <w:jc w:val="center"/>
            </w:pPr>
            <w:r/>
            <w:r>
              <w:rPr>
                <w:rFonts w:ascii="Calibri" w:hAnsi="Calibri"/>
                <w:b w:val="0"/>
                <w:color w:val="697585"/>
                <w:sz w:val="17"/>
              </w:rPr>
              <w:t>Equipment families</w:t>
            </w:r>
          </w:p>
        </w:tc>
        <w:tc>
          <w:tcPr>
            <w:tcW w:type="dxa" w:w="2412"/>
            <w:shd w:val="clear" w:fill="F2F7F9"/>
            <w:vAlign w:val="center"/>
          </w:tcPr>
          <w:p>
            <w:pPr>
              <w:jc w:val="center"/>
            </w:pPr>
            <w:r/>
            <w:r>
              <w:rPr>
                <w:rFonts w:ascii="Calibri" w:hAnsi="Calibri"/>
                <w:b w:val="0"/>
                <w:color w:val="697585"/>
                <w:sz w:val="17"/>
              </w:rPr>
              <w:t>Category standards</w:t>
            </w:r>
          </w:p>
        </w:tc>
        <w:tc>
          <w:tcPr>
            <w:tcW w:type="dxa" w:w="2412"/>
            <w:shd w:val="clear" w:fill="F2F7F9"/>
            <w:vAlign w:val="center"/>
          </w:tcPr>
          <w:p>
            <w:pPr>
              <w:jc w:val="center"/>
            </w:pPr>
            <w:r/>
            <w:r>
              <w:rPr>
                <w:rFonts w:ascii="Calibri" w:hAnsi="Calibri"/>
                <w:b w:val="0"/>
                <w:color w:val="697585"/>
                <w:sz w:val="17"/>
              </w:rPr>
              <w:t>Classified data points</w:t>
            </w:r>
          </w:p>
        </w:tc>
        <w:tc>
          <w:tcPr>
            <w:tcW w:type="dxa" w:w="2412"/>
            <w:shd w:val="clear" w:fill="F2F7F9"/>
            <w:vAlign w:val="center"/>
          </w:tcPr>
          <w:p>
            <w:pPr>
              <w:jc w:val="center"/>
            </w:pPr>
            <w:r/>
            <w:r>
              <w:rPr>
                <w:rFonts w:ascii="Calibri" w:hAnsi="Calibri"/>
                <w:b w:val="0"/>
                <w:color w:val="697585"/>
                <w:sz w:val="17"/>
              </w:rPr>
              <w:t>Data-driven tables</w:t>
            </w:r>
          </w:p>
        </w:tc>
      </w:tr>
    </w:tbl>
    <w:p>
      <w:r>
        <w:br w:type="page"/>
      </w:r>
    </w:p>
    <w:p>
      <w:pPr>
        <w:spacing w:after="20"/>
      </w:pPr>
      <w:r>
        <w:rPr>
          <w:rFonts w:ascii="Calibri" w:hAnsi="Calibri"/>
          <w:b/>
          <w:color w:val="0E7490"/>
          <w:sz w:val="16"/>
          <w:spacing w:val="40"/>
        </w:rPr>
        <w:t>THE CORE IDEA</w:t>
      </w:r>
    </w:p>
    <w:p>
      <w:pPr>
        <w:pStyle w:val="Heading1"/>
      </w:pPr>
      <w:r>
        <w:t>Two kinds of engineering knowledge, kept separate on purpose</w:t>
      </w:r>
    </w:p>
    <w:p>
      <w:pPr>
        <w:spacing w:after="140"/>
      </w:pPr>
      <w:r>
        <w:rPr>
          <w:b w:val="0"/>
          <w:i w:val="0"/>
          <w:sz w:val="21"/>
        </w:rPr>
        <w:t>EOS is designed around one principle that keeps it generalized rather than hardcoded: it separates WHAT each equipment category needs from HOW to size and calculate it. These two layers are authored and stored independently, so either can grow without touching the other — or the code.</w:t>
      </w:r>
    </w:p>
    <w:tbl>
      <w:tblPr>
        <w:tblStyle w:val="TableGrid"/>
        <w:tblW w:type="auto" w:w="0"/>
        <w:tblLook w:firstColumn="1" w:firstRow="1" w:lastColumn="0" w:lastRow="0" w:noHBand="0" w:noVBand="1" w:val="04A0"/>
      </w:tblPr>
      <w:tblGrid>
        <w:gridCol w:w="4752"/>
        <w:gridCol w:w="4752"/>
      </w:tblGrid>
      <w:tr>
        <w:tc>
          <w:tcPr>
            <w:tcW w:type="dxa" w:w="4824"/>
            <w:shd w:val="clear" w:fill="EAF3F6"/>
            <w:vAlign w:val="center"/>
          </w:tcPr>
          <w:p>
            <w:r/>
            <w:r>
              <w:rPr>
                <w:rFonts w:ascii="Calibri" w:hAnsi="Calibri"/>
                <w:b/>
                <w:color w:val="0E7490"/>
                <w:sz w:val="18"/>
              </w:rPr>
              <w:t>LAYER A — THE KNOWLEDGE</w:t>
            </w:r>
          </w:p>
        </w:tc>
        <w:tc>
          <w:tcPr>
            <w:tcW w:type="dxa" w:w="4824"/>
            <w:shd w:val="clear" w:fill="EAF3F6"/>
            <w:vAlign w:val="center"/>
          </w:tcPr>
          <w:p>
            <w:r/>
            <w:r>
              <w:rPr>
                <w:rFonts w:ascii="Calibri" w:hAnsi="Calibri"/>
                <w:b/>
                <w:color w:val="0E7490"/>
                <w:sz w:val="18"/>
              </w:rPr>
              <w:t>LAYER B — THE CALCULATION</w:t>
            </w:r>
          </w:p>
        </w:tc>
      </w:tr>
      <w:tr>
        <w:tc>
          <w:tcPr>
            <w:tcW w:type="dxa" w:w="4824"/>
            <w:vAlign w:val="center"/>
          </w:tcPr>
          <w:p>
            <w:r/>
            <w:r>
              <w:rPr>
                <w:rFonts w:ascii="Calibri" w:hAnsi="Calibri"/>
                <w:b w:val="0"/>
                <w:sz w:val="19"/>
              </w:rPr>
              <w:t>Engineering Standards Library</w:t>
              <w:br/>
              <w:t>(your workbooks)</w:t>
              <w:br/>
              <w:br/>
              <w:t>• Required utilities — electrical, water, gas, drainage, ventilation</w:t>
              <w:br/>
              <w:t>• Installation, mechanical &amp; performance characteristics</w:t>
              <w:br/>
              <w:t>• Safety &amp; hygiene requirements; fixed CULINOVA values</w:t>
              <w:br/>
              <w:t>• Which values are manufacturer-dependent vs. rule-driven</w:t>
            </w:r>
          </w:p>
        </w:tc>
        <w:tc>
          <w:tcPr>
            <w:tcW w:type="dxa" w:w="4824"/>
            <w:vAlign w:val="center"/>
          </w:tcPr>
          <w:p>
            <w:r/>
            <w:r>
              <w:rPr>
                <w:rFonts w:ascii="Calibri" w:hAnsi="Calibri"/>
                <w:b w:val="0"/>
                <w:sz w:val="19"/>
              </w:rPr>
              <w:t>Discipline Rules</w:t>
              <w:br/>
              <w:t>(Electrical, Gas, ASHRAE Ventilation)</w:t>
              <w:br/>
              <w:br/>
              <w:t>• Condition → output tables (current band → cable &amp; breaker)</w:t>
              <w:br/>
              <w:t>• Derivation formulas (current from power, voltage &amp; phase)</w:t>
              <w:br/>
              <w:t>• Calculations (exhaust airflow by hood grouping)</w:t>
              <w:br/>
              <w:t>• Editable, versioned, engineer-approved — never in code</w:t>
            </w:r>
          </w:p>
        </w:tc>
      </w:tr>
    </w:tbl>
    <w:p>
      <w:pPr>
        <w:spacing w:after="140"/>
      </w:pPr>
      <w:r>
        <w:rPr>
          <w:b w:val="0"/>
          <w:i w:val="0"/>
          <w:sz w:val="21"/>
        </w:rPr>
      </w:r>
    </w:p>
    <w:p>
      <w:pPr>
        <w:spacing w:after="140"/>
      </w:pPr>
      <w:r>
        <w:rPr>
          <w:b w:val="0"/>
          <w:sz w:val="21"/>
        </w:rPr>
        <w:t xml:space="preserve">A Combi Oven standard says: </w:t>
      </w:r>
      <w:r>
        <w:rPr>
          <w:b w:val="0"/>
          <w:color w:val="697585"/>
          <w:sz w:val="21"/>
        </w:rPr>
        <w:t xml:space="preserve">“needs a dedicated circuit, cold water, a Type I hood, 1000 mm clearance — and its cable and breaker come from the Electrical Rules.” </w:t>
      </w:r>
      <w:r>
        <w:rPr>
          <w:b w:val="0"/>
          <w:sz w:val="21"/>
        </w:rPr>
        <w:t>The Electrical Rules then turn 12 kW / 400 V into a specific cable and breaker. Standards define the requirement; Rules produce the number. That separation is the whole architecture.</w:t>
      </w:r>
    </w:p>
    <w:p>
      <w:pPr>
        <w:spacing w:before="80" w:after="160"/>
        <w:pBdr>
          <w:bottom w:val="single" w:sz="6" w:space="1" w:color="D2D8E0"/>
        </w:pBdr>
      </w:pPr>
    </w:p>
    <w:p>
      <w:pPr>
        <w:spacing w:after="20"/>
      </w:pPr>
      <w:r>
        <w:rPr>
          <w:rFonts w:ascii="Calibri" w:hAnsi="Calibri"/>
          <w:b/>
          <w:color w:val="0E7490"/>
          <w:sz w:val="16"/>
          <w:spacing w:val="40"/>
        </w:rPr>
        <w:t>ARCHITECTURE AT A GLANCE</w:t>
      </w:r>
    </w:p>
    <w:p>
      <w:pPr>
        <w:pStyle w:val="Heading1"/>
      </w:pPr>
      <w:r>
        <w:t>Seven layers — each one data, each one connected</w:t>
      </w:r>
    </w:p>
    <w:p>
      <w:pPr>
        <w:spacing w:after="140"/>
      </w:pPr>
      <w:r>
        <w:rPr>
          <w:b w:val="0"/>
          <w:i w:val="0"/>
          <w:sz w:val="21"/>
        </w:rPr>
        <w:t>Every layer reads from the one above it and feeds the one below. Add an equipment family, a rule, a parameter, or a utility colour, and it flows through the whole stack with no code change.</w:t>
      </w:r>
    </w:p>
    <w:tbl>
      <w:tblPr>
        <w:tblStyle w:val="TableGrid"/>
        <w:tblW w:type="auto" w:w="0"/>
        <w:tblLook w:firstColumn="1" w:firstRow="1" w:lastColumn="0" w:lastRow="0" w:noHBand="0" w:noVBand="1" w:val="04A0"/>
      </w:tblPr>
      <w:tblGrid>
        <w:gridCol w:w="3168"/>
        <w:gridCol w:w="6336"/>
      </w:tblGrid>
      <w:tr>
        <w:tc>
          <w:tcPr>
            <w:tcW w:type="dxa" w:w="4824"/>
            <w:shd w:val="clear" w:fill="F5F8FA"/>
            <w:vAlign w:val="center"/>
          </w:tcPr>
          <w:p>
            <w:r/>
            <w:r>
              <w:rPr>
                <w:rFonts w:ascii="Calibri" w:hAnsi="Calibri"/>
                <w:b/>
                <w:color w:val="0B5566"/>
                <w:sz w:val="20"/>
              </w:rPr>
              <w:t>0 · Foundation</w:t>
            </w:r>
          </w:p>
        </w:tc>
        <w:tc>
          <w:tcPr>
            <w:tcW w:type="dxa" w:w="4824"/>
            <w:vAlign w:val="center"/>
          </w:tcPr>
          <w:p>
            <w:r/>
            <w:r>
              <w:rPr>
                <w:rFonts w:ascii="Calibri" w:hAnsi="Calibri"/>
                <w:b w:val="0"/>
                <w:sz w:val="19"/>
              </w:rPr>
              <w:t>The canonical vocabulary (Parameter Dictionary), engineering disciplines, unit conversions, engine policy settings, roles &amp; permissions — all editable data.</w:t>
            </w:r>
          </w:p>
        </w:tc>
      </w:tr>
      <w:tr>
        <w:tc>
          <w:tcPr>
            <w:tcW w:type="dxa" w:w="4824"/>
            <w:shd w:val="clear" w:fill="F5F8FA"/>
            <w:vAlign w:val="center"/>
          </w:tcPr>
          <w:p>
            <w:r/>
            <w:r>
              <w:rPr>
                <w:rFonts w:ascii="Calibri" w:hAnsi="Calibri"/>
                <w:b/>
                <w:color w:val="0B5566"/>
                <w:sz w:val="20"/>
              </w:rPr>
              <w:t>1 · Engineering Standards Library</w:t>
            </w:r>
          </w:p>
        </w:tc>
        <w:tc>
          <w:tcPr>
            <w:tcW w:type="dxa" w:w="4824"/>
            <w:vAlign w:val="center"/>
          </w:tcPr>
          <w:p>
            <w:r/>
            <w:r>
              <w:rPr>
                <w:rFonts w:ascii="Calibri" w:hAnsi="Calibri"/>
                <w:b w:val="0"/>
                <w:sz w:val="19"/>
              </w:rPr>
              <w:t>Your category workbooks, imported and understood: one profile per equipment category, every column classified by what it means.</w:t>
            </w:r>
          </w:p>
        </w:tc>
      </w:tr>
      <w:tr>
        <w:tc>
          <w:tcPr>
            <w:tcW w:type="dxa" w:w="4824"/>
            <w:shd w:val="clear" w:fill="F5F8FA"/>
            <w:vAlign w:val="center"/>
          </w:tcPr>
          <w:p>
            <w:r/>
            <w:r>
              <w:rPr>
                <w:rFonts w:ascii="Calibri" w:hAnsi="Calibri"/>
                <w:b/>
                <w:color w:val="0B5566"/>
                <w:sz w:val="20"/>
              </w:rPr>
              <w:t>2 · Rules Engine</w:t>
            </w:r>
          </w:p>
        </w:tc>
        <w:tc>
          <w:tcPr>
            <w:tcW w:type="dxa" w:w="4824"/>
            <w:vAlign w:val="center"/>
          </w:tcPr>
          <w:p>
            <w:r/>
            <w:r>
              <w:rPr>
                <w:rFonts w:ascii="Calibri" w:hAnsi="Calibri"/>
                <w:b w:val="0"/>
                <w:sz w:val="19"/>
              </w:rPr>
              <w:t>Approved discipline rules — conditions, outputs, and formulas — matched against equipment data to recommend and calculate engineering values.</w:t>
            </w:r>
          </w:p>
        </w:tc>
      </w:tr>
      <w:tr>
        <w:tc>
          <w:tcPr>
            <w:tcW w:type="dxa" w:w="4824"/>
            <w:shd w:val="clear" w:fill="F5F8FA"/>
            <w:vAlign w:val="center"/>
          </w:tcPr>
          <w:p>
            <w:r/>
            <w:r>
              <w:rPr>
                <w:rFonts w:ascii="Calibri" w:hAnsi="Calibri"/>
                <w:b/>
                <w:color w:val="0B5566"/>
                <w:sz w:val="20"/>
              </w:rPr>
              <w:t>3 · Recommendations &amp; Validation</w:t>
            </w:r>
          </w:p>
        </w:tc>
        <w:tc>
          <w:tcPr>
            <w:tcW w:type="dxa" w:w="4824"/>
            <w:vAlign w:val="center"/>
          </w:tcPr>
          <w:p>
            <w:r/>
            <w:r>
              <w:rPr>
                <w:rFonts w:ascii="Calibri" w:hAnsi="Calibri"/>
                <w:b w:val="0"/>
                <w:sz w:val="19"/>
              </w:rPr>
              <w:t>Manufacturer value vs. CULINOVA recommendation, side by side, with full traceability. The engineer accepts, modifies, or rejects — with a reason.</w:t>
            </w:r>
          </w:p>
        </w:tc>
      </w:tr>
      <w:tr>
        <w:tc>
          <w:tcPr>
            <w:tcW w:type="dxa" w:w="4824"/>
            <w:shd w:val="clear" w:fill="F5F8FA"/>
            <w:vAlign w:val="center"/>
          </w:tcPr>
          <w:p>
            <w:r/>
            <w:r>
              <w:rPr>
                <w:rFonts w:ascii="Calibri" w:hAnsi="Calibri"/>
                <w:b/>
                <w:color w:val="0B5566"/>
                <w:sz w:val="20"/>
              </w:rPr>
              <w:t>4 · Project Workspace &amp; MEP</w:t>
            </w:r>
          </w:p>
        </w:tc>
        <w:tc>
          <w:tcPr>
            <w:tcW w:type="dxa" w:w="4824"/>
            <w:vAlign w:val="center"/>
          </w:tcPr>
          <w:p>
            <w:r/>
            <w:r>
              <w:rPr>
                <w:rFonts w:ascii="Calibri" w:hAnsi="Calibri"/>
                <w:b w:val="0"/>
                <w:sz w:val="19"/>
              </w:rPr>
              <w:t>Select approved equipment into a project → coloured MEP points, 13 engineering schedules, AutoCAD-ready exports, and the drawing workspace.</w:t>
            </w:r>
          </w:p>
        </w:tc>
      </w:tr>
      <w:tr>
        <w:tc>
          <w:tcPr>
            <w:tcW w:type="dxa" w:w="4824"/>
            <w:shd w:val="clear" w:fill="F5F8FA"/>
            <w:vAlign w:val="center"/>
          </w:tcPr>
          <w:p>
            <w:r/>
            <w:r>
              <w:rPr>
                <w:rFonts w:ascii="Calibri" w:hAnsi="Calibri"/>
                <w:b/>
                <w:color w:val="0B5566"/>
                <w:sz w:val="20"/>
              </w:rPr>
              <w:t>5 · AI Engineering Assistant</w:t>
            </w:r>
          </w:p>
        </w:tc>
        <w:tc>
          <w:tcPr>
            <w:tcW w:type="dxa" w:w="4824"/>
            <w:vAlign w:val="center"/>
          </w:tcPr>
          <w:p>
            <w:r/>
            <w:r>
              <w:rPr>
                <w:rFonts w:ascii="Calibri" w:hAnsi="Calibri"/>
                <w:b w:val="0"/>
                <w:sz w:val="19"/>
              </w:rPr>
              <w:t>Answers only from approved equipment data, approved standards, and approved recommendations — every answer cited, nothing invented.</w:t>
            </w:r>
          </w:p>
        </w:tc>
      </w:tr>
      <w:tr>
        <w:tc>
          <w:tcPr>
            <w:tcW w:type="dxa" w:w="4824"/>
            <w:shd w:val="clear" w:fill="F5F8FA"/>
            <w:vAlign w:val="center"/>
          </w:tcPr>
          <w:p>
            <w:r/>
            <w:r>
              <w:rPr>
                <w:rFonts w:ascii="Calibri" w:hAnsi="Calibri"/>
                <w:b/>
                <w:color w:val="0B5566"/>
                <w:sz w:val="20"/>
              </w:rPr>
              <w:t>6 · ERP Integration</w:t>
            </w:r>
          </w:p>
        </w:tc>
        <w:tc>
          <w:tcPr>
            <w:tcW w:type="dxa" w:w="4824"/>
            <w:vAlign w:val="center"/>
          </w:tcPr>
          <w:p>
            <w:r/>
            <w:r>
              <w:rPr>
                <w:rFonts w:ascii="Calibri" w:hAnsi="Calibri"/>
                <w:b w:val="0"/>
                <w:sz w:val="19"/>
              </w:rPr>
              <w:t>Approved equipment publishes to the ERP Item Master. EOS stays the master of engineering truth; the ERP handles pricing, stock, procurement &amp; projects.</w:t>
            </w:r>
          </w:p>
        </w:tc>
      </w:tr>
    </w:tbl>
    <w:p>
      <w:r>
        <w:br w:type="page"/>
      </w:r>
    </w:p>
    <w:p>
      <w:pPr>
        <w:spacing w:after="20"/>
      </w:pPr>
      <w:r>
        <w:rPr>
          <w:rFonts w:ascii="Calibri" w:hAnsi="Calibri"/>
          <w:b/>
          <w:color w:val="0E7490"/>
          <w:sz w:val="16"/>
          <w:spacing w:val="40"/>
        </w:rPr>
        <w:t>DATABASE STRUCTURE</w:t>
      </w:r>
    </w:p>
    <w:p>
      <w:pPr>
        <w:pStyle w:val="Heading1"/>
      </w:pPr>
      <w:r>
        <w:t>~60 tables, organised by layer — all knowledge is data</w:t>
      </w:r>
    </w:p>
    <w:p>
      <w:pPr>
        <w:spacing w:after="140"/>
      </w:pPr>
      <w:r>
        <w:rPr>
          <w:b w:val="0"/>
          <w:i w:val="0"/>
          <w:sz w:val="21"/>
        </w:rPr>
        <w:t>There is no engineering knowledge hardcoded anywhere in the system. Adding a discipline, a rule, a parameter, or a utility colour is a row in a table, applied through the Admin Portal or an Excel upload. The schema is managed by ordered, additive migrations (currently 001–011).</w:t>
      </w:r>
    </w:p>
    <w:tbl>
      <w:tblPr>
        <w:tblStyle w:val="TableGrid"/>
        <w:tblW w:type="auto" w:w="0"/>
        <w:tblLook w:firstColumn="1" w:firstRow="1" w:lastColumn="0" w:lastRow="0" w:noHBand="0" w:noVBand="1" w:val="04A0"/>
      </w:tblPr>
      <w:tblGrid>
        <w:gridCol w:w="2160"/>
        <w:gridCol w:w="3888"/>
        <w:gridCol w:w="3456"/>
      </w:tblGrid>
      <w:tr>
        <w:tc>
          <w:tcPr>
            <w:tcW w:type="dxa" w:w="3216"/>
            <w:shd w:val="clear" w:fill="EEF1F4"/>
            <w:vAlign w:val="center"/>
          </w:tcPr>
          <w:p>
            <w:r/>
            <w:r>
              <w:rPr>
                <w:rFonts w:ascii="Calibri" w:hAnsi="Calibri"/>
                <w:b/>
                <w:color w:val="697585"/>
                <w:sz w:val="17"/>
              </w:rPr>
              <w:t>LAYER</w:t>
            </w:r>
          </w:p>
        </w:tc>
        <w:tc>
          <w:tcPr>
            <w:tcW w:type="dxa" w:w="3216"/>
            <w:shd w:val="clear" w:fill="EEF1F4"/>
            <w:vAlign w:val="center"/>
          </w:tcPr>
          <w:p>
            <w:r/>
            <w:r>
              <w:rPr>
                <w:rFonts w:ascii="Calibri" w:hAnsi="Calibri"/>
                <w:b/>
                <w:color w:val="697585"/>
                <w:sz w:val="17"/>
              </w:rPr>
              <w:t>KEY TABLES</w:t>
            </w:r>
          </w:p>
        </w:tc>
        <w:tc>
          <w:tcPr>
            <w:tcW w:type="dxa" w:w="3216"/>
            <w:shd w:val="clear" w:fill="EEF1F4"/>
            <w:vAlign w:val="center"/>
          </w:tcPr>
          <w:p>
            <w:r/>
            <w:r>
              <w:rPr>
                <w:rFonts w:ascii="Calibri" w:hAnsi="Calibri"/>
                <w:b/>
                <w:color w:val="697585"/>
                <w:sz w:val="17"/>
              </w:rPr>
              <w:t>PURPOSE</w:t>
            </w:r>
          </w:p>
        </w:tc>
      </w:tr>
      <w:tr>
        <w:tc>
          <w:tcPr>
            <w:tcW w:type="dxa" w:w="3216"/>
            <w:vAlign w:val="center"/>
          </w:tcPr>
          <w:p>
            <w:r/>
            <w:r>
              <w:rPr>
                <w:rFonts w:ascii="Calibri" w:hAnsi="Calibri"/>
                <w:b/>
                <w:sz w:val="19"/>
              </w:rPr>
              <w:t>Foundation</w:t>
            </w:r>
          </w:p>
        </w:tc>
        <w:tc>
          <w:tcPr>
            <w:tcW w:type="dxa" w:w="3216"/>
            <w:vAlign w:val="center"/>
          </w:tcPr>
          <w:p>
            <w:r/>
            <w:r>
              <w:rPr>
                <w:rFonts w:ascii="Calibri" w:hAnsi="Calibri"/>
                <w:b w:val="0"/>
                <w:color w:val="0B5566"/>
                <w:sz w:val="17"/>
              </w:rPr>
              <w:t>ceks_parameters, ceks_parameter_aliases, ceks_disciplines, ceks_unit_conversions, ceks_engine_settings</w:t>
            </w:r>
          </w:p>
        </w:tc>
        <w:tc>
          <w:tcPr>
            <w:tcW w:type="dxa" w:w="3216"/>
            <w:vAlign w:val="center"/>
          </w:tcPr>
          <w:p>
            <w:r/>
            <w:r>
              <w:rPr>
                <w:rFonts w:ascii="Calibri" w:hAnsi="Calibri"/>
                <w:b w:val="0"/>
                <w:sz w:val="18"/>
              </w:rPr>
              <w:t>The canonical vocabulary that lets a rule match a fact no matter how the datasheet spelled it.</w:t>
            </w:r>
          </w:p>
        </w:tc>
      </w:tr>
      <w:tr>
        <w:tc>
          <w:tcPr>
            <w:tcW w:type="dxa" w:w="3216"/>
            <w:vAlign w:val="center"/>
          </w:tcPr>
          <w:p>
            <w:r/>
            <w:r>
              <w:rPr>
                <w:rFonts w:ascii="Calibri" w:hAnsi="Calibri"/>
                <w:b/>
                <w:sz w:val="19"/>
              </w:rPr>
              <w:t>Standards Library</w:t>
            </w:r>
          </w:p>
        </w:tc>
        <w:tc>
          <w:tcPr>
            <w:tcW w:type="dxa" w:w="3216"/>
            <w:vAlign w:val="center"/>
          </w:tcPr>
          <w:p>
            <w:r/>
            <w:r>
              <w:rPr>
                <w:rFonts w:ascii="Calibri" w:hAnsi="Calibri"/>
                <w:b w:val="0"/>
                <w:color w:val="0B5566"/>
                <w:sz w:val="17"/>
              </w:rPr>
              <w:t>ceks_category_profiles, ceks_category_profile_attributes</w:t>
            </w:r>
          </w:p>
        </w:tc>
        <w:tc>
          <w:tcPr>
            <w:tcW w:type="dxa" w:w="3216"/>
            <w:vAlign w:val="center"/>
          </w:tcPr>
          <w:p>
            <w:r/>
            <w:r>
              <w:rPr>
                <w:rFonts w:ascii="Calibri" w:hAnsi="Calibri"/>
                <w:b w:val="0"/>
                <w:sz w:val="18"/>
              </w:rPr>
              <w:t>One profile per equipment category; one classified row per requirement. Your engineering brain, stored.</w:t>
            </w:r>
          </w:p>
        </w:tc>
      </w:tr>
      <w:tr>
        <w:tc>
          <w:tcPr>
            <w:tcW w:type="dxa" w:w="3216"/>
            <w:vAlign w:val="center"/>
          </w:tcPr>
          <w:p>
            <w:r/>
            <w:r>
              <w:rPr>
                <w:rFonts w:ascii="Calibri" w:hAnsi="Calibri"/>
                <w:b/>
                <w:sz w:val="19"/>
              </w:rPr>
              <w:t>Rules Engine</w:t>
            </w:r>
          </w:p>
        </w:tc>
        <w:tc>
          <w:tcPr>
            <w:tcW w:type="dxa" w:w="3216"/>
            <w:vAlign w:val="center"/>
          </w:tcPr>
          <w:p>
            <w:r/>
            <w:r>
              <w:rPr>
                <w:rFonts w:ascii="Calibri" w:hAnsi="Calibri"/>
                <w:b w:val="0"/>
                <w:color w:val="0B5566"/>
                <w:sz w:val="17"/>
              </w:rPr>
              <w:t>ceks_rules, ceks_rule_conditions, ceks_rule_outputs, ceks_rule_constants, ceks_rule_versions</w:t>
            </w:r>
          </w:p>
        </w:tc>
        <w:tc>
          <w:tcPr>
            <w:tcW w:type="dxa" w:w="3216"/>
            <w:vAlign w:val="center"/>
          </w:tcPr>
          <w:p>
            <w:r/>
            <w:r>
              <w:rPr>
                <w:rFonts w:ascii="Calibri" w:hAnsi="Calibri"/>
                <w:b w:val="0"/>
                <w:sz w:val="18"/>
              </w:rPr>
              <w:t>Condition→output tables + editable formulas &amp; constants, each version frozen for traceability.</w:t>
            </w:r>
          </w:p>
        </w:tc>
      </w:tr>
      <w:tr>
        <w:tc>
          <w:tcPr>
            <w:tcW w:type="dxa" w:w="3216"/>
            <w:vAlign w:val="center"/>
          </w:tcPr>
          <w:p>
            <w:r/>
            <w:r>
              <w:rPr>
                <w:rFonts w:ascii="Calibri" w:hAnsi="Calibri"/>
                <w:b/>
                <w:sz w:val="19"/>
              </w:rPr>
              <w:t>Recommendations</w:t>
            </w:r>
          </w:p>
        </w:tc>
        <w:tc>
          <w:tcPr>
            <w:tcW w:type="dxa" w:w="3216"/>
            <w:vAlign w:val="center"/>
          </w:tcPr>
          <w:p>
            <w:r/>
            <w:r>
              <w:rPr>
                <w:rFonts w:ascii="Calibri" w:hAnsi="Calibri"/>
                <w:b w:val="0"/>
                <w:color w:val="0B5566"/>
                <w:sz w:val="17"/>
              </w:rPr>
              <w:t>ceks_recommendations, ceks_validations, ceks_recommendation_history, ceks_recalc_alerts</w:t>
            </w:r>
          </w:p>
        </w:tc>
        <w:tc>
          <w:tcPr>
            <w:tcW w:type="dxa" w:w="3216"/>
            <w:vAlign w:val="center"/>
          </w:tcPr>
          <w:p>
            <w:r/>
            <w:r>
              <w:rPr>
                <w:rFonts w:ascii="Calibri" w:hAnsi="Calibri"/>
                <w:b w:val="0"/>
                <w:sz w:val="18"/>
              </w:rPr>
              <w:t>CULINOVA values beside manufacturer values, the missing-info flags, and the full decision trail.</w:t>
            </w:r>
          </w:p>
        </w:tc>
      </w:tr>
      <w:tr>
        <w:tc>
          <w:tcPr>
            <w:tcW w:type="dxa" w:w="3216"/>
            <w:vAlign w:val="center"/>
          </w:tcPr>
          <w:p>
            <w:r/>
            <w:r>
              <w:rPr>
                <w:rFonts w:ascii="Calibri" w:hAnsi="Calibri"/>
                <w:b/>
                <w:sz w:val="19"/>
              </w:rPr>
              <w:t>Knowledge &amp; Equipment</w:t>
            </w:r>
          </w:p>
        </w:tc>
        <w:tc>
          <w:tcPr>
            <w:tcW w:type="dxa" w:w="3216"/>
            <w:vAlign w:val="center"/>
          </w:tcPr>
          <w:p>
            <w:r/>
            <w:r>
              <w:rPr>
                <w:rFonts w:ascii="Calibri" w:hAnsi="Calibri"/>
                <w:b w:val="0"/>
                <w:color w:val="0B5566"/>
                <w:sz w:val="17"/>
              </w:rPr>
              <w:t>ceks_knowledge_entries, ceks_knowledge_versions, ceks_knowledge_attributes, ceks_models</w:t>
            </w:r>
          </w:p>
        </w:tc>
        <w:tc>
          <w:tcPr>
            <w:tcW w:type="dxa" w:w="3216"/>
            <w:vAlign w:val="center"/>
          </w:tcPr>
          <w:p>
            <w:r/>
            <w:r>
              <w:rPr>
                <w:rFonts w:ascii="Calibri" w:hAnsi="Calibri"/>
                <w:b w:val="0"/>
                <w:sz w:val="18"/>
              </w:rPr>
              <w:t>The extracted manufacturer data — never overwritten — that rules are applied against.</w:t>
            </w:r>
          </w:p>
        </w:tc>
      </w:tr>
      <w:tr>
        <w:tc>
          <w:tcPr>
            <w:tcW w:type="dxa" w:w="3216"/>
            <w:vAlign w:val="center"/>
          </w:tcPr>
          <w:p>
            <w:r/>
            <w:r>
              <w:rPr>
                <w:rFonts w:ascii="Calibri" w:hAnsi="Calibri"/>
                <w:b/>
                <w:sz w:val="19"/>
              </w:rPr>
              <w:t>Projects · MEP · Drawings</w:t>
            </w:r>
          </w:p>
        </w:tc>
        <w:tc>
          <w:tcPr>
            <w:tcW w:type="dxa" w:w="3216"/>
            <w:vAlign w:val="center"/>
          </w:tcPr>
          <w:p>
            <w:r/>
            <w:r>
              <w:rPr>
                <w:rFonts w:ascii="Calibri" w:hAnsi="Calibri"/>
                <w:b w:val="0"/>
                <w:color w:val="0B5566"/>
                <w:sz w:val="17"/>
              </w:rPr>
              <w:t>ceks_projects, ceks_project_items, ceks_drawings, ceks_drawing_points, ceks_schedule_types, ceks_utility_point_types</w:t>
            </w:r>
          </w:p>
        </w:tc>
        <w:tc>
          <w:tcPr>
            <w:tcW w:type="dxa" w:w="3216"/>
            <w:vAlign w:val="center"/>
          </w:tcPr>
          <w:p>
            <w:r/>
            <w:r>
              <w:rPr>
                <w:rFonts w:ascii="Calibri" w:hAnsi="Calibri"/>
                <w:b w:val="0"/>
                <w:sz w:val="18"/>
              </w:rPr>
              <w:t>Equipment selection, coloured MEP points, schedules, and annotated drawings.</w:t>
            </w:r>
          </w:p>
        </w:tc>
      </w:tr>
    </w:tbl>
    <w:p>
      <w:r>
        <w:br w:type="page"/>
      </w:r>
    </w:p>
    <w:p>
      <w:pPr>
        <w:spacing w:after="20"/>
      </w:pPr>
      <w:r>
        <w:rPr>
          <w:rFonts w:ascii="Calibri" w:hAnsi="Calibri"/>
          <w:b/>
          <w:color w:val="0E7490"/>
          <w:sz w:val="16"/>
          <w:spacing w:val="40"/>
        </w:rPr>
        <w:t>WHERE THE STANDARDS LIVE</w:t>
      </w:r>
    </w:p>
    <w:p>
      <w:pPr>
        <w:pStyle w:val="Heading1"/>
      </w:pPr>
      <w:r>
        <w:t>EOS reads the meaning of every value — not just the text</w:t>
      </w:r>
    </w:p>
    <w:p>
      <w:pPr>
        <w:spacing w:after="140"/>
      </w:pPr>
      <w:r>
        <w:rPr>
          <w:b w:val="0"/>
          <w:i w:val="0"/>
          <w:sz w:val="21"/>
        </w:rPr>
        <w:t>This is the difference between a spreadsheet and a knowledge base. When a standards workbook is imported, EOS does not store it as a table. It classifies every single cell by what that value tells the engine to do. The eight directive types below are how EOS understands a category from an engineering perspective — and how it knows exactly what it can compute today versus what is waiting on a discipline rule.</w:t>
      </w:r>
    </w:p>
    <w:tbl>
      <w:tblPr>
        <w:tblStyle w:val="TableGrid"/>
        <w:tblW w:type="auto" w:w="0"/>
        <w:tblLook w:firstColumn="1" w:firstRow="1" w:lastColumn="0" w:lastRow="0" w:noHBand="0" w:noVBand="1" w:val="04A0"/>
      </w:tblPr>
      <w:tblGrid>
        <w:gridCol w:w="2880"/>
        <w:gridCol w:w="6624"/>
      </w:tblGrid>
      <w:tr>
        <w:tc>
          <w:tcPr>
            <w:tcW w:type="dxa" w:w="4824"/>
            <w:vAlign w:val="center"/>
          </w:tcPr>
          <w:p>
            <w:r/>
            <w:r>
              <w:rPr>
                <w:rFonts w:ascii="Calibri" w:hAnsi="Calibri"/>
                <w:b/>
                <w:color w:val="10171F"/>
                <w:sz w:val="19"/>
              </w:rPr>
              <w:t>Manufacturer</w:t>
            </w:r>
          </w:p>
        </w:tc>
        <w:tc>
          <w:tcPr>
            <w:tcW w:type="dxa" w:w="4824"/>
            <w:vAlign w:val="center"/>
          </w:tcPr>
          <w:p>
            <w:r/>
            <w:r>
              <w:rPr>
                <w:rFonts w:ascii="Calibri" w:hAnsi="Calibri"/>
                <w:b w:val="0"/>
                <w:sz w:val="19"/>
              </w:rPr>
              <w:t>Taken from the datasheet</w:t>
            </w:r>
          </w:p>
        </w:tc>
      </w:tr>
      <w:tr>
        <w:tc>
          <w:tcPr>
            <w:tcW w:type="dxa" w:w="4824"/>
            <w:vAlign w:val="center"/>
          </w:tcPr>
          <w:p>
            <w:r/>
            <w:r>
              <w:rPr>
                <w:rFonts w:ascii="Calibri" w:hAnsi="Calibri"/>
                <w:b/>
                <w:color w:val="10171F"/>
                <w:sz w:val="19"/>
              </w:rPr>
              <w:t>Fixed CULINOVA value</w:t>
            </w:r>
          </w:p>
        </w:tc>
        <w:tc>
          <w:tcPr>
            <w:tcW w:type="dxa" w:w="4824"/>
            <w:vAlign w:val="center"/>
          </w:tcPr>
          <w:p>
            <w:r/>
            <w:r>
              <w:rPr>
                <w:rFonts w:ascii="Calibri" w:hAnsi="Calibri"/>
                <w:b w:val="0"/>
                <w:sz w:val="19"/>
              </w:rPr>
              <w:t>A concrete standard value, e.g. 1000 mm</w:t>
            </w:r>
          </w:p>
        </w:tc>
      </w:tr>
      <w:tr>
        <w:tc>
          <w:tcPr>
            <w:tcW w:type="dxa" w:w="4824"/>
            <w:vAlign w:val="center"/>
          </w:tcPr>
          <w:p>
            <w:r/>
            <w:r>
              <w:rPr>
                <w:rFonts w:ascii="Calibri" w:hAnsi="Calibri"/>
                <w:b/>
                <w:color w:val="10171F"/>
                <w:sz w:val="19"/>
              </w:rPr>
              <w:t>Policy</w:t>
            </w:r>
          </w:p>
        </w:tc>
        <w:tc>
          <w:tcPr>
            <w:tcW w:type="dxa" w:w="4824"/>
            <w:vAlign w:val="center"/>
          </w:tcPr>
          <w:p>
            <w:r/>
            <w:r>
              <w:rPr>
                <w:rFonts w:ascii="Calibri" w:hAnsi="Calibri"/>
                <w:b w:val="0"/>
                <w:sz w:val="19"/>
              </w:rPr>
              <w:t>A Yes / No / Required decision</w:t>
            </w:r>
          </w:p>
        </w:tc>
      </w:tr>
      <w:tr>
        <w:tc>
          <w:tcPr>
            <w:tcW w:type="dxa" w:w="4824"/>
            <w:vAlign w:val="center"/>
          </w:tcPr>
          <w:p>
            <w:r/>
            <w:r>
              <w:rPr>
                <w:rFonts w:ascii="Calibri" w:hAnsi="Calibri"/>
                <w:b/>
                <w:color w:val="10171F"/>
                <w:sz w:val="19"/>
              </w:rPr>
              <w:t>Options</w:t>
            </w:r>
          </w:p>
        </w:tc>
        <w:tc>
          <w:tcPr>
            <w:tcW w:type="dxa" w:w="4824"/>
            <w:vAlign w:val="center"/>
          </w:tcPr>
          <w:p>
            <w:r/>
            <w:r>
              <w:rPr>
                <w:rFonts w:ascii="Calibri" w:hAnsi="Calibri"/>
                <w:b w:val="0"/>
                <w:sz w:val="19"/>
              </w:rPr>
              <w:t>Choose one from a list</w:t>
            </w:r>
          </w:p>
        </w:tc>
      </w:tr>
      <w:tr>
        <w:tc>
          <w:tcPr>
            <w:tcW w:type="dxa" w:w="4824"/>
            <w:vAlign w:val="center"/>
          </w:tcPr>
          <w:p>
            <w:r/>
            <w:r>
              <w:rPr>
                <w:rFonts w:ascii="Calibri" w:hAnsi="Calibri"/>
                <w:b/>
                <w:color w:val="B45309"/>
                <w:sz w:val="19"/>
              </w:rPr>
              <w:t>Discipline rule</w:t>
            </w:r>
          </w:p>
        </w:tc>
        <w:tc>
          <w:tcPr>
            <w:tcW w:type="dxa" w:w="4824"/>
            <w:vAlign w:val="center"/>
          </w:tcPr>
          <w:p>
            <w:r/>
            <w:r>
              <w:rPr>
                <w:rFonts w:ascii="Calibri" w:hAnsi="Calibri"/>
                <w:b w:val="0"/>
                <w:color w:val="B45309"/>
                <w:sz w:val="19"/>
              </w:rPr>
              <w:t>References a rule table — PENDING until provided</w:t>
            </w:r>
          </w:p>
        </w:tc>
      </w:tr>
      <w:tr>
        <w:tc>
          <w:tcPr>
            <w:tcW w:type="dxa" w:w="4824"/>
            <w:vAlign w:val="center"/>
          </w:tcPr>
          <w:p>
            <w:r/>
            <w:r>
              <w:rPr>
                <w:rFonts w:ascii="Calibri" w:hAnsi="Calibri"/>
                <w:b/>
                <w:color w:val="B45309"/>
                <w:sz w:val="19"/>
              </w:rPr>
              <w:t>Calculation</w:t>
            </w:r>
          </w:p>
        </w:tc>
        <w:tc>
          <w:tcPr>
            <w:tcW w:type="dxa" w:w="4824"/>
            <w:vAlign w:val="center"/>
          </w:tcPr>
          <w:p>
            <w:r/>
            <w:r>
              <w:rPr>
                <w:rFonts w:ascii="Calibri" w:hAnsi="Calibri"/>
                <w:b w:val="0"/>
                <w:color w:val="B45309"/>
                <w:sz w:val="19"/>
              </w:rPr>
              <w:t>Needs an engineering formula — PENDING until provided</w:t>
            </w:r>
          </w:p>
        </w:tc>
      </w:tr>
      <w:tr>
        <w:tc>
          <w:tcPr>
            <w:tcW w:type="dxa" w:w="4824"/>
            <w:vAlign w:val="center"/>
          </w:tcPr>
          <w:p>
            <w:r/>
            <w:r>
              <w:rPr>
                <w:rFonts w:ascii="Calibri" w:hAnsi="Calibri"/>
                <w:b/>
                <w:color w:val="10171F"/>
                <w:sz w:val="19"/>
              </w:rPr>
              <w:t>Not applicable</w:t>
            </w:r>
          </w:p>
        </w:tc>
        <w:tc>
          <w:tcPr>
            <w:tcW w:type="dxa" w:w="4824"/>
            <w:vAlign w:val="center"/>
          </w:tcPr>
          <w:p>
            <w:r/>
            <w:r>
              <w:rPr>
                <w:rFonts w:ascii="Calibri" w:hAnsi="Calibri"/>
                <w:b w:val="0"/>
                <w:sz w:val="19"/>
              </w:rPr>
              <w:t>Does not apply to this category</w:t>
            </w:r>
          </w:p>
        </w:tc>
      </w:tr>
      <w:tr>
        <w:tc>
          <w:tcPr>
            <w:tcW w:type="dxa" w:w="4824"/>
            <w:vAlign w:val="center"/>
          </w:tcPr>
          <w:p>
            <w:r/>
            <w:r>
              <w:rPr>
                <w:rFonts w:ascii="Calibri" w:hAnsi="Calibri"/>
                <w:b/>
                <w:color w:val="10171F"/>
                <w:sz w:val="19"/>
              </w:rPr>
              <w:t>Engineering note</w:t>
            </w:r>
          </w:p>
        </w:tc>
        <w:tc>
          <w:tcPr>
            <w:tcW w:type="dxa" w:w="4824"/>
            <w:vAlign w:val="center"/>
          </w:tcPr>
          <w:p>
            <w:r/>
            <w:r>
              <w:rPr>
                <w:rFonts w:ascii="Calibri" w:hAnsi="Calibri"/>
                <w:b w:val="0"/>
                <w:sz w:val="19"/>
              </w:rPr>
              <w:t>Reference notes</w:t>
            </w:r>
          </w:p>
        </w:tc>
      </w:tr>
    </w:tbl>
    <w:p>
      <w:pPr>
        <w:spacing w:after="140"/>
      </w:pPr>
      <w:r>
        <w:rPr>
          <w:b w:val="0"/>
          <w:i w:val="0"/>
          <w:sz w:val="21"/>
        </w:rPr>
      </w:r>
    </w:p>
    <w:p>
      <w:pPr>
        <w:spacing w:after="140"/>
      </w:pPr>
      <w:r>
        <w:rPr>
          <w:b w:val="0"/>
          <w:sz w:val="21"/>
        </w:rPr>
        <w:t xml:space="preserve">Every equipment family workbook is structured slightly differently — different column names, different “not-applicable” markers, extra columns like Data Priority. EOS was built to absorb that variation generically, so the remaining families import with no code change. Today </w:t>
      </w:r>
      <w:r>
        <w:rPr>
          <w:b/>
          <w:color w:val="10171F"/>
          <w:sz w:val="21"/>
        </w:rPr>
        <w:t>5 of 9 families are loaded</w:t>
      </w:r>
      <w:r>
        <w:rPr>
          <w:b w:val="0"/>
          <w:sz w:val="21"/>
        </w:rPr>
        <w:t xml:space="preserve"> — Cooking, Refrigeration, Food Preparation, Warewashing, Ice Machines — giving 73 category standards and 4,500 classified data points.</w:t>
      </w:r>
    </w:p>
    <w:p>
      <w:pPr>
        <w:spacing w:before="80" w:after="160"/>
        <w:pBdr>
          <w:bottom w:val="single" w:sz="6" w:space="1" w:color="D2D8E0"/>
        </w:pBdr>
      </w:pPr>
    </w:p>
    <w:p>
      <w:pPr>
        <w:spacing w:after="20"/>
      </w:pPr>
      <w:r>
        <w:rPr>
          <w:rFonts w:ascii="Calibri" w:hAnsi="Calibri"/>
          <w:b/>
          <w:color w:val="0E7490"/>
          <w:sz w:val="16"/>
          <w:spacing w:val="40"/>
        </w:rPr>
        <w:t>HOW STANDARDS LINK TO EQUIPMENT</w:t>
      </w:r>
    </w:p>
    <w:p>
      <w:pPr>
        <w:pStyle w:val="Heading1"/>
      </w:pPr>
      <w:r>
        <w:t>Each machine is bound to its category standard — safely, never guessed</w:t>
      </w:r>
    </w:p>
    <w:p>
      <w:pPr>
        <w:spacing w:after="140"/>
      </w:pPr>
      <w:r>
        <w:rPr>
          <w:b w:val="0"/>
          <w:i w:val="0"/>
          <w:sz w:val="21"/>
        </w:rPr>
        <w:t>A standard is only useful once it governs a real piece of equipment. EOS matches an equipment item to its category standard by type. An exact match links automatically; a close match is suggested for an engineer to confirm; an uncertain match is never forced. This is already working on live equipment in the system:</w:t>
      </w:r>
    </w:p>
    <w:tbl>
      <w:tblPr>
        <w:tblStyle w:val="TableGrid"/>
        <w:tblW w:type="auto" w:w="0"/>
        <w:tblLook w:firstColumn="1" w:firstRow="1" w:lastColumn="0" w:lastRow="0" w:noHBand="0" w:noVBand="1" w:val="04A0"/>
      </w:tblPr>
      <w:tblGrid>
        <w:gridCol w:w="2304"/>
        <w:gridCol w:w="7200"/>
      </w:tblGrid>
      <w:tr>
        <w:tc>
          <w:tcPr>
            <w:tcW w:type="dxa" w:w="4824"/>
            <w:shd w:val="clear" w:fill="F5F8FA"/>
            <w:vAlign w:val="center"/>
          </w:tcPr>
          <w:p>
            <w:r/>
            <w:r>
              <w:rPr>
                <w:rFonts w:ascii="Calibri" w:hAnsi="Calibri"/>
                <w:b/>
                <w:color w:val="697585"/>
                <w:sz w:val="18"/>
              </w:rPr>
              <w:t>Equipment</w:t>
            </w:r>
          </w:p>
        </w:tc>
        <w:tc>
          <w:tcPr>
            <w:tcW w:type="dxa" w:w="4824"/>
            <w:vAlign w:val="center"/>
          </w:tcPr>
          <w:p>
            <w:r/>
            <w:r>
              <w:rPr>
                <w:rFonts w:ascii="Calibri" w:hAnsi="Calibri"/>
                <w:b w:val="0"/>
                <w:sz w:val="19"/>
              </w:rPr>
              <w:t>UNOX Combi Oven (extracted from its datasheet)</w:t>
            </w:r>
          </w:p>
        </w:tc>
      </w:tr>
      <w:tr>
        <w:tc>
          <w:tcPr>
            <w:tcW w:type="dxa" w:w="4824"/>
            <w:shd w:val="clear" w:fill="F5F8FA"/>
            <w:vAlign w:val="center"/>
          </w:tcPr>
          <w:p>
            <w:r/>
            <w:r>
              <w:rPr>
                <w:rFonts w:ascii="Calibri" w:hAnsi="Calibri"/>
                <w:b/>
                <w:color w:val="697585"/>
                <w:sz w:val="18"/>
              </w:rPr>
              <w:t>Bound standard</w:t>
            </w:r>
          </w:p>
        </w:tc>
        <w:tc>
          <w:tcPr>
            <w:tcW w:type="dxa" w:w="4824"/>
            <w:vAlign w:val="center"/>
          </w:tcPr>
          <w:p>
            <w:r/>
            <w:r>
              <w:rPr>
                <w:rFonts w:ascii="Calibri" w:hAnsi="Calibri"/>
                <w:b w:val="0"/>
                <w:sz w:val="19"/>
              </w:rPr>
              <w:t>Cooking → Combi Oven (CAT-011) — auto-linked, exact match</w:t>
            </w:r>
          </w:p>
        </w:tc>
      </w:tr>
      <w:tr>
        <w:tc>
          <w:tcPr>
            <w:tcW w:type="dxa" w:w="4824"/>
            <w:shd w:val="clear" w:fill="F5F8FA"/>
            <w:vAlign w:val="center"/>
          </w:tcPr>
          <w:p>
            <w:r/>
            <w:r>
              <w:rPr>
                <w:rFonts w:ascii="Calibri" w:hAnsi="Calibri"/>
                <w:b/>
                <w:color w:val="697585"/>
                <w:sz w:val="18"/>
              </w:rPr>
              <w:t>EOS now knows</w:t>
            </w:r>
          </w:p>
        </w:tc>
        <w:tc>
          <w:tcPr>
            <w:tcW w:type="dxa" w:w="4824"/>
            <w:vAlign w:val="center"/>
          </w:tcPr>
          <w:p>
            <w:r/>
            <w:r>
              <w:rPr>
                <w:rFonts w:ascii="Calibri" w:hAnsi="Calibri"/>
                <w:b w:val="0"/>
                <w:sz w:val="19"/>
              </w:rPr>
              <w:t>30 engineering requirements apply: dedicated circuit · cold water · Type I hood · 1000 mm clearance · fire suppression — plus which values are manufacturer-sourced and which await the Electrical Rules.</w:t>
            </w:r>
          </w:p>
        </w:tc>
      </w:tr>
      <w:tr>
        <w:tc>
          <w:tcPr>
            <w:tcW w:type="dxa" w:w="4824"/>
            <w:shd w:val="clear" w:fill="F5F8FA"/>
            <w:vAlign w:val="center"/>
          </w:tcPr>
          <w:p>
            <w:r/>
            <w:r>
              <w:rPr>
                <w:rFonts w:ascii="Calibri" w:hAnsi="Calibri"/>
                <w:b/>
                <w:color w:val="697585"/>
                <w:sz w:val="18"/>
              </w:rPr>
              <w:t>Also live</w:t>
            </w:r>
          </w:p>
        </w:tc>
        <w:tc>
          <w:tcPr>
            <w:tcW w:type="dxa" w:w="4824"/>
            <w:vAlign w:val="center"/>
          </w:tcPr>
          <w:p>
            <w:r/>
            <w:r>
              <w:rPr>
                <w:rFonts w:ascii="Calibri" w:hAnsi="Calibri"/>
                <w:b w:val="0"/>
                <w:sz w:val="19"/>
              </w:rPr>
              <w:t>A Vegetable Cutter bound to Food Preparation, an Undercounter Dishwasher bound to Warewashing — automatically.</w:t>
            </w:r>
          </w:p>
        </w:tc>
      </w:tr>
    </w:tbl>
    <w:p>
      <w:r>
        <w:br w:type="page"/>
      </w:r>
    </w:p>
    <w:p>
      <w:pPr>
        <w:spacing w:after="20"/>
      </w:pPr>
      <w:r>
        <w:rPr>
          <w:rFonts w:ascii="Calibri" w:hAnsi="Calibri"/>
          <w:b/>
          <w:color w:val="0E7490"/>
          <w:sz w:val="16"/>
          <w:spacing w:val="40"/>
        </w:rPr>
        <w:t>THE RULES ENGINE &amp; DICTIONARY</w:t>
      </w:r>
    </w:p>
    <w:p>
      <w:pPr>
        <w:pStyle w:val="Heading1"/>
      </w:pPr>
      <w:r>
        <w:t>How EOS calculates, validates, and recommends</w:t>
      </w:r>
    </w:p>
    <w:p>
      <w:pPr>
        <w:spacing w:after="140"/>
      </w:pPr>
      <w:r>
        <w:rPr>
          <w:b w:val="0"/>
          <w:i w:val="0"/>
          <w:sz w:val="21"/>
        </w:rPr>
        <w:t>The Rules Engine contains no engineering knowledge in code — no cable table, no formula. It only knows how to compare a rule against equipment data and apply it. The Parameter Dictionary is what makes this possible: it turns every way a datasheet spells a value (“Power Load”, “Connected Load”, “Total Power”) into one canonical parameter a rule can reference.</w:t>
      </w:r>
    </w:p>
    <w:p>
      <w:pPr>
        <w:spacing w:after="140"/>
      </w:pPr>
      <w:r>
        <w:rPr>
          <w:b w:val="0"/>
          <w:i w:val="0"/>
          <w:sz w:val="21"/>
        </w:rPr>
        <w:t>The engine already proves the full electrical chain end-to-end — including deriving a value the datasheet never stated:</w:t>
      </w:r>
    </w:p>
    <w:tbl>
      <w:tblPr>
        <w:tblStyle w:val="TableGrid"/>
        <w:tblW w:type="auto" w:w="0"/>
        <w:tblLook w:firstColumn="1" w:firstRow="1" w:lastColumn="0" w:lastRow="0" w:noHBand="0" w:noVBand="1" w:val="04A0"/>
      </w:tblPr>
      <w:tblGrid>
        <w:gridCol w:w="2304"/>
        <w:gridCol w:w="7200"/>
      </w:tblGrid>
      <w:tr>
        <w:tc>
          <w:tcPr>
            <w:tcW w:type="dxa" w:w="4824"/>
            <w:shd w:val="clear" w:fill="F5F8FA"/>
            <w:vAlign w:val="center"/>
          </w:tcPr>
          <w:p>
            <w:r/>
            <w:r>
              <w:rPr>
                <w:rFonts w:ascii="Calibri" w:hAnsi="Calibri"/>
                <w:b/>
                <w:color w:val="697585"/>
                <w:sz w:val="18"/>
              </w:rPr>
              <w:t>Manufacturer data</w:t>
            </w:r>
          </w:p>
        </w:tc>
        <w:tc>
          <w:tcPr>
            <w:tcW w:type="dxa" w:w="4824"/>
            <w:vAlign w:val="center"/>
          </w:tcPr>
          <w:p>
            <w:r/>
            <w:r>
              <w:rPr>
                <w:rFonts w:ascii="Calibri" w:hAnsi="Calibri"/>
                <w:b w:val="0"/>
                <w:sz w:val="19"/>
              </w:rPr>
              <w:t>Phase 3-Phase · Voltage 400 V · Power 12 kW — no current stated (as usual)</w:t>
            </w:r>
          </w:p>
        </w:tc>
      </w:tr>
      <w:tr>
        <w:tc>
          <w:tcPr>
            <w:tcW w:type="dxa" w:w="4824"/>
            <w:shd w:val="clear" w:fill="F5F8FA"/>
            <w:vAlign w:val="center"/>
          </w:tcPr>
          <w:p>
            <w:r/>
            <w:r>
              <w:rPr>
                <w:rFonts w:ascii="Calibri" w:hAnsi="Calibri"/>
                <w:b/>
                <w:color w:val="697585"/>
                <w:sz w:val="18"/>
              </w:rPr>
              <w:t>Derivation rule</w:t>
            </w:r>
          </w:p>
        </w:tc>
        <w:tc>
          <w:tcPr>
            <w:tcW w:type="dxa" w:w="4824"/>
            <w:vAlign w:val="center"/>
          </w:tcPr>
          <w:p>
            <w:r/>
            <w:r>
              <w:rPr>
                <w:rFonts w:ascii="Calibri" w:hAnsi="Calibri"/>
                <w:b w:val="0"/>
                <w:sz w:val="19"/>
              </w:rPr>
              <w:t>Current = Power × 1000 ÷ (√3 × Voltage × PF)  →  19.25 A  (formula &amp; power-factor stored as editable engineering data)</w:t>
            </w:r>
          </w:p>
        </w:tc>
      </w:tr>
      <w:tr>
        <w:tc>
          <w:tcPr>
            <w:tcW w:type="dxa" w:w="4824"/>
            <w:shd w:val="clear" w:fill="F5F8FA"/>
            <w:vAlign w:val="center"/>
          </w:tcPr>
          <w:p>
            <w:r/>
            <w:r>
              <w:rPr>
                <w:rFonts w:ascii="Calibri" w:hAnsi="Calibri"/>
                <w:b/>
                <w:color w:val="697585"/>
                <w:sz w:val="18"/>
              </w:rPr>
              <w:t>Recommendation rule</w:t>
            </w:r>
          </w:p>
        </w:tc>
        <w:tc>
          <w:tcPr>
            <w:tcW w:type="dxa" w:w="4824"/>
            <w:vAlign w:val="center"/>
          </w:tcPr>
          <w:p>
            <w:r/>
            <w:r>
              <w:rPr>
                <w:rFonts w:ascii="Calibri" w:hAnsi="Calibri"/>
                <w:b w:val="0"/>
                <w:sz w:val="19"/>
              </w:rPr>
              <w:t>3-Phase, 16–20 A  →  Cable 5×6 mm² Cu · Breaker 32 A 3P MCB</w:t>
            </w:r>
          </w:p>
        </w:tc>
      </w:tr>
      <w:tr>
        <w:tc>
          <w:tcPr>
            <w:tcW w:type="dxa" w:w="4824"/>
            <w:shd w:val="clear" w:fill="F5F8FA"/>
            <w:vAlign w:val="center"/>
          </w:tcPr>
          <w:p>
            <w:r/>
            <w:r>
              <w:rPr>
                <w:rFonts w:ascii="Calibri" w:hAnsi="Calibri"/>
                <w:b/>
                <w:color w:val="697585"/>
                <w:sz w:val="18"/>
              </w:rPr>
              <w:t>Traceability</w:t>
            </w:r>
          </w:p>
        </w:tc>
        <w:tc>
          <w:tcPr>
            <w:tcW w:type="dxa" w:w="4824"/>
            <w:vAlign w:val="center"/>
          </w:tcPr>
          <w:p>
            <w:r/>
            <w:r>
              <w:rPr>
                <w:rFonts w:ascii="Calibri" w:hAnsi="Calibri"/>
                <w:b w:val="0"/>
                <w:color w:val="697585"/>
                <w:sz w:val="19"/>
              </w:rPr>
              <w:t>Generated from Electrical Rule E-006 (v1.0) · matched on Phase = 3-Phase, Current 16–20 A · input: derived current 19.25 A</w:t>
            </w:r>
          </w:p>
        </w:tc>
      </w:tr>
    </w:tbl>
    <w:p>
      <w:pPr>
        <w:spacing w:after="140"/>
      </w:pPr>
      <w:r>
        <w:rPr>
          <w:b w:val="0"/>
          <w:i w:val="0"/>
          <w:sz w:val="21"/>
        </w:rPr>
      </w:r>
    </w:p>
    <w:p>
      <w:pPr>
        <w:spacing w:after="140"/>
      </w:pPr>
      <w:r>
        <w:rPr>
          <w:b w:val="0"/>
          <w:i w:val="0"/>
          <w:sz w:val="21"/>
        </w:rPr>
        <w:t>The engine obeys strict policies set by CULINOVA: highest-priority rule wins; two equal rules that disagree raise an engineer conflict — the system never guesses; when no rule matches, the output is left blank and flagged — never extrapolated; and when a rule is updated, every affected item is flagged for recalculation, decided deliberately.</w:t>
      </w:r>
    </w:p>
    <w:p>
      <w:pPr>
        <w:spacing w:before="80" w:after="160"/>
        <w:pBdr>
          <w:bottom w:val="single" w:sz="6" w:space="1" w:color="D2D8E0"/>
        </w:pBdr>
      </w:pPr>
    </w:p>
    <w:p>
      <w:pPr>
        <w:spacing w:after="20"/>
      </w:pPr>
      <w:r>
        <w:rPr>
          <w:rFonts w:ascii="Calibri" w:hAnsi="Calibri"/>
          <w:b/>
          <w:color w:val="0E7490"/>
          <w:sz w:val="16"/>
          <w:spacing w:val="40"/>
        </w:rPr>
        <w:t>MANUFACTURER VS. CULINOVA</w:t>
      </w:r>
    </w:p>
    <w:p>
      <w:pPr>
        <w:pStyle w:val="Heading1"/>
      </w:pPr>
      <w:r>
        <w:t>Two values, side by side — the engineer signs off</w:t>
      </w:r>
    </w:p>
    <w:p>
      <w:pPr>
        <w:spacing w:after="140"/>
      </w:pPr>
      <w:r>
        <w:rPr>
          <w:b w:val="0"/>
          <w:i w:val="0"/>
          <w:sz w:val="21"/>
        </w:rPr>
        <w:t>EOS never overwrites the manufacturer’s data. Its extracted value and the CULINOVA recommendation are stored together and shown together, so the engineer compares them and decides. Every recommendation carries its full provenance: the rule ID, rule category, rule version, the exact inputs used, the date generated, and who approved it. The engineer can accept, modify, or reject — and a modify or reject requires a written reason. Approval is blocked until every recommendation is resolved. This is what makes EOS an engineering system of record, not a calculator.</w:t>
      </w:r>
    </w:p>
    <w:p>
      <w:pPr>
        <w:spacing w:after="20"/>
      </w:pPr>
      <w:r>
        <w:rPr>
          <w:rFonts w:ascii="Calibri" w:hAnsi="Calibri"/>
          <w:b/>
          <w:color w:val="0E7490"/>
          <w:sz w:val="16"/>
          <w:spacing w:val="40"/>
        </w:rPr>
        <w:t>MEP CALCULATIONS, SCHEDULES &amp; DRAWINGS</w:t>
      </w:r>
    </w:p>
    <w:p>
      <w:pPr>
        <w:pStyle w:val="Heading1"/>
      </w:pPr>
      <w:r>
        <w:t>From approved equipment to the drawing board</w:t>
      </w:r>
    </w:p>
    <w:p>
      <w:pPr>
        <w:spacing w:after="140"/>
      </w:pPr>
      <w:r>
        <w:rPr>
          <w:b w:val="0"/>
          <w:i w:val="0"/>
          <w:sz w:val="21"/>
        </w:rPr>
        <w:t>Once equipment is selected into a project, its approved engineering values flow straight into the deliverables — each utility carried on your own colour and symbol language, editable from the Admin Portal (Electrical=Red, Cold Water=Blue, Hot Water=Orange, Drain=Green, Gas=Yellow, Exhaust=Purple, Fresh Air=Cyan, Fire &amp; Safety).</w:t>
      </w:r>
    </w:p>
    <w:p>
      <w:pPr>
        <w:pStyle w:val="ListBullet"/>
        <w:spacing w:after="40"/>
      </w:pPr>
      <w:r>
        <w:rPr>
          <w:b/>
          <w:color w:val="10171F"/>
          <w:sz w:val="21"/>
        </w:rPr>
        <w:t xml:space="preserve">MEP point schedule — </w:t>
      </w:r>
      <w:r>
        <w:rPr>
          <w:sz w:val="21"/>
        </w:rPr>
        <w:t>every required electrical / water / drain / gas / ventilation point, with value, unit, height, colour &amp; symbol.</w:t>
      </w:r>
    </w:p>
    <w:p>
      <w:pPr>
        <w:pStyle w:val="ListBullet"/>
        <w:spacing w:after="40"/>
      </w:pPr>
      <w:r>
        <w:rPr>
          <w:b/>
          <w:color w:val="10171F"/>
          <w:sz w:val="21"/>
        </w:rPr>
        <w:t xml:space="preserve">13 engineering schedules — </w:t>
      </w:r>
      <w:r>
        <w:rPr>
          <w:sz w:val="21"/>
        </w:rPr>
        <w:t>Equipment, electrical load, plumbing, cold/hot water, drainage, gas, ventilation, exhaust, fresh-air, installation, clearance, combined MEP.</w:t>
      </w:r>
    </w:p>
    <w:p>
      <w:pPr>
        <w:pStyle w:val="ListBullet"/>
        <w:spacing w:after="40"/>
      </w:pPr>
      <w:r>
        <w:rPr>
          <w:b/>
          <w:color w:val="10171F"/>
          <w:sz w:val="21"/>
        </w:rPr>
        <w:t xml:space="preserve">AutoCAD-ready export — </w:t>
      </w:r>
      <w:r>
        <w:rPr>
          <w:sz w:val="21"/>
        </w:rPr>
        <w:t>clean schedules + coordinate/point exports (X, Y, rotation, colour, symbol) formatted to drop straight into your CAD drawings.</w:t>
      </w:r>
    </w:p>
    <w:p>
      <w:pPr>
        <w:pStyle w:val="ListBullet"/>
        <w:spacing w:after="40"/>
      </w:pPr>
      <w:r>
        <w:rPr>
          <w:b/>
          <w:color w:val="10171F"/>
          <w:sz w:val="21"/>
        </w:rPr>
        <w:t xml:space="preserve">Drawing workspace — </w:t>
      </w:r>
      <w:r>
        <w:rPr>
          <w:sz w:val="21"/>
        </w:rPr>
        <w:t>upload a plan, place equipment, attach coloured MEP points, toggle utility layers, annotate, and export an annotated PDF with legend and revision.</w:t>
      </w:r>
    </w:p>
    <w:p>
      <w:pPr>
        <w:spacing w:after="20"/>
      </w:pPr>
      <w:r>
        <w:rPr>
          <w:rFonts w:ascii="Calibri" w:hAnsi="Calibri"/>
          <w:b/>
          <w:color w:val="0E7490"/>
          <w:sz w:val="16"/>
          <w:spacing w:val="40"/>
        </w:rPr>
        <w:t>END TO END</w:t>
      </w:r>
    </w:p>
    <w:p>
      <w:pPr>
        <w:pStyle w:val="Heading1"/>
      </w:pPr>
      <w:r>
        <w:t>One flow — datasheet to deliverable</w:t>
      </w:r>
    </w:p>
    <w:p>
      <w:pPr>
        <w:pStyle w:val="ListBullet"/>
        <w:spacing w:after="40"/>
      </w:pPr>
      <w:r>
        <w:rPr>
          <w:b/>
          <w:color w:val="10171F"/>
          <w:sz w:val="21"/>
        </w:rPr>
        <w:t xml:space="preserve">Step 1: </w:t>
      </w:r>
      <w:r>
        <w:rPr>
          <w:sz w:val="21"/>
        </w:rPr>
        <w:t>Extract — AI reads the manufacturer datasheet into structured, source-cited data.</w:t>
      </w:r>
    </w:p>
    <w:p>
      <w:pPr>
        <w:pStyle w:val="ListBullet"/>
        <w:spacing w:after="40"/>
      </w:pPr>
      <w:r>
        <w:rPr>
          <w:b/>
          <w:color w:val="10171F"/>
          <w:sz w:val="21"/>
        </w:rPr>
        <w:t xml:space="preserve">Step 2: </w:t>
      </w:r>
      <w:r>
        <w:rPr>
          <w:sz w:val="21"/>
        </w:rPr>
        <w:t>Match — equipment is bound to its category standard (its full engineering requirement set).</w:t>
      </w:r>
    </w:p>
    <w:p>
      <w:pPr>
        <w:pStyle w:val="ListBullet"/>
        <w:spacing w:after="40"/>
      </w:pPr>
      <w:r>
        <w:rPr>
          <w:b/>
          <w:color w:val="10171F"/>
          <w:sz w:val="21"/>
        </w:rPr>
        <w:t xml:space="preserve">Step 3: </w:t>
      </w:r>
      <w:r>
        <w:rPr>
          <w:sz w:val="21"/>
        </w:rPr>
        <w:t>Apply &amp; derive — rules run; missing inputs are derived by formula; nothing is guessed.</w:t>
      </w:r>
    </w:p>
    <w:p>
      <w:pPr>
        <w:pStyle w:val="ListBullet"/>
        <w:spacing w:after="40"/>
      </w:pPr>
      <w:r>
        <w:rPr>
          <w:b/>
          <w:color w:val="10171F"/>
          <w:sz w:val="21"/>
        </w:rPr>
        <w:t xml:space="preserve">Step 4: </w:t>
      </w:r>
      <w:r>
        <w:rPr>
          <w:sz w:val="21"/>
        </w:rPr>
        <w:t>Recommend — manufacturer vs CULINOVA, with traceability; engineer accepts / modifies / rejects.</w:t>
      </w:r>
    </w:p>
    <w:p>
      <w:pPr>
        <w:pStyle w:val="ListBullet"/>
        <w:spacing w:after="40"/>
      </w:pPr>
      <w:r>
        <w:rPr>
          <w:b/>
          <w:color w:val="10171F"/>
          <w:sz w:val="21"/>
        </w:rPr>
        <w:t xml:space="preserve">Step 5: </w:t>
      </w:r>
      <w:r>
        <w:rPr>
          <w:sz w:val="21"/>
        </w:rPr>
        <w:t>Generate — MEP points, schedules, drawings, AI answers — and publish to the ERP.</w:t>
      </w:r>
    </w:p>
    <w:p>
      <w:r>
        <w:br w:type="page"/>
      </w:r>
    </w:p>
    <w:p>
      <w:pPr>
        <w:spacing w:after="20"/>
      </w:pPr>
      <w:r>
        <w:rPr>
          <w:rFonts w:ascii="Calibri" w:hAnsi="Calibri"/>
          <w:b/>
          <w:color w:val="0E7490"/>
          <w:sz w:val="16"/>
          <w:spacing w:val="40"/>
        </w:rPr>
        <w:t>WHERE WE ARE — HONESTLY</w:t>
      </w:r>
    </w:p>
    <w:p>
      <w:pPr>
        <w:pStyle w:val="Heading1"/>
      </w:pPr>
      <w:r>
        <w:t>The platform is built and proven. It is waiting on knowledge, not code.</w:t>
      </w:r>
    </w:p>
    <w:p>
      <w:pPr>
        <w:spacing w:after="140"/>
      </w:pPr>
      <w:r>
        <w:rPr>
          <w:b w:val="0"/>
          <w:i w:val="0"/>
          <w:sz w:val="21"/>
        </w:rPr>
        <w:t>The entire architecture above is live and verified. What remains is not development — it is the engineering knowledge itself, which is exactly what CULINOVA is preparing. EOS already tracks precisely what it is waiting for, per equipment, so nothing is lost or vague.</w:t>
      </w:r>
    </w:p>
    <w:tbl>
      <w:tblPr>
        <w:tblStyle w:val="TableGrid"/>
        <w:tblW w:type="auto" w:w="0"/>
        <w:tblLook w:firstColumn="1" w:firstRow="1" w:lastColumn="0" w:lastRow="0" w:noHBand="0" w:noVBand="1" w:val="04A0"/>
      </w:tblPr>
      <w:tblGrid>
        <w:gridCol w:w="2880"/>
        <w:gridCol w:w="1296"/>
        <w:gridCol w:w="5328"/>
      </w:tblGrid>
      <w:tr>
        <w:tc>
          <w:tcPr>
            <w:tcW w:type="dxa" w:w="3216"/>
            <w:shd w:val="clear" w:fill="EEF1F4"/>
            <w:vAlign w:val="center"/>
          </w:tcPr>
          <w:p>
            <w:r/>
            <w:r>
              <w:rPr>
                <w:rFonts w:ascii="Calibri" w:hAnsi="Calibri"/>
                <w:b/>
                <w:color w:val="697585"/>
                <w:sz w:val="17"/>
              </w:rPr>
              <w:t>CAPABILITY</w:t>
            </w:r>
          </w:p>
        </w:tc>
        <w:tc>
          <w:tcPr>
            <w:tcW w:type="dxa" w:w="3216"/>
            <w:shd w:val="clear" w:fill="EEF1F4"/>
            <w:vAlign w:val="center"/>
          </w:tcPr>
          <w:p>
            <w:r/>
            <w:r>
              <w:rPr>
                <w:rFonts w:ascii="Calibri" w:hAnsi="Calibri"/>
                <w:b/>
                <w:color w:val="697585"/>
                <w:sz w:val="17"/>
              </w:rPr>
              <w:t>STATE</w:t>
            </w:r>
          </w:p>
        </w:tc>
        <w:tc>
          <w:tcPr>
            <w:tcW w:type="dxa" w:w="3216"/>
            <w:shd w:val="clear" w:fill="EEF1F4"/>
            <w:vAlign w:val="center"/>
          </w:tcPr>
          <w:p>
            <w:r/>
            <w:r>
              <w:rPr>
                <w:rFonts w:ascii="Calibri" w:hAnsi="Calibri"/>
                <w:b/>
                <w:color w:val="697585"/>
                <w:sz w:val="17"/>
              </w:rPr>
              <w:t>DETAIL</w:t>
            </w:r>
          </w:p>
        </w:tc>
      </w:tr>
      <w:tr>
        <w:tc>
          <w:tcPr>
            <w:tcW w:type="dxa" w:w="3216"/>
            <w:vAlign w:val="center"/>
          </w:tcPr>
          <w:p>
            <w:r/>
            <w:r>
              <w:rPr>
                <w:rFonts w:ascii="Calibri" w:hAnsi="Calibri"/>
                <w:b/>
                <w:sz w:val="19"/>
              </w:rPr>
              <w:t>Engineering Standards Library</w:t>
            </w:r>
          </w:p>
        </w:tc>
        <w:tc>
          <w:tcPr>
            <w:tcW w:type="dxa" w:w="3216"/>
            <w:shd w:val="clear" w:fill="EAF5EE"/>
            <w:vAlign w:val="center"/>
          </w:tcPr>
          <w:p>
            <w:pPr>
              <w:jc w:val="center"/>
            </w:pPr>
            <w:r/>
            <w:r>
              <w:rPr>
                <w:rFonts w:ascii="Calibri" w:hAnsi="Calibri"/>
                <w:b/>
                <w:color w:val="15803D"/>
                <w:sz w:val="18"/>
              </w:rPr>
              <w:t>LIVE</w:t>
            </w:r>
          </w:p>
        </w:tc>
        <w:tc>
          <w:tcPr>
            <w:tcW w:type="dxa" w:w="3216"/>
            <w:vAlign w:val="center"/>
          </w:tcPr>
          <w:p>
            <w:r/>
            <w:r>
              <w:rPr>
                <w:rFonts w:ascii="Calibri" w:hAnsi="Calibri"/>
                <w:b w:val="0"/>
                <w:sz w:val="18"/>
              </w:rPr>
              <w:t>5 of 9 families loaded — 73 standards, 4,500 classified data points. Remaining: Beverage, Bakery, Ventilation, Laundry.</w:t>
            </w:r>
          </w:p>
        </w:tc>
      </w:tr>
      <w:tr>
        <w:tc>
          <w:tcPr>
            <w:tcW w:type="dxa" w:w="3216"/>
            <w:vAlign w:val="center"/>
          </w:tcPr>
          <w:p>
            <w:r/>
            <w:r>
              <w:rPr>
                <w:rFonts w:ascii="Calibri" w:hAnsi="Calibri"/>
                <w:b/>
                <w:sz w:val="19"/>
              </w:rPr>
              <w:t>Rules Engine &amp; Dictionary</w:t>
            </w:r>
          </w:p>
        </w:tc>
        <w:tc>
          <w:tcPr>
            <w:tcW w:type="dxa" w:w="3216"/>
            <w:shd w:val="clear" w:fill="EAF5EE"/>
            <w:vAlign w:val="center"/>
          </w:tcPr>
          <w:p>
            <w:pPr>
              <w:jc w:val="center"/>
            </w:pPr>
            <w:r/>
            <w:r>
              <w:rPr>
                <w:rFonts w:ascii="Calibri" w:hAnsi="Calibri"/>
                <w:b/>
                <w:color w:val="15803D"/>
                <w:sz w:val="18"/>
              </w:rPr>
              <w:t>LIVE</w:t>
            </w:r>
          </w:p>
        </w:tc>
        <w:tc>
          <w:tcPr>
            <w:tcW w:type="dxa" w:w="3216"/>
            <w:vAlign w:val="center"/>
          </w:tcPr>
          <w:p>
            <w:r/>
            <w:r>
              <w:rPr>
                <w:rFonts w:ascii="Calibri" w:hAnsi="Calibri"/>
                <w:b w:val="0"/>
                <w:sz w:val="18"/>
              </w:rPr>
              <w:t>Condition→output rules, derivation formulas, priority/conflict, traceability — proven on the electrical example.</w:t>
            </w:r>
          </w:p>
        </w:tc>
      </w:tr>
      <w:tr>
        <w:tc>
          <w:tcPr>
            <w:tcW w:type="dxa" w:w="3216"/>
            <w:vAlign w:val="center"/>
          </w:tcPr>
          <w:p>
            <w:r/>
            <w:r>
              <w:rPr>
                <w:rFonts w:ascii="Calibri" w:hAnsi="Calibri"/>
                <w:b/>
                <w:sz w:val="19"/>
              </w:rPr>
              <w:t>Recommendations &amp; validation</w:t>
            </w:r>
          </w:p>
        </w:tc>
        <w:tc>
          <w:tcPr>
            <w:tcW w:type="dxa" w:w="3216"/>
            <w:shd w:val="clear" w:fill="EAF5EE"/>
            <w:vAlign w:val="center"/>
          </w:tcPr>
          <w:p>
            <w:pPr>
              <w:jc w:val="center"/>
            </w:pPr>
            <w:r/>
            <w:r>
              <w:rPr>
                <w:rFonts w:ascii="Calibri" w:hAnsi="Calibri"/>
                <w:b/>
                <w:color w:val="15803D"/>
                <w:sz w:val="18"/>
              </w:rPr>
              <w:t>LIVE</w:t>
            </w:r>
          </w:p>
        </w:tc>
        <w:tc>
          <w:tcPr>
            <w:tcW w:type="dxa" w:w="3216"/>
            <w:vAlign w:val="center"/>
          </w:tcPr>
          <w:p>
            <w:r/>
            <w:r>
              <w:rPr>
                <w:rFonts w:ascii="Calibri" w:hAnsi="Calibri"/>
                <w:b w:val="0"/>
                <w:sz w:val="18"/>
              </w:rPr>
              <w:t>Manufacturer vs CULINOVA, engineer accept/modify/reject, approval gating, recalculation alerts.</w:t>
            </w:r>
          </w:p>
        </w:tc>
      </w:tr>
      <w:tr>
        <w:tc>
          <w:tcPr>
            <w:tcW w:type="dxa" w:w="3216"/>
            <w:vAlign w:val="center"/>
          </w:tcPr>
          <w:p>
            <w:r/>
            <w:r>
              <w:rPr>
                <w:rFonts w:ascii="Calibri" w:hAnsi="Calibri"/>
                <w:b/>
                <w:sz w:val="19"/>
              </w:rPr>
              <w:t>Projects · MEP · schedules · drawings · AI</w:t>
            </w:r>
          </w:p>
        </w:tc>
        <w:tc>
          <w:tcPr>
            <w:tcW w:type="dxa" w:w="3216"/>
            <w:shd w:val="clear" w:fill="EAF5EE"/>
            <w:vAlign w:val="center"/>
          </w:tcPr>
          <w:p>
            <w:pPr>
              <w:jc w:val="center"/>
            </w:pPr>
            <w:r/>
            <w:r>
              <w:rPr>
                <w:rFonts w:ascii="Calibri" w:hAnsi="Calibri"/>
                <w:b/>
                <w:color w:val="15803D"/>
                <w:sz w:val="18"/>
              </w:rPr>
              <w:t>LIVE</w:t>
            </w:r>
          </w:p>
        </w:tc>
        <w:tc>
          <w:tcPr>
            <w:tcW w:type="dxa" w:w="3216"/>
            <w:vAlign w:val="center"/>
          </w:tcPr>
          <w:p>
            <w:r/>
            <w:r>
              <w:rPr>
                <w:rFonts w:ascii="Calibri" w:hAnsi="Calibri"/>
                <w:b w:val="0"/>
                <w:sz w:val="18"/>
              </w:rPr>
              <w:t>Equipment selection, coloured MEP points, 13 schedules, AutoCAD export, drawing workspace, cited AI assistant.</w:t>
            </w:r>
          </w:p>
        </w:tc>
      </w:tr>
      <w:tr>
        <w:tc>
          <w:tcPr>
            <w:tcW w:type="dxa" w:w="3216"/>
            <w:vAlign w:val="center"/>
          </w:tcPr>
          <w:p>
            <w:r/>
            <w:r>
              <w:rPr>
                <w:rFonts w:ascii="Calibri" w:hAnsi="Calibri"/>
                <w:b/>
                <w:sz w:val="19"/>
              </w:rPr>
              <w:t>Electrical Rules table</w:t>
            </w:r>
          </w:p>
        </w:tc>
        <w:tc>
          <w:tcPr>
            <w:tcW w:type="dxa" w:w="3216"/>
            <w:shd w:val="clear" w:fill="FBF0E2"/>
            <w:vAlign w:val="center"/>
          </w:tcPr>
          <w:p>
            <w:pPr>
              <w:jc w:val="center"/>
            </w:pPr>
            <w:r/>
            <w:r>
              <w:rPr>
                <w:rFonts w:ascii="Calibri" w:hAnsi="Calibri"/>
                <w:b/>
                <w:color w:val="B45309"/>
                <w:sz w:val="18"/>
              </w:rPr>
              <w:t>AWAITING</w:t>
            </w:r>
          </w:p>
        </w:tc>
        <w:tc>
          <w:tcPr>
            <w:tcW w:type="dxa" w:w="3216"/>
            <w:vAlign w:val="center"/>
          </w:tcPr>
          <w:p>
            <w:r/>
            <w:r>
              <w:rPr>
                <w:rFonts w:ascii="Calibri" w:hAnsi="Calibri"/>
                <w:b w:val="0"/>
                <w:sz w:val="18"/>
              </w:rPr>
              <w:t>157 references across the loaded standards are ready to resolve the moment this table arrives.</w:t>
            </w:r>
          </w:p>
        </w:tc>
      </w:tr>
      <w:tr>
        <w:tc>
          <w:tcPr>
            <w:tcW w:type="dxa" w:w="3216"/>
            <w:vAlign w:val="center"/>
          </w:tcPr>
          <w:p>
            <w:r/>
            <w:r>
              <w:rPr>
                <w:rFonts w:ascii="Calibri" w:hAnsi="Calibri"/>
                <w:b/>
                <w:sz w:val="19"/>
              </w:rPr>
              <w:t>Gas Rules table</w:t>
            </w:r>
          </w:p>
        </w:tc>
        <w:tc>
          <w:tcPr>
            <w:tcW w:type="dxa" w:w="3216"/>
            <w:shd w:val="clear" w:fill="FBF0E2"/>
            <w:vAlign w:val="center"/>
          </w:tcPr>
          <w:p>
            <w:pPr>
              <w:jc w:val="center"/>
            </w:pPr>
            <w:r/>
            <w:r>
              <w:rPr>
                <w:rFonts w:ascii="Calibri" w:hAnsi="Calibri"/>
                <w:b/>
                <w:color w:val="B45309"/>
                <w:sz w:val="18"/>
              </w:rPr>
              <w:t>AWAITING</w:t>
            </w:r>
          </w:p>
        </w:tc>
        <w:tc>
          <w:tcPr>
            <w:tcW w:type="dxa" w:w="3216"/>
            <w:vAlign w:val="center"/>
          </w:tcPr>
          <w:p>
            <w:r/>
            <w:r>
              <w:rPr>
                <w:rFonts w:ascii="Calibri" w:hAnsi="Calibri"/>
                <w:b w:val="0"/>
                <w:sz w:val="18"/>
              </w:rPr>
              <w:t>16 references (gas pipe sizing) ready to resolve.</w:t>
            </w:r>
          </w:p>
        </w:tc>
      </w:tr>
      <w:tr>
        <w:tc>
          <w:tcPr>
            <w:tcW w:type="dxa" w:w="3216"/>
            <w:vAlign w:val="center"/>
          </w:tcPr>
          <w:p>
            <w:r/>
            <w:r>
              <w:rPr>
                <w:rFonts w:ascii="Calibri" w:hAnsi="Calibri"/>
                <w:b/>
                <w:sz w:val="19"/>
              </w:rPr>
              <w:t>ASHRAE Ventilation Rules</w:t>
            </w:r>
          </w:p>
        </w:tc>
        <w:tc>
          <w:tcPr>
            <w:tcW w:type="dxa" w:w="3216"/>
            <w:shd w:val="clear" w:fill="FBF0E2"/>
            <w:vAlign w:val="center"/>
          </w:tcPr>
          <w:p>
            <w:pPr>
              <w:jc w:val="center"/>
            </w:pPr>
            <w:r/>
            <w:r>
              <w:rPr>
                <w:rFonts w:ascii="Calibri" w:hAnsi="Calibri"/>
                <w:b/>
                <w:color w:val="B45309"/>
                <w:sz w:val="18"/>
              </w:rPr>
              <w:t>AWAITING</w:t>
            </w:r>
          </w:p>
        </w:tc>
        <w:tc>
          <w:tcPr>
            <w:tcW w:type="dxa" w:w="3216"/>
            <w:vAlign w:val="center"/>
          </w:tcPr>
          <w:p>
            <w:r/>
            <w:r>
              <w:rPr>
                <w:rFonts w:ascii="Calibri" w:hAnsi="Calibri"/>
                <w:b w:val="0"/>
                <w:sz w:val="18"/>
              </w:rPr>
              <w:t>~145 calculation points (exhaust / make-up air by hood grouping) ready to resolve. The engine already runs these formulas.</w:t>
            </w:r>
          </w:p>
        </w:tc>
      </w:tr>
    </w:tbl>
    <w:p>
      <w:pPr>
        <w:spacing w:after="140"/>
      </w:pPr>
      <w:r>
        <w:rPr>
          <w:b w:val="0"/>
          <w:i w:val="0"/>
          <w:sz w:val="21"/>
        </w:rPr>
      </w:r>
    </w:p>
    <w:tbl>
      <w:tblPr>
        <w:tblStyle w:val="TableGrid"/>
        <w:tblW w:type="auto" w:w="0"/>
        <w:tblLook w:firstColumn="1" w:firstRow="1" w:lastColumn="0" w:lastRow="0" w:noHBand="0" w:noVBand="1" w:val="04A0"/>
      </w:tblPr>
      <w:tblGrid>
        <w:gridCol w:w="9648"/>
      </w:tblGrid>
      <w:tr>
        <w:tc>
          <w:tcPr>
            <w:tcW w:type="dxa" w:w="9648"/>
            <w:shd w:val="clear" w:fill="EAF5EE"/>
          </w:tcPr>
          <w:p>
            <w:r/>
            <w:r>
              <w:rPr>
                <w:b/>
                <w:color w:val="15803D"/>
                <w:sz w:val="21"/>
              </w:rPr>
              <w:t xml:space="preserve">The key point   </w:t>
            </w:r>
            <w:r>
              <w:rPr>
                <w:sz w:val="21"/>
              </w:rPr>
              <w:t>When the Electrical, Gas, and ASHRAE Ventilation rule tables arrive — in the same structured form as the standards — EOS begins calculating cable sizes, breakers, gas pipe sizes, and exhaust airflow automatically, per equipment, with full traceability. No rebuild. The nervous system is in place; it is waiting for the last of the knowledge.</w:t>
            </w:r>
          </w:p>
        </w:tc>
      </w:tr>
    </w:tbl>
    <w:p>
      <w:pPr>
        <w:spacing w:before="80" w:after="160"/>
        <w:pBdr>
          <w:bottom w:val="single" w:sz="6" w:space="1" w:color="D2D8E0"/>
        </w:pBdr>
      </w:pPr>
    </w:p>
    <w:p>
      <w:pPr>
        <w:spacing w:after="20"/>
      </w:pPr>
      <w:r>
        <w:rPr>
          <w:rFonts w:ascii="Calibri" w:hAnsi="Calibri"/>
          <w:b/>
          <w:color w:val="0E7490"/>
          <w:sz w:val="16"/>
          <w:spacing w:val="40"/>
        </w:rPr>
        <w:t>ROADMAP TO A COMPLETE ENGINEERING BRAIN</w:t>
      </w:r>
    </w:p>
    <w:p>
      <w:pPr>
        <w:pStyle w:val="Heading1"/>
      </w:pPr>
      <w:r>
        <w:t>What completes the picture</w:t>
      </w:r>
    </w:p>
    <w:tbl>
      <w:tblPr>
        <w:tblStyle w:val="TableGrid"/>
        <w:tblW w:type="auto" w:w="0"/>
        <w:tblLook w:firstColumn="1" w:firstRow="1" w:lastColumn="0" w:lastRow="0" w:noHBand="0" w:noVBand="1" w:val="04A0"/>
      </w:tblPr>
      <w:tblGrid>
        <w:gridCol w:w="4752"/>
        <w:gridCol w:w="4752"/>
      </w:tblGrid>
      <w:tr>
        <w:tc>
          <w:tcPr>
            <w:tcW w:type="dxa" w:w="4824"/>
            <w:shd w:val="clear" w:fill="EAF3F6"/>
            <w:vAlign w:val="center"/>
          </w:tcPr>
          <w:p>
            <w:r/>
            <w:r>
              <w:rPr>
                <w:rFonts w:ascii="Calibri" w:hAnsi="Calibri"/>
                <w:b/>
                <w:color w:val="0E7490"/>
                <w:sz w:val="18"/>
              </w:rPr>
              <w:t>KNOWLEDGE — FROM CULINOVA</w:t>
            </w:r>
          </w:p>
        </w:tc>
        <w:tc>
          <w:tcPr>
            <w:tcW w:type="dxa" w:w="4824"/>
            <w:shd w:val="clear" w:fill="EAF3F6"/>
            <w:vAlign w:val="center"/>
          </w:tcPr>
          <w:p>
            <w:r/>
            <w:r>
              <w:rPr>
                <w:rFonts w:ascii="Calibri" w:hAnsi="Calibri"/>
                <w:b/>
                <w:color w:val="0E7490"/>
                <w:sz w:val="18"/>
              </w:rPr>
              <w:t>SYSTEM — ALREADY DELIVERED &amp; READY</w:t>
            </w:r>
          </w:p>
        </w:tc>
      </w:tr>
      <w:tr>
        <w:tc>
          <w:tcPr>
            <w:tcW w:type="dxa" w:w="4824"/>
            <w:vAlign w:val="center"/>
          </w:tcPr>
          <w:p>
            <w:r/>
            <w:r>
              <w:rPr>
                <w:rFonts w:ascii="Calibri" w:hAnsi="Calibri"/>
                <w:b w:val="0"/>
                <w:sz w:val="19"/>
              </w:rPr>
              <w:t>• Remaining 4 equipment families (Beverage, Bakery, Ventilation, Laundry)</w:t>
              <w:br/>
              <w:t>• Electrical Rules table (current band → cable, breaker, connection)</w:t>
              <w:br/>
              <w:t>• Gas Rules table (load → pipe size, isolation)</w:t>
              <w:br/>
              <w:t>• ASHRAE Ventilation Rules (equipment / hood → exhaust &amp; make-up air)</w:t>
            </w:r>
          </w:p>
        </w:tc>
        <w:tc>
          <w:tcPr>
            <w:tcW w:type="dxa" w:w="4824"/>
            <w:vAlign w:val="center"/>
          </w:tcPr>
          <w:p>
            <w:r/>
            <w:r>
              <w:rPr>
                <w:rFonts w:ascii="Calibri" w:hAnsi="Calibri"/>
                <w:b w:val="0"/>
                <w:sz w:val="19"/>
              </w:rPr>
              <w:t>• Generalized import for any family workbook — upload, review, validate</w:t>
              <w:br/>
              <w:t>• Rule Management Panel with Excel rule import &amp; versioning</w:t>
              <w:br/>
              <w:t>• Automatic recommendation, validation &amp; recalculation</w:t>
              <w:br/>
              <w:t>• MEP, schedules, AutoCAD export, drawings, AI, and ERP publish</w:t>
            </w:r>
          </w:p>
        </w:tc>
      </w:tr>
    </w:tbl>
    <w:p/>
    <w:p>
      <w:pPr>
        <w:spacing w:before="80" w:after="160"/>
        <w:pBdr>
          <w:bottom w:val="single" w:sz="6" w:space="1" w:color="D2D8E0"/>
        </w:pBdr>
      </w:pPr>
    </w:p>
    <w:p>
      <w:r>
        <w:rPr>
          <w:b/>
          <w:color w:val="697585"/>
          <w:sz w:val="17"/>
        </w:rPr>
        <w:t>CULINOVA EOS — Engineering Intelligence Platform · Phase 2 Architecture Overview · v1.0</w:t>
        <w:br/>
      </w:r>
      <w:r>
        <w:rPr>
          <w:color w:val="697585"/>
          <w:sz w:val="17"/>
        </w:rPr>
        <w:t>Prepared by the EOS development team for CULINOVA engineering review. Every figure reflects the live, verified system. Capabilities that depend on knowledge still being prepared by CULINOVA are marked AWAITING — not implied as complete.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color w:val="2A33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Calibri" w:hAnsi="Calibri"/>
      <w:b/>
      <w:bCs/>
      <w:color w:val="0B5566"/>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0171F"/>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017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