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1F497D"/>
          <w:sz w:val="48"/>
        </w:rPr>
        <w:t>Workforce Planning &amp; Labour Market Intelligence</w:t>
      </w:r>
    </w:p>
    <w:p>
      <w:pPr>
        <w:spacing w:after="480"/>
      </w:pPr>
      <w:r>
        <w:rPr>
          <w:rFonts w:ascii="Arial" w:hAnsi="Arial"/>
          <w:i/>
          <w:color w:val="595959"/>
          <w:sz w:val="28"/>
        </w:rPr>
        <w:t>Project Portfolio Case Study &amp; Executive Briefing</w:t>
      </w:r>
    </w:p>
    <w:tbl>
      <w:tblPr>
        <w:tblW w:type="auto" w:w="0"/>
        <w:tblLayout w:type="fixed"/>
        <w:tblLook w:firstColumn="1" w:firstRow="1" w:lastColumn="0" w:lastRow="0" w:noHBand="0" w:noVBand="1" w:val="04A0"/>
      </w:tblPr>
      <w:tblGrid>
        <w:gridCol w:w="4680"/>
        <w:gridCol w:w="4680"/>
      </w:tblGrid>
      <w:tr>
        <w:tc>
          <w:tcPr>
            <w:tcW w:type="dxa" w:w="4680"/>
            <w:shd w:fill="F2F2F2"/>
          </w:tcPr>
          <w:p>
            <w:pPr>
              <w:spacing w:before="80" w:after="80"/>
            </w:pPr>
            <w:r>
              <w:rPr>
                <w:b/>
              </w:rPr>
              <w:t>AUTHOR: Maulik Patel</w:t>
            </w:r>
          </w:p>
        </w:tc>
        <w:tc>
          <w:tcPr>
            <w:tcW w:type="dxa" w:w="4680"/>
            <w:shd w:fill="F2F2F2"/>
          </w:tcPr>
          <w:p>
            <w:pPr>
              <w:spacing w:before="80" w:after="80"/>
            </w:pPr>
            <w:r>
              <w:rPr>
                <w:b/>
              </w:rPr>
              <w:t>TARGET AUDIENCE: C-Suite / Portfolio Reviewers</w:t>
            </w:r>
          </w:p>
        </w:tc>
      </w:tr>
      <w:tr>
        <w:tc>
          <w:tcPr>
            <w:tcW w:type="dxa" w:w="4680"/>
            <w:shd w:fill="F2F2F2"/>
          </w:tcPr>
          <w:p>
            <w:pPr>
              <w:spacing w:before="80" w:after="80"/>
            </w:pPr>
            <w:r>
              <w:rPr>
                <w:b/>
              </w:rPr>
              <w:t>VERSION: 1.0 (Production Grade)</w:t>
            </w:r>
          </w:p>
        </w:tc>
        <w:tc>
          <w:tcPr>
            <w:tcW w:type="dxa" w:w="4680"/>
            <w:shd w:fill="F2F2F2"/>
          </w:tcPr>
          <w:p>
            <w:pPr>
              <w:spacing w:before="80" w:after="80"/>
            </w:pPr>
            <w:r>
              <w:rPr>
                <w:b/>
              </w:rPr>
              <w:t>DATE: July 2026</w:t>
            </w:r>
          </w:p>
        </w:tc>
      </w:tr>
    </w:tbl>
    <w:p>
      <w:pPr>
        <w:spacing w:after="240"/>
      </w:pPr>
    </w:p>
    <w:p>
      <w:pPr>
        <w:pStyle w:val="Heading1"/>
        <w:spacing w:before="360" w:after="120"/>
      </w:pPr>
      <w:r>
        <w:rPr>
          <w:rFonts w:ascii="Arial" w:hAnsi="Arial"/>
          <w:b/>
          <w:color w:val="1F497D"/>
        </w:rPr>
        <w:t>1. Executive Briefing</w:t>
      </w:r>
    </w:p>
    <w:p>
      <w:pPr>
        <w:spacing w:after="160"/>
      </w:pPr>
      <w:r>
        <w:t>This project models and benchmarks our internal corporate workforce roster against external macroeconomic indexes to identify retention, succession, and salary mismatch vulnerabilities. The analysis integrates ONS ASHE (Annual Survey of Hours and Earnings), ONS Labour Force Survey, and active scraped vacancy listings (Adzuna) across three key UK shortage sectors: Clinical Operations, Digital Services, and Green Energy Projects.</w:t>
      </w:r>
    </w:p>
    <w:p>
      <w:pPr>
        <w:spacing w:after="80"/>
      </w:pPr>
      <w:r>
        <w:t>Key Risk Vectors Identified:</w:t>
      </w:r>
    </w:p>
    <w:p>
      <w:pPr>
        <w:pStyle w:val="ListBullet"/>
        <w:spacing w:after="60"/>
        <w:ind w:left="360"/>
      </w:pPr>
      <w:r>
        <w:rPr>
          <w:b/>
        </w:rPr>
        <w:t xml:space="preserve">Digital Services: </w:t>
      </w:r>
      <w:r>
        <w:t>Comp deficit of -16.2% on average against ONS medians. Software Developers in London lag the market by -26.3% (-£17,133 deficit), driving extreme turnover risk.</w:t>
      </w:r>
    </w:p>
    <w:p>
      <w:pPr>
        <w:pStyle w:val="ListBullet"/>
        <w:spacing w:after="60"/>
        <w:ind w:left="360"/>
      </w:pPr>
      <w:r>
        <w:rPr>
          <w:b/>
        </w:rPr>
        <w:t xml:space="preserve">Green Energy Projects: </w:t>
      </w:r>
      <w:r>
        <w:t>Demographic hazard with 34.7% to 41.0% of engineers aged 55+. Critical lack of succession planning—Battery Design Engineers have a 100% succession gap for critical over-50 staff.</w:t>
      </w:r>
    </w:p>
    <w:p>
      <w:pPr>
        <w:pStyle w:val="ListBullet"/>
        <w:spacing w:after="60"/>
        <w:ind w:left="360"/>
      </w:pPr>
      <w:r>
        <w:rPr>
          <w:b/>
        </w:rPr>
        <w:t xml:space="preserve">Clinical Operations: </w:t>
      </w:r>
      <w:r>
        <w:t>Nursing and Support structures face intense vacancy pressure. Staff Nurse posts have a 26.4% retirement risk coupled with 14 positions lacking designated successors.</w:t>
      </w:r>
    </w:p>
    <w:p>
      <w:pPr>
        <w:spacing w:after="240"/>
      </w:pPr>
    </w:p>
    <w:p>
      <w:pPr>
        <w:pStyle w:val="Heading1"/>
        <w:spacing w:before="360" w:after="120"/>
      </w:pPr>
      <w:r>
        <w:rPr>
          <w:rFonts w:ascii="Arial" w:hAnsi="Arial"/>
          <w:b/>
          <w:color w:val="1F497D"/>
        </w:rPr>
        <w:t>2. Technical &amp; Data Architecture</w:t>
      </w:r>
    </w:p>
    <w:p>
      <w:pPr>
        <w:spacing w:after="160"/>
      </w:pPr>
      <w:r>
        <w:t>The portfolio implements a highly scalable, production-grade data pipeline designed for local testing and enterprise execution:</w:t>
      </w:r>
    </w:p>
    <w:p>
      <w:pPr>
        <w:pStyle w:val="ListBullet"/>
        <w:spacing w:after="60"/>
        <w:ind w:left="360"/>
      </w:pPr>
      <w:r>
        <w:rPr>
          <w:b/>
        </w:rPr>
        <w:t xml:space="preserve">Orchestrator (run_pipeline.py): </w:t>
      </w:r>
      <w:r>
        <w:t>Coordinates modular components, executing data steps in chronological sequence and exporting analytical reports directly from raw queries.</w:t>
      </w:r>
    </w:p>
    <w:p>
      <w:pPr>
        <w:pStyle w:val="ListBullet"/>
        <w:spacing w:after="60"/>
        <w:ind w:left="360"/>
      </w:pPr>
      <w:r>
        <w:rPr>
          <w:b/>
        </w:rPr>
        <w:t xml:space="preserve">Text Processing &amp; TF-IDF (scikit-learn): </w:t>
      </w:r>
      <w:r>
        <w:t>Extracts and cleans technical skills keywords from unstructured corporate job descriptions, mapping capabilities against our SOC taxonomy.</w:t>
      </w:r>
    </w:p>
    <w:p>
      <w:pPr>
        <w:pStyle w:val="ListBullet"/>
        <w:spacing w:after="60"/>
        <w:ind w:left="360"/>
      </w:pPr>
      <w:r>
        <w:rPr>
          <w:b/>
        </w:rPr>
        <w:t xml:space="preserve">Analytical Cache (DuckDB): </w:t>
      </w:r>
      <w:r>
        <w:t>Stages raw ONS, internal, and scraped CSV records into memory and compiles views for complex gap modeling.</w:t>
      </w:r>
    </w:p>
    <w:p>
      <w:pPr>
        <w:pStyle w:val="ListBullet"/>
        <w:spacing w:after="60"/>
        <w:ind w:left="360"/>
      </w:pPr>
      <w:r>
        <w:rPr>
          <w:b/>
        </w:rPr>
        <w:t xml:space="preserve">Enterprise DB Compilation (Oracle SQL &amp; SQLite): </w:t>
      </w:r>
      <w:r>
        <w:t>Compiles tables, schemas, and checks. It downsamples vacancy data to 600 records to allow seamless deployment inside Oracle LiveSQL limits.</w:t>
      </w:r>
    </w:p>
    <w:p>
      <w:pPr>
        <w:spacing w:after="240"/>
      </w:pPr>
    </w:p>
    <w:p>
      <w:pPr>
        <w:pStyle w:val="Heading1"/>
        <w:spacing w:before="360" w:after="120"/>
      </w:pPr>
      <w:r>
        <w:rPr>
          <w:rFonts w:ascii="Arial" w:hAnsi="Arial"/>
          <w:b/>
          <w:color w:val="1F497D"/>
        </w:rPr>
        <w:t>3. Strategic KPI Verification</w:t>
      </w:r>
    </w:p>
    <w:p>
      <w:pPr>
        <w:spacing w:after="160"/>
      </w:pPr>
      <w:r>
        <w:t>To ensure mathematical consistency across reporting environments (Power BI, SQLite, DuckDB, and Oracle), the database assertion checks enforce the following specific KPI targets:</w:t>
      </w:r>
    </w:p>
    <w:tbl>
      <w:tblPr>
        <w:tblW w:type="auto" w:w="0"/>
        <w:tblLayout w:type="fixed"/>
        <w:tblLook w:firstColumn="1" w:firstRow="1" w:lastColumn="0" w:lastRow="0" w:noHBand="0" w:noVBand="1" w:val="04A0"/>
      </w:tblPr>
      <w:tblGrid>
        <w:gridCol w:w="3120"/>
        <w:gridCol w:w="3120"/>
        <w:gridCol w:w="3120"/>
      </w:tblGrid>
      <w:tr>
        <w:tc>
          <w:tcPr>
            <w:tcW w:type="dxa" w:w="3600"/>
            <w:shd w:fill="1F497D"/>
          </w:tcPr>
          <w:p>
            <w:pPr>
              <w:jc w:val="center"/>
            </w:pPr>
            <w:r>
              <w:rPr>
                <w:b/>
                <w:color w:val="FFFFFF"/>
              </w:rPr>
              <w:t>Role Profile</w:t>
            </w:r>
          </w:p>
        </w:tc>
        <w:tc>
          <w:tcPr>
            <w:tcW w:type="dxa" w:w="3960"/>
            <w:shd w:fill="1F497D"/>
          </w:tcPr>
          <w:p>
            <w:pPr>
              <w:jc w:val="center"/>
            </w:pPr>
            <w:r>
              <w:rPr>
                <w:b/>
                <w:color w:val="FFFFFF"/>
              </w:rPr>
              <w:t>Key Analytics Metric Checked</w:t>
            </w:r>
          </w:p>
        </w:tc>
        <w:tc>
          <w:tcPr>
            <w:tcW w:type="dxa" w:w="1800"/>
            <w:shd w:fill="1F497D"/>
          </w:tcPr>
          <w:p>
            <w:pPr>
              <w:jc w:val="center"/>
            </w:pPr>
            <w:r>
              <w:rPr>
                <w:b/>
                <w:color w:val="FFFFFF"/>
              </w:rPr>
              <w:t>Target Pipeline Value</w:t>
            </w:r>
          </w:p>
        </w:tc>
      </w:tr>
      <w:tr>
        <w:tc>
          <w:tcPr>
            <w:tcW w:type="dxa" w:w="3600"/>
            <w:shd w:fill="FFFFFF"/>
          </w:tcPr>
          <w:p>
            <w:pPr>
              <w:spacing w:before="80" w:after="80"/>
            </w:pPr>
            <w:r>
              <w:t>Software Developer (London)</w:t>
            </w:r>
          </w:p>
        </w:tc>
        <w:tc>
          <w:tcPr>
            <w:tcW w:type="dxa" w:w="3960"/>
            <w:shd w:fill="FFFFFF"/>
          </w:tcPr>
          <w:p>
            <w:pPr>
              <w:spacing w:before="80" w:after="80"/>
            </w:pPr>
            <w:r>
              <w:t>Avg Salary Lag vs ONS Median</w:t>
            </w:r>
          </w:p>
        </w:tc>
        <w:tc>
          <w:tcPr>
            <w:tcW w:type="dxa" w:w="1800"/>
            <w:shd w:fill="FFFFFF"/>
          </w:tcPr>
          <w:p>
            <w:pPr>
              <w:spacing w:before="80" w:after="80"/>
            </w:pPr>
            <w:r>
              <w:t>-26.3% (£47.9k vs £65.0k ONS)</w:t>
            </w:r>
          </w:p>
        </w:tc>
      </w:tr>
      <w:tr>
        <w:tc>
          <w:tcPr>
            <w:tcW w:type="dxa" w:w="3600"/>
            <w:shd w:fill="F9FBFD"/>
          </w:tcPr>
          <w:p>
            <w:pPr>
              <w:spacing w:before="80" w:after="80"/>
            </w:pPr>
            <w:r>
              <w:t>Battery Design Engineer</w:t>
            </w:r>
          </w:p>
        </w:tc>
        <w:tc>
          <w:tcPr>
            <w:tcW w:type="dxa" w:w="3960"/>
            <w:shd w:fill="F9FBFD"/>
          </w:tcPr>
          <w:p>
            <w:pPr>
              <w:spacing w:before="80" w:after="80"/>
            </w:pPr>
            <w:r>
              <w:t>Retirement Risk / Succession Gap</w:t>
            </w:r>
          </w:p>
        </w:tc>
        <w:tc>
          <w:tcPr>
            <w:tcW w:type="dxa" w:w="1800"/>
            <w:shd w:fill="F9FBFD"/>
          </w:tcPr>
          <w:p>
            <w:pPr>
              <w:spacing w:before="80" w:after="80"/>
            </w:pPr>
            <w:r>
              <w:t>41.0% Risk / 11 Roles No Successor</w:t>
            </w:r>
          </w:p>
        </w:tc>
      </w:tr>
    </w:tbl>
    <w:p>
      <w:pPr>
        <w:spacing w:after="240"/>
      </w:pPr>
    </w:p>
    <w:p>
      <w:pPr>
        <w:pStyle w:val="Heading1"/>
        <w:spacing w:before="360" w:after="120"/>
      </w:pPr>
      <w:r>
        <w:rPr>
          <w:rFonts w:ascii="Arial" w:hAnsi="Arial"/>
          <w:b/>
          <w:color w:val="1F497D"/>
        </w:rPr>
        <w:t>4. C-Suite Strategic Recommendations</w:t>
      </w:r>
    </w:p>
    <w:p>
      <w:pPr>
        <w:spacing w:after="80"/>
      </w:pPr>
      <w:r>
        <w:rPr>
          <w:b/>
          <w:color w:val="1F497D"/>
        </w:rPr>
        <w:t>Recommendation: Compensation Realignment</w:t>
        <w:br/>
      </w:r>
      <w:r>
        <w:t>Implement a target 12% to 15% salary uplift for critical Software and Data Engineers in London and South East. This incurs a £180k adjustment cost but prevents talent flight, avoiding £350k in recruitment friction and contracting premiums (Net ROI: £170k).</w:t>
      </w:r>
    </w:p>
    <w:p>
      <w:pPr>
        <w:spacing w:after="80"/>
      </w:pPr>
      <w:r>
        <w:rPr>
          <w:b/>
          <w:color w:val="1F497D"/>
        </w:rPr>
        <w:t>Recommendation: Knowledge Transfer Partnerships</w:t>
        <w:br/>
      </w:r>
      <w:r>
        <w:t>Establish a Graduate Apprenticeship mentorship pipeline in battery chemistry and grid connections. Pairing junior hires with retiring Battery Design Engineers protects IP and prevents renewable project delays.</w:t>
      </w:r>
    </w:p>
    <w:p>
      <w:pPr>
        <w:spacing w:after="80"/>
      </w:pPr>
      <w:r>
        <w:rPr>
          <w:b/>
          <w:color w:val="1F497D"/>
        </w:rPr>
        <w:t>Recommendation: Clinical Pipeline Consolidation</w:t>
        <w:br/>
      </w:r>
      <w:r>
        <w:t>Partner with local nursing colleges for clinical student placements, and review retention benefits (scheduling flexibility, career paths) to reduce staff nurse turnover, lowering agency costs by £220k.</w:t>
      </w:r>
    </w:p>
    <w:p>
      <w:pPr>
        <w:spacing w:after="4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