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FCA Consumer Duty Outcome Monitoring</w:t>
      </w:r>
    </w:p>
    <w:p>
      <w:pPr>
        <w:jc w:val="center"/>
      </w:pPr>
      <w:r>
        <w:rPr>
          <w:rFonts w:ascii="Calibri" w:hAnsi="Calibri"/>
          <w:i/>
          <w:sz w:val="28"/>
        </w:rPr>
        <w:t>Project Justification and Business Case</w:t>
      </w:r>
    </w:p>
    <w:p>
      <w:r>
        <w:br/>
      </w:r>
    </w:p>
    <w:p>
      <w:pPr>
        <w:pStyle w:val="Heading1"/>
      </w:pPr>
      <w:r>
        <w:rPr>
          <w:rFonts w:ascii="Calibri" w:hAnsi="Calibri"/>
          <w:b/>
          <w:sz w:val="32"/>
        </w:rPr>
        <w:t>1. Executive Summary</w:t>
      </w:r>
    </w:p>
    <w:p>
      <w:r>
        <w:t>This project implements an automated, data-driven framework for monitoring customer outcomes under the Financial Conduct Authority (FCA) Consumer Duty regulations (PS22/9). By building reproducible analytical pipelines, we demonstrate how financial services firms can transition from traditional checklist compliance to proactive risk monitoring. This system helps protect vulnerable customers, ensures products deliver fair value, and optimizes customer support channels.</w:t>
      </w:r>
    </w:p>
    <w:p>
      <w:pPr>
        <w:pStyle w:val="Heading1"/>
      </w:pPr>
      <w:r>
        <w:rPr>
          <w:rFonts w:ascii="Calibri" w:hAnsi="Calibri"/>
          <w:b/>
          <w:sz w:val="32"/>
        </w:rPr>
        <w:t>2. Core Business Justifications</w:t>
      </w:r>
    </w:p>
    <w:p>
      <w:pPr>
        <w:pStyle w:val="ListBullet"/>
      </w:pPr>
      <w:r>
        <w:rPr>
          <w:b/>
        </w:rPr>
        <w:t xml:space="preserve">Showcases High-Value Domain Expertise: </w:t>
      </w:r>
      <w:r>
        <w:t>The FCA Consumer Duty regulation represents the most significant regulatory shift in UK retail financial services in a decade. Developing this system shows direct technical and regulatory competency in conduct risk, product governance, and customer outcomes reporting.</w:t>
      </w:r>
    </w:p>
    <w:p>
      <w:pPr>
        <w:pStyle w:val="ListBullet"/>
      </w:pPr>
      <w:r>
        <w:rPr>
          <w:b/>
        </w:rPr>
        <w:t xml:space="preserve">Proactive Detriment Prevention: </w:t>
      </w:r>
      <w:r>
        <w:t>Instead of waiting for customer complaints to escalate to the Financial Ombudsman Service (FOS), this system aggregates data across siloed transactional, operations, and complaints tables to proactively spot service barriers, pricing anomalies, and unfair outcomes before they result in regulatory penalties.</w:t>
      </w:r>
    </w:p>
    <w:p>
      <w:pPr>
        <w:pStyle w:val="ListBullet"/>
      </w:pPr>
      <w:r>
        <w:rPr>
          <w:b/>
        </w:rPr>
        <w:t xml:space="preserve">Privacy-Preserving Analytics &amp; Benchmarking: </w:t>
      </w:r>
      <w:r>
        <w:t>Actual customer data contains sensitive Personal Identifiable Information (PII) and special category vulnerability markers. This project demonstrates a methodology for calibrating synthetic customer portfolios against real, anonymised UK public datasets (FCA, FOS, and ONS), enabling risk committees to perform robust testing without exposing sensitive customer data.</w:t>
      </w:r>
    </w:p>
    <w:p>
      <w:pPr>
        <w:pStyle w:val="Heading1"/>
      </w:pPr>
      <w:r>
        <w:rPr>
          <w:rFonts w:ascii="Calibri" w:hAnsi="Calibri"/>
          <w:b/>
          <w:sz w:val="32"/>
        </w:rPr>
        <w:t>3. Alignment with FCA Outcome Pillars</w:t>
      </w:r>
    </w:p>
    <w:p>
      <w:r>
        <w:rPr>
          <w:b/>
        </w:rPr>
        <w:t xml:space="preserve">•  Products &amp; Services: </w:t>
      </w:r>
      <w:r>
        <w:t>Ensuring products are designed to meet the needs of a specified target market and distributed via appropriate channels.</w:t>
      </w:r>
    </w:p>
    <w:p>
      <w:r>
        <w:rPr>
          <w:b/>
        </w:rPr>
        <w:t xml:space="preserve">•  Price &amp; Value: </w:t>
      </w:r>
      <w:r>
        <w:t>Verifying that prices represent fair value relative to the benefits received, benchmarked against FCA general insurance value measures.</w:t>
      </w:r>
    </w:p>
    <w:p>
      <w:r>
        <w:rPr>
          <w:b/>
        </w:rPr>
        <w:t xml:space="preserve">•  Consumer Support: </w:t>
      </w:r>
      <w:r>
        <w:t>Removing systemic friction and administrative delays that prevent retail customers from fully utilizing their products.</w:t>
      </w:r>
    </w:p>
    <w:p>
      <w:r>
        <w:rPr>
          <w:b/>
        </w:rPr>
        <w:t xml:space="preserve">•  Consumer Understanding: </w:t>
      </w:r>
      <w:r>
        <w:t>Ensuring communications are clear, transparent, and do not mislead vulnerable or retail segments.</w:t>
      </w:r>
    </w:p>
    <w:p>
      <w:pPr>
        <w:pStyle w:val="Heading1"/>
      </w:pPr>
      <w:r>
        <w:rPr>
          <w:rFonts w:ascii="Calibri" w:hAnsi="Calibri"/>
          <w:b/>
          <w:sz w:val="32"/>
        </w:rPr>
        <w:t>4. Data Sources and Calibration</w:t>
      </w:r>
    </w:p>
    <w:p>
      <w:r>
        <w:t>To ensure compliance with data quality standards, the analytical model relies on public datasets from UK regulatory bodies:</w:t>
      </w:r>
    </w:p>
    <w:p>
      <w:pPr>
        <w:pStyle w:val="ListBullet"/>
      </w:pPr>
      <w:r>
        <w:rPr>
          <w:b/>
        </w:rPr>
        <w:t xml:space="preserve">FCA Firm-Level Complaints Data: </w:t>
      </w:r>
      <w:r>
        <w:t>Establishes the industry baseline for uphold rates and complaint closure speed.</w:t>
      </w:r>
    </w:p>
    <w:p>
      <w:pPr>
        <w:pStyle w:val="ListBullet"/>
      </w:pPr>
      <w:r>
        <w:rPr>
          <w:b/>
        </w:rPr>
        <w:t xml:space="preserve">FCA GI Value Measures: </w:t>
      </w:r>
      <w:r>
        <w:t>Provides product-level claims ratios and claim acceptance rates for fair value assessments.</w:t>
      </w:r>
    </w:p>
    <w:p>
      <w:pPr>
        <w:pStyle w:val="ListBullet"/>
      </w:pPr>
      <w:r>
        <w:rPr>
          <w:b/>
        </w:rPr>
        <w:t xml:space="preserve">ONS Population Estimates: </w:t>
      </w:r>
      <w:r>
        <w:t>Used to model geographic and demographic distribution of vulnerable consumer cohorts.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