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C47F" w14:textId="77777777" w:rsidR="00B724B3" w:rsidRDefault="00B724B3" w:rsidP="008E29E8">
      <w:pPr>
        <w:pStyle w:val="Author"/>
        <w:spacing w:before="100" w:beforeAutospacing="1" w:after="100" w:afterAutospacing="1" w:line="120" w:lineRule="auto"/>
        <w:rPr>
          <w:rFonts w:eastAsia="MS Mincho" w:cs="Cordia New"/>
          <w:sz w:val="48"/>
          <w:szCs w:val="61"/>
          <w:lang w:bidi="th-TH"/>
        </w:rPr>
      </w:pPr>
      <w:r w:rsidRPr="00B724B3">
        <w:rPr>
          <w:rFonts w:eastAsia="MS Mincho" w:cs="Cordia New"/>
          <w:sz w:val="48"/>
          <w:szCs w:val="61"/>
          <w:lang w:bidi="th-TH"/>
        </w:rPr>
        <w:t>Trends of Soft Drinks in Thailand</w:t>
      </w:r>
    </w:p>
    <w:p w14:paraId="0108AE9A" w14:textId="77777777" w:rsidR="00AB328A" w:rsidRPr="00AB328A" w:rsidRDefault="00AB328A" w:rsidP="00AB328A">
      <w:pPr>
        <w:pStyle w:val="papertitle"/>
        <w:spacing w:before="100" w:beforeAutospacing="1" w:after="100" w:afterAutospacing="1"/>
        <w:rPr>
          <w:rFonts w:cs="Cordia New"/>
          <w:sz w:val="24"/>
          <w:szCs w:val="24"/>
          <w:lang w:bidi="th-TH"/>
        </w:rPr>
      </w:pPr>
      <w:r w:rsidRPr="00AB328A">
        <w:rPr>
          <w:rFonts w:cs="Cordia New"/>
          <w:sz w:val="24"/>
          <w:szCs w:val="24"/>
          <w:lang w:bidi="th-TH"/>
        </w:rPr>
        <w:t>Warayut Muknumporn</w:t>
      </w:r>
    </w:p>
    <w:p w14:paraId="574626CF" w14:textId="1E3934DC" w:rsidR="00AB328A" w:rsidRPr="00AB328A" w:rsidRDefault="00AB328A" w:rsidP="00AB328A">
      <w:pPr>
        <w:pStyle w:val="papertitle"/>
        <w:spacing w:before="100" w:beforeAutospacing="1" w:after="100" w:afterAutospacing="1"/>
        <w:rPr>
          <w:rFonts w:cs="Cordia New"/>
          <w:sz w:val="18"/>
          <w:szCs w:val="18"/>
          <w:lang w:bidi="th-TH"/>
        </w:rPr>
        <w:sectPr w:rsidR="00AB328A" w:rsidRPr="00AB328A" w:rsidSect="00B724B3">
          <w:headerReference w:type="first" r:id="rId8"/>
          <w:footerReference w:type="first" r:id="rId9"/>
          <w:pgSz w:w="11906" w:h="16838" w:code="9"/>
          <w:pgMar w:top="540" w:right="893" w:bottom="1440" w:left="893" w:header="180" w:footer="720" w:gutter="0"/>
          <w:cols w:space="720"/>
          <w:titlePg/>
          <w:docGrid w:linePitch="360"/>
        </w:sectPr>
      </w:pPr>
      <w:r>
        <w:rPr>
          <w:rFonts w:cs="Cordia New"/>
          <w:sz w:val="18"/>
          <w:szCs w:val="18"/>
          <w:lang w:bidi="th-TH"/>
        </w:rPr>
        <w:t>(</w:t>
      </w:r>
      <w:hyperlink r:id="rId10" w:history="1">
        <w:r w:rsidRPr="007D2110">
          <w:rPr>
            <w:rStyle w:val="Hyperlink"/>
            <w:rFonts w:cs="Cordia New"/>
            <w:sz w:val="18"/>
            <w:szCs w:val="18"/>
            <w:lang w:bidi="th-TH"/>
          </w:rPr>
          <w:t>Wm2n21@soton.ac.uk</w:t>
        </w:r>
      </w:hyperlink>
      <w:r>
        <w:rPr>
          <w:rFonts w:cs="Cordia New"/>
          <w:sz w:val="18"/>
          <w:szCs w:val="18"/>
          <w:lang w:bidi="th-TH"/>
        </w:rPr>
        <w:t>/32314914)</w:t>
      </w:r>
    </w:p>
    <w:p w14:paraId="394BA865" w14:textId="77777777" w:rsidR="00485C73" w:rsidRPr="008E29E8" w:rsidRDefault="00485C73" w:rsidP="008E29E8">
      <w:pPr>
        <w:jc w:val="left"/>
      </w:pPr>
    </w:p>
    <w:p w14:paraId="2687F253" w14:textId="77777777" w:rsidR="009303D9" w:rsidRPr="008E29E8" w:rsidRDefault="00BD670B" w:rsidP="008E29E8">
      <w:pPr>
        <w:jc w:val="left"/>
        <w:sectPr w:rsidR="009303D9" w:rsidRPr="008E29E8" w:rsidSect="003B4E04">
          <w:type w:val="continuous"/>
          <w:pgSz w:w="11906" w:h="16838" w:code="9"/>
          <w:pgMar w:top="450" w:right="893" w:bottom="1440" w:left="893" w:header="720" w:footer="720" w:gutter="0"/>
          <w:cols w:num="3" w:space="720"/>
          <w:docGrid w:linePitch="360"/>
        </w:sectPr>
      </w:pPr>
      <w:r w:rsidRPr="008E29E8">
        <w:br w:type="column"/>
      </w:r>
    </w:p>
    <w:p w14:paraId="48682681" w14:textId="77777777" w:rsidR="00485C73" w:rsidRPr="008E29E8" w:rsidRDefault="00485C73" w:rsidP="008E29E8">
      <w:pPr>
        <w:pStyle w:val="Heading1"/>
        <w:jc w:val="left"/>
      </w:pPr>
      <w:r w:rsidRPr="008E29E8">
        <w:t>Data Story Summary</w:t>
      </w:r>
    </w:p>
    <w:p w14:paraId="40753622" w14:textId="4EC3C4CA" w:rsidR="00A549DF" w:rsidRDefault="00111B36" w:rsidP="008E29E8">
      <w:pPr>
        <w:pStyle w:val="BodyText"/>
        <w:jc w:val="left"/>
        <w:rPr>
          <w:lang w:val="en-US"/>
        </w:rPr>
      </w:pPr>
      <w:r>
        <w:rPr>
          <w:rFonts w:cs="Angsana New"/>
          <w:szCs w:val="25"/>
          <w:lang w:val="en-US" w:bidi="th-TH"/>
        </w:rPr>
        <w:t xml:space="preserve">[1] </w:t>
      </w:r>
      <w:r w:rsidR="00537DD4" w:rsidRPr="00537DD4">
        <w:rPr>
          <w:lang w:val="en-US"/>
        </w:rPr>
        <w:t>The beverage market is one of Thailand's most significant volume trading markets, and it is still growing. So, what are the driving forces behind the beverage industry's expansion? The beverage market is separated into two distinct segments according to the data. There are two types of beverages: alcoholic drinks and non-alcoholic drinks. With an average market share of 82 percent for non-alcoholic Drinks and 18 percent for alcoholic drinks. This means that non-alcoholic drinks dominate most of the beverage market.</w:t>
      </w:r>
    </w:p>
    <w:p w14:paraId="44337AD3" w14:textId="5A279AB6" w:rsidR="00537DD4" w:rsidRDefault="00537DD4" w:rsidP="008E29E8">
      <w:pPr>
        <w:pStyle w:val="BodyText"/>
        <w:jc w:val="left"/>
        <w:rPr>
          <w:lang w:val="en-US"/>
        </w:rPr>
      </w:pPr>
      <w:r w:rsidRPr="00537DD4">
        <w:rPr>
          <w:lang w:val="en-US"/>
        </w:rPr>
        <w:t xml:space="preserve">What's more interesting is that the non-alcoholic beverage market may be split into two categories: hot drinks and soft drinks. Soft drinks have a 95 percent /5 percent market share in the non-alcoholic drinks market. Soft drinks have a far larger market share than other beverages and are expected to continue to expand year after year. To answer the question "What is the significant contribution to the total </w:t>
      </w:r>
      <w:proofErr w:type="gramStart"/>
      <w:r w:rsidRPr="00537DD4">
        <w:rPr>
          <w:lang w:val="en-US"/>
        </w:rPr>
        <w:t>consumption ?</w:t>
      </w:r>
      <w:proofErr w:type="gramEnd"/>
      <w:r w:rsidRPr="00537DD4">
        <w:rPr>
          <w:lang w:val="en-US"/>
        </w:rPr>
        <w:t>"</w:t>
      </w:r>
    </w:p>
    <w:p w14:paraId="2EA7F7B4" w14:textId="77777777" w:rsidR="00537DD4" w:rsidRPr="00537DD4" w:rsidRDefault="00537DD4" w:rsidP="00537DD4">
      <w:pPr>
        <w:pStyle w:val="BodyText"/>
        <w:jc w:val="left"/>
        <w:rPr>
          <w:lang w:val="en-US"/>
        </w:rPr>
      </w:pPr>
      <w:r w:rsidRPr="00537DD4">
        <w:rPr>
          <w:lang w:val="en-US"/>
        </w:rPr>
        <w:t>Soft drinks have the most significant market share in the beverage market, as can be seen from the graph above.</w:t>
      </w:r>
    </w:p>
    <w:p w14:paraId="28E27DEC" w14:textId="2E1AA1F3" w:rsidR="00537DD4" w:rsidRDefault="00537DD4" w:rsidP="00537DD4">
      <w:pPr>
        <w:pStyle w:val="BodyText"/>
        <w:jc w:val="left"/>
        <w:rPr>
          <w:lang w:val="en-US"/>
        </w:rPr>
      </w:pPr>
      <w:r w:rsidRPr="00537DD4">
        <w:rPr>
          <w:lang w:val="en-US"/>
        </w:rPr>
        <w:t xml:space="preserve">Soft Drink Trends is a key component that can be answered from the data story. It is a leading predictor of the beverage market's direction. as a result of that data's analysis, </w:t>
      </w:r>
      <w:r w:rsidR="00111B36">
        <w:rPr>
          <w:lang w:val="en-US"/>
        </w:rPr>
        <w:t xml:space="preserve">[2] </w:t>
      </w:r>
      <w:r w:rsidRPr="00537DD4">
        <w:rPr>
          <w:lang w:val="en-US"/>
        </w:rPr>
        <w:t xml:space="preserve">This suggests that the </w:t>
      </w:r>
      <w:proofErr w:type="gramStart"/>
      <w:r w:rsidRPr="00537DD4">
        <w:rPr>
          <w:lang w:val="en-US"/>
        </w:rPr>
        <w:t>Soft</w:t>
      </w:r>
      <w:proofErr w:type="gramEnd"/>
      <w:r w:rsidRPr="00537DD4">
        <w:rPr>
          <w:lang w:val="en-US"/>
        </w:rPr>
        <w:t xml:space="preserve"> drinks market trend is influenced by three primary factors: </w:t>
      </w:r>
    </w:p>
    <w:p w14:paraId="3416B9CB" w14:textId="1FB43F87" w:rsidR="00537DD4" w:rsidRDefault="00537DD4" w:rsidP="00537DD4">
      <w:pPr>
        <w:pStyle w:val="BodyText"/>
        <w:numPr>
          <w:ilvl w:val="0"/>
          <w:numId w:val="31"/>
        </w:numPr>
        <w:jc w:val="left"/>
        <w:rPr>
          <w:lang w:val="en-US"/>
        </w:rPr>
      </w:pPr>
      <w:r w:rsidRPr="00537DD4">
        <w:rPr>
          <w:lang w:val="en-US"/>
        </w:rPr>
        <w:t xml:space="preserve">People are more interested in healthy beverages; </w:t>
      </w:r>
    </w:p>
    <w:p w14:paraId="7CD68E87" w14:textId="00C192B1" w:rsidR="00537DD4" w:rsidRPr="00537DD4" w:rsidRDefault="00537DD4" w:rsidP="00537DD4">
      <w:pPr>
        <w:pStyle w:val="BodyText"/>
        <w:numPr>
          <w:ilvl w:val="0"/>
          <w:numId w:val="31"/>
        </w:numPr>
        <w:jc w:val="left"/>
        <w:rPr>
          <w:lang w:val="en-US"/>
        </w:rPr>
      </w:pPr>
      <w:r w:rsidRPr="00537DD4">
        <w:rPr>
          <w:lang w:val="en-US"/>
        </w:rPr>
        <w:t>In 2017, Thailand increased its sugar tariff. causing more sugar-free or low-sugar goods to be released</w:t>
      </w:r>
    </w:p>
    <w:p w14:paraId="3C672EE1" w14:textId="1D2536D1" w:rsidR="00537DD4" w:rsidRDefault="00537DD4" w:rsidP="00537DD4">
      <w:pPr>
        <w:pStyle w:val="BodyText"/>
        <w:numPr>
          <w:ilvl w:val="0"/>
          <w:numId w:val="31"/>
        </w:numPr>
        <w:jc w:val="left"/>
        <w:rPr>
          <w:lang w:val="en-US"/>
        </w:rPr>
      </w:pPr>
      <w:r w:rsidRPr="00537DD4">
        <w:rPr>
          <w:lang w:val="en-US"/>
        </w:rPr>
        <w:t>People's attitudes have shifted as a result of Covid. as well as forcing the market's growth rate to plummet in 2020</w:t>
      </w:r>
    </w:p>
    <w:p w14:paraId="4C32F681" w14:textId="44EC657E" w:rsidR="00537DD4" w:rsidRPr="00537DD4" w:rsidRDefault="00111B36" w:rsidP="008E29E8">
      <w:pPr>
        <w:pStyle w:val="BodyText"/>
        <w:jc w:val="left"/>
        <w:rPr>
          <w:lang w:val="en-US"/>
        </w:rPr>
      </w:pPr>
      <w:r w:rsidRPr="00111B36">
        <w:rPr>
          <w:lang w:val="en-US"/>
        </w:rPr>
        <w:t>Market trends are important to know and understand. This opens up the new business potential for players or producers. whether to adapt the launch of new products or marketing to reach the customer target group</w:t>
      </w:r>
    </w:p>
    <w:p w14:paraId="489D603F" w14:textId="492CA51C" w:rsidR="007D20E3" w:rsidRPr="008E29E8" w:rsidRDefault="00485C73" w:rsidP="008E29E8">
      <w:pPr>
        <w:pStyle w:val="Heading1"/>
        <w:jc w:val="left"/>
      </w:pPr>
      <w:r w:rsidRPr="008E29E8">
        <w:t>Dataset Summary</w:t>
      </w:r>
    </w:p>
    <w:p w14:paraId="79C0F813" w14:textId="46CEC506" w:rsidR="00597300" w:rsidRDefault="00597300" w:rsidP="00597300">
      <w:pPr>
        <w:jc w:val="left"/>
      </w:pPr>
      <w:r>
        <w:t>All of the data set is from Euromonitor International [3] and supports the story outline. All of the Dataset is provided with the data from 2010 to 2021. Each data set will describe in the topic below:</w:t>
      </w:r>
    </w:p>
    <w:p w14:paraId="05694542" w14:textId="77777777" w:rsidR="00597300" w:rsidRDefault="00597300" w:rsidP="00597300">
      <w:pPr>
        <w:jc w:val="left"/>
      </w:pPr>
    </w:p>
    <w:p w14:paraId="7AF9E1F7" w14:textId="39F763FB" w:rsidR="00597300" w:rsidRDefault="00597300" w:rsidP="00597300">
      <w:pPr>
        <w:pStyle w:val="ListParagraph"/>
        <w:numPr>
          <w:ilvl w:val="0"/>
          <w:numId w:val="37"/>
        </w:numPr>
        <w:jc w:val="left"/>
      </w:pPr>
      <w:r>
        <w:t xml:space="preserve">Information on Alcoholic Drinks </w:t>
      </w:r>
    </w:p>
    <w:p w14:paraId="62C3645B" w14:textId="49C1FB5F" w:rsidR="00597300" w:rsidRDefault="00F12D46" w:rsidP="00597300">
      <w:pPr>
        <w:pStyle w:val="ListParagraph"/>
        <w:jc w:val="left"/>
      </w:pPr>
      <w:r w:rsidRPr="00F12D46">
        <w:t xml:space="preserve">This data collection depicts the state of the alcohol Drinks, Such as the annual volume and value of the alcohol market and Various types of alcoholic drinks. To prepare this data, the total trading volume </w:t>
      </w:r>
      <w:proofErr w:type="spellStart"/>
      <w:r>
        <w:rPr>
          <w:rFonts w:cstheme="minorBidi" w:hint="cs"/>
          <w:szCs w:val="25"/>
          <w:cs/>
          <w:lang w:bidi="th-TH"/>
        </w:rPr>
        <w:t>was</w:t>
      </w:r>
      <w:proofErr w:type="spellEnd"/>
      <w:r w:rsidRPr="00F12D46">
        <w:t xml:space="preserve"> selected compared to non-alcoholic beverages.</w:t>
      </w:r>
    </w:p>
    <w:p w14:paraId="49231791" w14:textId="77777777" w:rsidR="00F12D46" w:rsidRDefault="00F12D46" w:rsidP="00597300">
      <w:pPr>
        <w:pStyle w:val="ListParagraph"/>
        <w:jc w:val="left"/>
      </w:pPr>
    </w:p>
    <w:p w14:paraId="74AD6C33" w14:textId="77777777" w:rsidR="00597300" w:rsidRDefault="00597300" w:rsidP="00597300">
      <w:pPr>
        <w:pStyle w:val="ListParagraph"/>
        <w:numPr>
          <w:ilvl w:val="0"/>
          <w:numId w:val="37"/>
        </w:numPr>
        <w:jc w:val="left"/>
      </w:pPr>
      <w:r>
        <w:t>Information on Non-Alcoholic Drinks</w:t>
      </w:r>
    </w:p>
    <w:p w14:paraId="361ACCB8" w14:textId="2998BD7D" w:rsidR="00597300" w:rsidRDefault="00597300" w:rsidP="00597300">
      <w:pPr>
        <w:ind w:left="360"/>
        <w:jc w:val="left"/>
      </w:pPr>
      <w:r>
        <w:t xml:space="preserve">This dataset provides an overview of the non-alcoholic beverage market. For example, the quantity and value of the non-alcoholic market each year </w:t>
      </w:r>
      <w:r w:rsidR="00DA64BB">
        <w:t>a</w:t>
      </w:r>
      <w:r>
        <w:t>nd there are two types of non-alcoholic beverages:</w:t>
      </w:r>
    </w:p>
    <w:p w14:paraId="58F9F48D" w14:textId="77777777" w:rsidR="001448FE" w:rsidRDefault="001448FE" w:rsidP="00597300">
      <w:pPr>
        <w:ind w:left="360"/>
        <w:jc w:val="left"/>
      </w:pPr>
    </w:p>
    <w:p w14:paraId="05ECCC4D" w14:textId="66EC6A60" w:rsidR="00597300" w:rsidRDefault="00597300" w:rsidP="00597300">
      <w:pPr>
        <w:pStyle w:val="ListParagraph"/>
        <w:numPr>
          <w:ilvl w:val="1"/>
          <w:numId w:val="39"/>
        </w:numPr>
        <w:jc w:val="left"/>
      </w:pPr>
      <w:r>
        <w:t>Hot Drinks:</w:t>
      </w:r>
    </w:p>
    <w:p w14:paraId="75E01804" w14:textId="6B4CF127" w:rsidR="00597300" w:rsidRDefault="00096BD6" w:rsidP="00597300">
      <w:pPr>
        <w:ind w:left="720"/>
        <w:jc w:val="left"/>
      </w:pPr>
      <w:r>
        <w:t xml:space="preserve">     </w:t>
      </w:r>
      <w:r w:rsidR="00597300">
        <w:t xml:space="preserve">For this dataset, </w:t>
      </w:r>
      <w:r w:rsidR="00DA64BB">
        <w:t>t</w:t>
      </w:r>
      <w:r w:rsidR="00597300">
        <w:t xml:space="preserve">here are several types of hot drinks. This includes estimating the volume and value of this type of market each year. For cleaning this data, </w:t>
      </w:r>
      <w:r w:rsidR="00DA64BB">
        <w:t>t</w:t>
      </w:r>
      <w:r w:rsidR="00597300">
        <w:t>o get the market share of non-alcoholic beverages, aggregate data were taken from market share action with soft drinks</w:t>
      </w:r>
    </w:p>
    <w:p w14:paraId="228AFCAA" w14:textId="77777777" w:rsidR="00597300" w:rsidRDefault="00597300" w:rsidP="00597300">
      <w:pPr>
        <w:pStyle w:val="ListParagraph"/>
        <w:numPr>
          <w:ilvl w:val="1"/>
          <w:numId w:val="39"/>
        </w:numPr>
        <w:jc w:val="left"/>
      </w:pPr>
      <w:r>
        <w:t>Soft Drinks:</w:t>
      </w:r>
    </w:p>
    <w:p w14:paraId="76EA1C43" w14:textId="5E8D36F6" w:rsidR="004B434F" w:rsidRDefault="00096BD6" w:rsidP="00096BD6">
      <w:pPr>
        <w:pStyle w:val="ListParagraph"/>
        <w:jc w:val="left"/>
      </w:pPr>
      <w:r>
        <w:t xml:space="preserve">     </w:t>
      </w:r>
      <w:r w:rsidR="00597300">
        <w:t xml:space="preserve">For this batch of data, </w:t>
      </w:r>
      <w:proofErr w:type="gramStart"/>
      <w:r w:rsidR="00597300">
        <w:t>It</w:t>
      </w:r>
      <w:proofErr w:type="gramEnd"/>
      <w:r w:rsidR="00597300">
        <w:t xml:space="preserve"> has been accorded the highest priority. In this data collection, soft drinks are classified into eight categories, with each category broken into three sub-categories. Each year, to observe the variances and gain access to significant aspects affecting each product's trend, as well as transaction statistics. Getting this data set ready </w:t>
      </w:r>
      <w:r w:rsidR="00DA64BB">
        <w:t>t</w:t>
      </w:r>
      <w:r w:rsidR="00597300">
        <w:t xml:space="preserve">o see the market trends each year, the data is divided down into each product category. It separates the categories of trading into Retail(on-trade) and food service (off-trade), for example, to examine the impact of COVID-19 </w:t>
      </w:r>
      <w:r w:rsidRPr="00096BD6">
        <w:t>for discovering product type trends by calculating growth rate per year</w:t>
      </w:r>
      <w:r w:rsidR="00597300">
        <w:t>. It has delved into the many sorts of beverages in order to identify market trends and discover healthy drinks. Analyse the data to spot patterns. Analyse to see trends in addition to exploring the type of low-sugar or no-sugar beverages to find out the impact of the 2017 sugar tax increase law in Thailand.</w:t>
      </w:r>
    </w:p>
    <w:p w14:paraId="2041BE28" w14:textId="1528BE4E" w:rsidR="00597300" w:rsidRDefault="00597300" w:rsidP="00597300">
      <w:pPr>
        <w:jc w:val="left"/>
      </w:pPr>
    </w:p>
    <w:p w14:paraId="04D64B1C" w14:textId="61AE9346" w:rsidR="00096BD6" w:rsidRPr="00597300" w:rsidRDefault="00096BD6" w:rsidP="00597300">
      <w:pPr>
        <w:jc w:val="left"/>
      </w:pPr>
      <w:r w:rsidRPr="00096BD6">
        <w:t xml:space="preserve">For all of </w:t>
      </w:r>
      <w:r>
        <w:t xml:space="preserve">the </w:t>
      </w:r>
      <w:r w:rsidRPr="00096BD6">
        <w:t xml:space="preserve">dataset </w:t>
      </w:r>
      <w:r>
        <w:t>types</w:t>
      </w:r>
      <w:r w:rsidRPr="00096BD6">
        <w:t>.</w:t>
      </w:r>
      <w:r>
        <w:t xml:space="preserve"> </w:t>
      </w:r>
      <w:r w:rsidRPr="00096BD6">
        <w:t>They all group together by using Years. to compare and see the differences of each type of data</w:t>
      </w:r>
    </w:p>
    <w:p w14:paraId="0E4B24CA" w14:textId="77777777" w:rsidR="009303D9" w:rsidRPr="00DC336E" w:rsidRDefault="00BE4256" w:rsidP="008E29E8">
      <w:pPr>
        <w:pStyle w:val="Heading1"/>
        <w:jc w:val="left"/>
        <w:rPr>
          <w:sz w:val="18"/>
          <w:szCs w:val="18"/>
        </w:rPr>
      </w:pPr>
      <w:r w:rsidRPr="00DC336E">
        <w:rPr>
          <w:sz w:val="18"/>
          <w:szCs w:val="18"/>
        </w:rPr>
        <w:t>Visualisation</w:t>
      </w:r>
      <w:r w:rsidR="001C494B" w:rsidRPr="00DC336E">
        <w:rPr>
          <w:sz w:val="18"/>
          <w:szCs w:val="18"/>
        </w:rPr>
        <w:t>s</w:t>
      </w:r>
    </w:p>
    <w:p w14:paraId="178A8B67" w14:textId="7E435619" w:rsidR="00121727" w:rsidRPr="00DC336E" w:rsidRDefault="00A622DD" w:rsidP="008E29E8">
      <w:pPr>
        <w:ind w:firstLine="432"/>
        <w:jc w:val="left"/>
        <w:rPr>
          <w:rFonts w:cs="Cordia New"/>
          <w:sz w:val="18"/>
          <w:szCs w:val="18"/>
          <w:lang w:val="en-US" w:bidi="th-TH"/>
        </w:rPr>
      </w:pPr>
      <w:r w:rsidRPr="00A622DD">
        <w:rPr>
          <w:sz w:val="18"/>
          <w:szCs w:val="18"/>
        </w:rPr>
        <w:t>From visualisation in HTML file. It uses the command to retrieve data from tableau public. The displayed image will display the title, the number of pages to choose from by click to view for the convenience of browsing the data and having the option to specify the year to expand the information in that year more clearly.</w:t>
      </w:r>
      <w:r w:rsidR="00183DA2">
        <w:rPr>
          <w:sz w:val="18"/>
          <w:szCs w:val="18"/>
        </w:rPr>
        <w:t xml:space="preserve"> </w:t>
      </w:r>
      <w:r>
        <w:rPr>
          <w:sz w:val="18"/>
          <w:szCs w:val="18"/>
        </w:rPr>
        <w:t xml:space="preserve">The size of page and image </w:t>
      </w:r>
      <w:r w:rsidR="00183DA2">
        <w:rPr>
          <w:sz w:val="18"/>
          <w:szCs w:val="18"/>
        </w:rPr>
        <w:t>is adjusted automation of each screen size monitor.</w:t>
      </w:r>
    </w:p>
    <w:p w14:paraId="7A06B960" w14:textId="03A237CA" w:rsidR="00640AB6" w:rsidRPr="00F12D46" w:rsidRDefault="005C76B0" w:rsidP="00F12D46">
      <w:pPr>
        <w:pStyle w:val="Heading2"/>
        <w:rPr>
          <w:sz w:val="18"/>
          <w:szCs w:val="18"/>
          <w:cs/>
        </w:rPr>
      </w:pPr>
      <w:r w:rsidRPr="005C76B0">
        <w:rPr>
          <w:sz w:val="18"/>
          <w:szCs w:val="18"/>
        </w:rPr>
        <w:t>Expanding on the importance of data analysis in the soft drink market.</w:t>
      </w:r>
      <w:r>
        <w:rPr>
          <w:rFonts w:cstheme="minorBidi" w:hint="cs"/>
          <w:sz w:val="18"/>
          <w:szCs w:val="22"/>
          <w:cs/>
          <w:lang w:bidi="th-TH"/>
        </w:rPr>
        <w:t xml:space="preserve"> </w:t>
      </w:r>
      <w:r w:rsidR="001C494B" w:rsidRPr="00DC336E">
        <w:rPr>
          <w:sz w:val="18"/>
          <w:szCs w:val="18"/>
        </w:rPr>
        <w:t>Visualisation 1</w:t>
      </w:r>
    </w:p>
    <w:p w14:paraId="6D932D16" w14:textId="38ACE42E" w:rsidR="000D7CA0" w:rsidRPr="004514B7" w:rsidRDefault="000D7CA0" w:rsidP="000D7CA0">
      <w:r>
        <w:rPr>
          <w:noProof/>
        </w:rPr>
        <w:drawing>
          <wp:inline distT="0" distB="0" distL="0" distR="0" wp14:anchorId="5BBA88E2" wp14:editId="27A2CED0">
            <wp:extent cx="3091642" cy="10252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28A0092B-C50C-407E-A947-70E740481C1C}">
                          <a14:useLocalDpi xmlns:a14="http://schemas.microsoft.com/office/drawing/2010/main" val="0"/>
                        </a:ext>
                      </a:extLst>
                    </a:blip>
                    <a:srcRect l="-1" t="15269" r="-169"/>
                    <a:stretch/>
                  </pic:blipFill>
                  <pic:spPr bwMode="auto">
                    <a:xfrm>
                      <a:off x="0" y="0"/>
                      <a:ext cx="3110725" cy="1031564"/>
                    </a:xfrm>
                    <a:prstGeom prst="rect">
                      <a:avLst/>
                    </a:prstGeom>
                    <a:ln>
                      <a:noFill/>
                    </a:ln>
                    <a:extLst>
                      <a:ext uri="{53640926-AAD7-44D8-BBD7-CCE9431645EC}">
                        <a14:shadowObscured xmlns:a14="http://schemas.microsoft.com/office/drawing/2010/main"/>
                      </a:ext>
                    </a:extLst>
                  </pic:spPr>
                </pic:pic>
              </a:graphicData>
            </a:graphic>
          </wp:inline>
        </w:drawing>
      </w:r>
    </w:p>
    <w:p w14:paraId="7E78811D" w14:textId="7A2BB52E" w:rsidR="000D7CA0" w:rsidRDefault="000D7CA0" w:rsidP="000D7CA0">
      <w:pPr>
        <w:rPr>
          <w:sz w:val="18"/>
          <w:szCs w:val="18"/>
        </w:rPr>
      </w:pPr>
      <w:r w:rsidRPr="00DC336E">
        <w:rPr>
          <w:sz w:val="18"/>
          <w:szCs w:val="18"/>
        </w:rPr>
        <w:t xml:space="preserve">Figure 1: </w:t>
      </w:r>
      <w:r w:rsidRPr="005C76B0">
        <w:rPr>
          <w:sz w:val="18"/>
          <w:szCs w:val="18"/>
        </w:rPr>
        <w:t>beverage market trends and total market share</w:t>
      </w:r>
    </w:p>
    <w:p w14:paraId="79D29666" w14:textId="53F6AA70" w:rsidR="000D7CA0" w:rsidRPr="00541D9B" w:rsidRDefault="000D7CA0" w:rsidP="000D7CA0">
      <w:r>
        <w:rPr>
          <w:noProof/>
        </w:rPr>
        <w:lastRenderedPageBreak/>
        <w:drawing>
          <wp:inline distT="0" distB="0" distL="0" distR="0" wp14:anchorId="38F57829" wp14:editId="211A1C97">
            <wp:extent cx="3089910" cy="17487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48790"/>
                    </a:xfrm>
                    <a:prstGeom prst="rect">
                      <a:avLst/>
                    </a:prstGeom>
                  </pic:spPr>
                </pic:pic>
              </a:graphicData>
            </a:graphic>
          </wp:inline>
        </w:drawing>
      </w:r>
    </w:p>
    <w:p w14:paraId="6FFE3463" w14:textId="1EE0CE74" w:rsidR="000D7CA0" w:rsidRDefault="000D7CA0" w:rsidP="000D7CA0">
      <w:pPr>
        <w:rPr>
          <w:sz w:val="18"/>
          <w:szCs w:val="18"/>
        </w:rPr>
      </w:pPr>
      <w:r w:rsidRPr="00541D9B">
        <w:rPr>
          <w:sz w:val="18"/>
          <w:szCs w:val="18"/>
        </w:rPr>
        <w:t>Figure 2:</w:t>
      </w:r>
      <w:r>
        <w:rPr>
          <w:sz w:val="18"/>
          <w:szCs w:val="18"/>
        </w:rPr>
        <w:t xml:space="preserve"> </w:t>
      </w:r>
      <w:r w:rsidRPr="005B262A">
        <w:rPr>
          <w:sz w:val="18"/>
          <w:szCs w:val="18"/>
        </w:rPr>
        <w:t>Expand the non-alcoholic beverage category and focus on soft drinks.</w:t>
      </w:r>
    </w:p>
    <w:p w14:paraId="74632597" w14:textId="5C50BF49" w:rsidR="00541D9B" w:rsidRPr="00DC336E" w:rsidRDefault="00541D9B" w:rsidP="000D7CA0">
      <w:pPr>
        <w:jc w:val="both"/>
        <w:rPr>
          <w:sz w:val="18"/>
          <w:szCs w:val="18"/>
        </w:rPr>
      </w:pPr>
    </w:p>
    <w:p w14:paraId="09DEBE0A" w14:textId="3B3928A8" w:rsidR="004514B7" w:rsidRDefault="00A67F70" w:rsidP="000D7CA0">
      <w:pPr>
        <w:pStyle w:val="Heading3"/>
        <w:jc w:val="left"/>
      </w:pPr>
      <w:r w:rsidRPr="008E29E8">
        <w:t>Description</w:t>
      </w:r>
    </w:p>
    <w:p w14:paraId="1D87A97E" w14:textId="77777777" w:rsidR="00E33CBA" w:rsidRDefault="004F4CE2" w:rsidP="003D7E7B">
      <w:pPr>
        <w:ind w:firstLine="288"/>
        <w:jc w:val="left"/>
      </w:pPr>
      <w:r w:rsidRPr="004F4CE2">
        <w:t>this visualization shows an overview of the domestic beverage market to demonstrate that the market share is clearly different and narrows the data into the non-alcoholic drink market</w:t>
      </w:r>
      <w:r w:rsidR="000D7CA0">
        <w:t xml:space="preserve"> by Figure 1</w:t>
      </w:r>
      <w:r w:rsidRPr="004F4CE2">
        <w:t>.</w:t>
      </w:r>
      <w:r w:rsidR="000D7CA0">
        <w:t xml:space="preserve"> </w:t>
      </w:r>
    </w:p>
    <w:p w14:paraId="6CE28D6E" w14:textId="3EF7767A" w:rsidR="003249CD" w:rsidRDefault="000D7CA0" w:rsidP="003D7E7B">
      <w:pPr>
        <w:ind w:firstLine="288"/>
        <w:jc w:val="left"/>
      </w:pPr>
      <w:r>
        <w:t>Then in Figure 2.</w:t>
      </w:r>
      <w:r w:rsidR="00E33CBA" w:rsidRPr="00E33CBA">
        <w:t xml:space="preserve"> This second page of visualization shows types of non-alcoholic beverages using a pie chart and looking at the average market share in Ten years ago to narrow down to do soft drink with the highest market share Then categorize soft drink. by using a bar chart </w:t>
      </w:r>
      <w:r w:rsidR="00E33CBA">
        <w:t>to</w:t>
      </w:r>
      <w:r w:rsidR="00E33CBA" w:rsidRPr="00E33CBA">
        <w:t xml:space="preserve"> </w:t>
      </w:r>
      <w:proofErr w:type="spellStart"/>
      <w:r w:rsidR="00E33CBA" w:rsidRPr="00E33CBA">
        <w:t>analyze</w:t>
      </w:r>
      <w:proofErr w:type="spellEnd"/>
      <w:r w:rsidR="00E33CBA" w:rsidRPr="00E33CBA">
        <w:t xml:space="preserve"> the market share to find the true market leader of all beverages</w:t>
      </w:r>
    </w:p>
    <w:p w14:paraId="3688F3B9" w14:textId="77777777" w:rsidR="001D74D6" w:rsidRPr="001D74D6" w:rsidRDefault="001D74D6" w:rsidP="001D74D6">
      <w:pPr>
        <w:ind w:firstLine="720"/>
        <w:jc w:val="left"/>
      </w:pPr>
    </w:p>
    <w:p w14:paraId="4A58A414" w14:textId="475C370A" w:rsidR="003249CD" w:rsidRDefault="003249CD" w:rsidP="008E29E8">
      <w:pPr>
        <w:pStyle w:val="Heading3"/>
        <w:jc w:val="left"/>
      </w:pPr>
      <w:r w:rsidRPr="008E29E8">
        <w:t>Justification</w:t>
      </w:r>
    </w:p>
    <w:p w14:paraId="37B86661" w14:textId="0BE69EB2" w:rsidR="00792B3F" w:rsidRDefault="00792B3F" w:rsidP="00792B3F">
      <w:pPr>
        <w:ind w:firstLine="288"/>
        <w:jc w:val="left"/>
      </w:pPr>
      <w:r w:rsidRPr="00792B3F">
        <w:t>In each visualization. Represents market data using trading volume and year for comparison. Then bring to show the market share to show the clarity of dominance throughout the beverage. and enabling it to correctly focus on the key points of its significance that will have an impact on the beverage market</w:t>
      </w:r>
    </w:p>
    <w:p w14:paraId="2962C7A4" w14:textId="77777777" w:rsidR="00792B3F" w:rsidRPr="00792B3F" w:rsidRDefault="00792B3F" w:rsidP="00792B3F">
      <w:pPr>
        <w:ind w:firstLine="288"/>
        <w:jc w:val="left"/>
      </w:pPr>
    </w:p>
    <w:p w14:paraId="49F09C22" w14:textId="77777777" w:rsidR="003249CD" w:rsidRPr="008E29E8" w:rsidRDefault="003249CD" w:rsidP="008E29E8">
      <w:pPr>
        <w:pStyle w:val="Heading3"/>
        <w:jc w:val="left"/>
      </w:pPr>
      <w:r w:rsidRPr="008E29E8">
        <w:t>Narrative Design Patterns</w:t>
      </w:r>
    </w:p>
    <w:p w14:paraId="30B262EE" w14:textId="33B869DE" w:rsidR="001B436C" w:rsidRPr="008E29E8" w:rsidRDefault="005E71D1" w:rsidP="008E29E8">
      <w:pPr>
        <w:ind w:firstLine="360"/>
        <w:jc w:val="left"/>
        <w:rPr>
          <w:rFonts w:cs="Cordia New"/>
          <w:szCs w:val="25"/>
          <w:lang w:val="en-US" w:bidi="th-TH"/>
        </w:rPr>
      </w:pPr>
      <w:r w:rsidRPr="005E71D1">
        <w:t xml:space="preserve">Narrative design patterns of this visualisation are use </w:t>
      </w:r>
      <w:proofErr w:type="gramStart"/>
      <w:r w:rsidRPr="005E71D1">
        <w:t>compare,</w:t>
      </w:r>
      <w:proofErr w:type="gramEnd"/>
      <w:r w:rsidRPr="005E71D1">
        <w:t xml:space="preserve"> drink of the same type Demonstrates a clear divergence of traded volumes to focus on the largest segment.</w:t>
      </w:r>
      <w:r w:rsidR="00C715BB" w:rsidRPr="00C715BB">
        <w:t xml:space="preserve"> </w:t>
      </w:r>
    </w:p>
    <w:p w14:paraId="468A0DBE" w14:textId="77777777" w:rsidR="003249CD" w:rsidRPr="008E29E8" w:rsidRDefault="003249CD" w:rsidP="008E29E8">
      <w:pPr>
        <w:jc w:val="left"/>
      </w:pPr>
    </w:p>
    <w:p w14:paraId="393DFE3A" w14:textId="77777777" w:rsidR="003249CD" w:rsidRPr="008E29E8" w:rsidRDefault="003249CD" w:rsidP="008E29E8">
      <w:pPr>
        <w:pStyle w:val="Heading3"/>
        <w:jc w:val="left"/>
      </w:pPr>
      <w:r w:rsidRPr="008E29E8">
        <w:t>Strengths and Weaknesses</w:t>
      </w:r>
    </w:p>
    <w:p w14:paraId="3E88CBF8" w14:textId="1D6D8A52" w:rsidR="003249CD" w:rsidRPr="008E29E8" w:rsidRDefault="00E80AE6" w:rsidP="00E80AE6">
      <w:pPr>
        <w:ind w:firstLine="288"/>
        <w:jc w:val="left"/>
      </w:pPr>
      <w:r w:rsidRPr="00E80AE6">
        <w:t>The strengths of this visualization are the use of narrative design patterns, clarity, and rational focus on goals. It clearly shows the difference in market share and is a reason to focus on the soft-drink market. The downside is that it cannot show the details of drinks in other out-of-focus categories.</w:t>
      </w:r>
    </w:p>
    <w:p w14:paraId="2105ABA2" w14:textId="77777777" w:rsidR="003249CD" w:rsidRPr="008E29E8" w:rsidRDefault="003249CD" w:rsidP="008E29E8">
      <w:pPr>
        <w:pStyle w:val="Heading3"/>
        <w:jc w:val="left"/>
      </w:pPr>
      <w:r w:rsidRPr="008E29E8">
        <w:t>Improvements</w:t>
      </w:r>
    </w:p>
    <w:p w14:paraId="58DC535B" w14:textId="30FD1A1C" w:rsidR="00521A0C" w:rsidRPr="008E29E8" w:rsidRDefault="001E3105" w:rsidP="001E3105">
      <w:pPr>
        <w:ind w:firstLine="288"/>
        <w:jc w:val="left"/>
      </w:pPr>
      <w:r w:rsidRPr="001E3105">
        <w:t xml:space="preserve">Look for a way to include some description in the visualization. It will allow audiences to gain additional insight from the data. </w:t>
      </w:r>
    </w:p>
    <w:p w14:paraId="1776B8CE" w14:textId="1983E3B1" w:rsidR="00E64A44" w:rsidRDefault="001E3105" w:rsidP="008E29E8">
      <w:pPr>
        <w:pStyle w:val="Heading2"/>
        <w:rPr>
          <w:rFonts w:cs="Cordia New"/>
          <w:szCs w:val="25"/>
          <w:lang w:val="en-US" w:bidi="th-TH"/>
        </w:rPr>
      </w:pPr>
      <w:r w:rsidRPr="001E3105">
        <w:t xml:space="preserve">Focus on </w:t>
      </w:r>
      <w:r w:rsidR="002B3FD9">
        <w:rPr>
          <w:rFonts w:cs="Angsana New"/>
          <w:szCs w:val="25"/>
          <w:lang w:val="en-US" w:bidi="th-TH"/>
        </w:rPr>
        <w:t>t</w:t>
      </w:r>
      <w:r w:rsidR="002B3FD9" w:rsidRPr="002B3FD9">
        <w:t>he beverage category with the largest market share of Soft</w:t>
      </w:r>
      <w:r w:rsidR="002B3FD9">
        <w:rPr>
          <w:rFonts w:cstheme="minorBidi" w:hint="cs"/>
          <w:szCs w:val="25"/>
          <w:cs/>
          <w:lang w:bidi="th-TH"/>
        </w:rPr>
        <w:t xml:space="preserve"> </w:t>
      </w:r>
      <w:r w:rsidR="002B3FD9" w:rsidRPr="002B3FD9">
        <w:t>drink</w:t>
      </w:r>
      <w:r>
        <w:rPr>
          <w:rFonts w:cstheme="minorBidi" w:hint="cs"/>
          <w:szCs w:val="25"/>
          <w:cs/>
          <w:lang w:bidi="th-TH"/>
        </w:rPr>
        <w:t xml:space="preserve"> </w:t>
      </w:r>
      <w:r w:rsidR="00E64A44" w:rsidRPr="008E29E8">
        <w:t xml:space="preserve">Visualisation </w:t>
      </w:r>
      <w:r w:rsidR="00E64A44" w:rsidRPr="008E29E8">
        <w:rPr>
          <w:rFonts w:cs="Cordia New"/>
          <w:szCs w:val="25"/>
          <w:lang w:val="en-US" w:bidi="th-TH"/>
        </w:rPr>
        <w:t>2</w:t>
      </w:r>
    </w:p>
    <w:p w14:paraId="73C2C12F" w14:textId="77777777" w:rsidR="002B3FD9" w:rsidRPr="002B3FD9" w:rsidRDefault="002B3FD9" w:rsidP="002B3FD9">
      <w:pPr>
        <w:rPr>
          <w:lang w:val="en-US" w:bidi="th-TH"/>
        </w:rPr>
      </w:pPr>
    </w:p>
    <w:p w14:paraId="5F7A9EA2" w14:textId="5BE273DE" w:rsidR="002B3FD9" w:rsidRPr="005B262A" w:rsidRDefault="002B3FD9" w:rsidP="002B3FD9">
      <w:pPr>
        <w:rPr>
          <w:rFonts w:cs="Angsana New"/>
          <w:sz w:val="18"/>
          <w:szCs w:val="22"/>
          <w:cs/>
          <w:lang w:val="en-US" w:bidi="th-TH"/>
        </w:rPr>
      </w:pPr>
      <w:r>
        <w:rPr>
          <w:noProof/>
          <w:sz w:val="18"/>
          <w:szCs w:val="18"/>
        </w:rPr>
        <w:drawing>
          <wp:inline distT="0" distB="0" distL="0" distR="0" wp14:anchorId="642410B0" wp14:editId="56A12A4B">
            <wp:extent cx="3079699" cy="1692529"/>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3" cstate="print">
                      <a:extLst>
                        <a:ext uri="{28A0092B-C50C-407E-A947-70E740481C1C}">
                          <a14:useLocalDpi xmlns:a14="http://schemas.microsoft.com/office/drawing/2010/main" val="0"/>
                        </a:ext>
                      </a:extLst>
                    </a:blip>
                    <a:srcRect t="11478" r="331"/>
                    <a:stretch/>
                  </pic:blipFill>
                  <pic:spPr bwMode="auto">
                    <a:xfrm>
                      <a:off x="0" y="0"/>
                      <a:ext cx="3079699" cy="1692529"/>
                    </a:xfrm>
                    <a:prstGeom prst="rect">
                      <a:avLst/>
                    </a:prstGeom>
                    <a:ln>
                      <a:noFill/>
                    </a:ln>
                    <a:extLst>
                      <a:ext uri="{53640926-AAD7-44D8-BBD7-CCE9431645EC}">
                        <a14:shadowObscured xmlns:a14="http://schemas.microsoft.com/office/drawing/2010/main"/>
                      </a:ext>
                    </a:extLst>
                  </pic:spPr>
                </pic:pic>
              </a:graphicData>
            </a:graphic>
          </wp:inline>
        </w:drawing>
      </w:r>
      <w:r w:rsidRPr="002B3FD9">
        <w:rPr>
          <w:rFonts w:cs="Angsana New"/>
          <w:sz w:val="18"/>
          <w:szCs w:val="22"/>
          <w:lang w:val="en-US" w:bidi="th-TH"/>
        </w:rPr>
        <w:t xml:space="preserve"> </w:t>
      </w:r>
      <w:r>
        <w:rPr>
          <w:rFonts w:cs="Angsana New"/>
          <w:sz w:val="18"/>
          <w:szCs w:val="22"/>
          <w:lang w:val="en-US" w:bidi="th-TH"/>
        </w:rPr>
        <w:t xml:space="preserve">Figure 3: </w:t>
      </w:r>
      <w:r w:rsidRPr="005B262A">
        <w:rPr>
          <w:rFonts w:cs="Angsana New"/>
          <w:sz w:val="18"/>
          <w:szCs w:val="22"/>
          <w:lang w:val="en-US" w:bidi="th-TH"/>
        </w:rPr>
        <w:t>Expanding the key areas of the soft drink with the highest market share</w:t>
      </w:r>
    </w:p>
    <w:p w14:paraId="502CE06C" w14:textId="117A17A5" w:rsidR="00640AB6" w:rsidRDefault="00640AB6" w:rsidP="00640AB6">
      <w:pPr>
        <w:rPr>
          <w:lang w:val="en-US" w:bidi="th-TH"/>
        </w:rPr>
      </w:pPr>
    </w:p>
    <w:p w14:paraId="7D5E0163" w14:textId="77777777" w:rsidR="001D74D6" w:rsidRDefault="001D74D6" w:rsidP="001D74D6">
      <w:pPr>
        <w:pStyle w:val="Heading3"/>
        <w:jc w:val="left"/>
      </w:pPr>
      <w:r w:rsidRPr="008E29E8">
        <w:t>Description</w:t>
      </w:r>
    </w:p>
    <w:p w14:paraId="3C40F8B3" w14:textId="38E309F8" w:rsidR="00755A41" w:rsidRDefault="005E71D1" w:rsidP="00755A41">
      <w:pPr>
        <w:ind w:firstLine="288"/>
        <w:jc w:val="left"/>
      </w:pPr>
      <w:r w:rsidRPr="005E71D1">
        <w:t>Figure 3. The soft drink market leader's complete information is displayed. To discuss the importance of the elements in soft drinking, The data illustrates the annual trading volume and market share of each type of bottled water drinks.</w:t>
      </w:r>
    </w:p>
    <w:p w14:paraId="79024017" w14:textId="77777777" w:rsidR="005E71D1" w:rsidRPr="00755A41" w:rsidRDefault="005E71D1" w:rsidP="00755A41">
      <w:pPr>
        <w:ind w:firstLine="288"/>
        <w:jc w:val="left"/>
      </w:pPr>
    </w:p>
    <w:p w14:paraId="36724837" w14:textId="720E0268" w:rsidR="001D74D6" w:rsidRDefault="001D74D6" w:rsidP="003D7E7B">
      <w:pPr>
        <w:pStyle w:val="Heading3"/>
        <w:jc w:val="left"/>
      </w:pPr>
      <w:bookmarkStart w:id="0" w:name="_Hlk93281860"/>
      <w:r w:rsidRPr="008E29E8">
        <w:t>Justification</w:t>
      </w:r>
    </w:p>
    <w:p w14:paraId="1E7F3FCD" w14:textId="701F202D" w:rsidR="003D7E7B" w:rsidRDefault="0064306F" w:rsidP="0064306F">
      <w:pPr>
        <w:ind w:firstLine="288"/>
        <w:jc w:val="left"/>
      </w:pPr>
      <w:r>
        <w:t>In figure 3, focus on the type of bottled water. To find out why it is important. The line chart shows the trading volume, gives a glimpse of the market trends over the past ten years, and the pie chart shows the resulting market share to see the importance of each type of bottled beverage.</w:t>
      </w:r>
    </w:p>
    <w:p w14:paraId="386752A6" w14:textId="77777777" w:rsidR="0064306F" w:rsidRPr="003D7E7B" w:rsidRDefault="0064306F" w:rsidP="0064306F">
      <w:pPr>
        <w:ind w:firstLine="288"/>
        <w:jc w:val="left"/>
      </w:pPr>
    </w:p>
    <w:p w14:paraId="3D9E1B41" w14:textId="6EDA72D5" w:rsidR="001D74D6" w:rsidRDefault="001D74D6" w:rsidP="001D74D6">
      <w:pPr>
        <w:pStyle w:val="Heading3"/>
        <w:jc w:val="left"/>
      </w:pPr>
      <w:r w:rsidRPr="008E29E8">
        <w:t>Narrative Design Patterns</w:t>
      </w:r>
    </w:p>
    <w:p w14:paraId="4D744EFD" w14:textId="1FFCB3E2" w:rsidR="0064306F" w:rsidRDefault="00740AC3" w:rsidP="00740AC3">
      <w:pPr>
        <w:ind w:firstLine="288"/>
        <w:jc w:val="both"/>
      </w:pPr>
      <w:r w:rsidRPr="00740AC3">
        <w:t>The narrative design patterns of this visualization show the trends that have occurred in the past few years. The data shows an increase in the market share of "functional bottled water" despite the impact of the COVID-19 pandemic.</w:t>
      </w:r>
    </w:p>
    <w:p w14:paraId="3C8D9BCD" w14:textId="77777777" w:rsidR="00740AC3" w:rsidRPr="0064306F" w:rsidRDefault="00740AC3" w:rsidP="00740AC3">
      <w:pPr>
        <w:ind w:firstLine="288"/>
        <w:jc w:val="both"/>
      </w:pPr>
    </w:p>
    <w:p w14:paraId="52F90008" w14:textId="1F9ED1E1" w:rsidR="001D74D6" w:rsidRDefault="001D74D6" w:rsidP="001D74D6">
      <w:pPr>
        <w:pStyle w:val="Heading3"/>
        <w:jc w:val="left"/>
      </w:pPr>
      <w:r w:rsidRPr="008E29E8">
        <w:t>Strengths and Weaknesses</w:t>
      </w:r>
    </w:p>
    <w:p w14:paraId="18653CCD" w14:textId="48036857" w:rsidR="00C9625E" w:rsidRDefault="005E71D1" w:rsidP="00C9625E">
      <w:pPr>
        <w:ind w:firstLine="288"/>
        <w:jc w:val="both"/>
        <w:rPr>
          <w:lang w:val="en-US"/>
        </w:rPr>
      </w:pPr>
      <w:r w:rsidRPr="005E71D1">
        <w:rPr>
          <w:lang w:val="en-US"/>
        </w:rPr>
        <w:t>The strength of this chart is that it shows the data clearly and how it differs from other data sets. This visualization Year can be selected to display each year's market share in a pie chart. The weak point of this visualization is the Inability to display information on other types of soft drinks.</w:t>
      </w:r>
    </w:p>
    <w:p w14:paraId="30AA9AE7" w14:textId="77777777" w:rsidR="005E71D1" w:rsidRPr="00C9625E" w:rsidRDefault="005E71D1" w:rsidP="00C9625E">
      <w:pPr>
        <w:ind w:firstLine="288"/>
        <w:jc w:val="both"/>
        <w:rPr>
          <w:lang w:val="en-US"/>
        </w:rPr>
      </w:pPr>
    </w:p>
    <w:p w14:paraId="1ACFA9AD" w14:textId="28F6E436" w:rsidR="001D74D6" w:rsidRDefault="001D74D6" w:rsidP="001D74D6">
      <w:pPr>
        <w:pStyle w:val="Heading3"/>
        <w:jc w:val="left"/>
      </w:pPr>
      <w:r w:rsidRPr="008E29E8">
        <w:t>Improvements</w:t>
      </w:r>
    </w:p>
    <w:bookmarkEnd w:id="0"/>
    <w:p w14:paraId="229DBFB0" w14:textId="05A0EA76" w:rsidR="001D74D6" w:rsidRDefault="00AB716A" w:rsidP="00AB716A">
      <w:pPr>
        <w:ind w:firstLine="288"/>
        <w:jc w:val="both"/>
        <w:rPr>
          <w:rFonts w:cstheme="minorBidi"/>
          <w:szCs w:val="25"/>
          <w:lang w:bidi="th-TH"/>
        </w:rPr>
      </w:pPr>
      <w:r w:rsidRPr="00AB716A">
        <w:rPr>
          <w:rFonts w:cstheme="minorBidi"/>
          <w:szCs w:val="25"/>
          <w:lang w:bidi="th-TH"/>
        </w:rPr>
        <w:t>Find a strategy to incorporate the remaining soft drink types. to be able to view the information more clearly and with greater curiosity</w:t>
      </w:r>
    </w:p>
    <w:p w14:paraId="094F5E21" w14:textId="77777777" w:rsidR="00AB716A" w:rsidRPr="00AB716A" w:rsidRDefault="00AB716A" w:rsidP="00AB716A">
      <w:pPr>
        <w:ind w:firstLine="288"/>
        <w:jc w:val="both"/>
        <w:rPr>
          <w:rFonts w:cstheme="minorBidi"/>
          <w:szCs w:val="25"/>
          <w:cs/>
          <w:lang w:bidi="th-TH"/>
        </w:rPr>
      </w:pPr>
    </w:p>
    <w:p w14:paraId="13E9DA41" w14:textId="32CE6849" w:rsidR="002B3FD9" w:rsidRPr="001D74D6" w:rsidRDefault="001D74D6" w:rsidP="001D74D6">
      <w:pPr>
        <w:pStyle w:val="Heading2"/>
        <w:rPr>
          <w:rFonts w:cs="Cordia New"/>
          <w:szCs w:val="25"/>
          <w:lang w:val="en-US" w:bidi="th-TH"/>
        </w:rPr>
      </w:pPr>
      <w:bookmarkStart w:id="1" w:name="_Hlk93281848"/>
      <w:r w:rsidRPr="001E3105">
        <w:t xml:space="preserve">Focus on </w:t>
      </w:r>
      <w:r w:rsidR="00AA7E26">
        <w:rPr>
          <w:rFonts w:cs="Angsana New"/>
          <w:szCs w:val="25"/>
          <w:lang w:val="en-US" w:bidi="th-TH"/>
        </w:rPr>
        <w:t xml:space="preserve">Healthy </w:t>
      </w:r>
      <w:r w:rsidRPr="001D74D6">
        <w:rPr>
          <w:rFonts w:cs="Angsana New"/>
          <w:szCs w:val="25"/>
          <w:lang w:val="en-US" w:bidi="th-TH"/>
        </w:rPr>
        <w:t xml:space="preserve"> trends</w:t>
      </w:r>
      <w:r>
        <w:rPr>
          <w:rFonts w:cs="Angsana New" w:hint="cs"/>
          <w:szCs w:val="25"/>
          <w:cs/>
          <w:lang w:val="en-US" w:bidi="th-TH"/>
        </w:rPr>
        <w:t xml:space="preserve"> </w:t>
      </w:r>
      <w:r w:rsidRPr="008E29E8">
        <w:t xml:space="preserve">Visualisation </w:t>
      </w:r>
      <w:r>
        <w:rPr>
          <w:rFonts w:cs="Cordia New"/>
          <w:szCs w:val="25"/>
          <w:lang w:val="en-US" w:bidi="th-TH"/>
        </w:rPr>
        <w:t>3</w:t>
      </w:r>
    </w:p>
    <w:bookmarkEnd w:id="1"/>
    <w:p w14:paraId="5F8844F8" w14:textId="0B48CD2C" w:rsidR="00541D9B" w:rsidRDefault="00541D9B" w:rsidP="001E3105">
      <w:pPr>
        <w:rPr>
          <w:lang w:val="en-US" w:bidi="th-TH"/>
        </w:rPr>
      </w:pPr>
      <w:r>
        <w:rPr>
          <w:noProof/>
          <w:lang w:val="en-US" w:bidi="th-TH"/>
        </w:rPr>
        <w:drawing>
          <wp:inline distT="0" distB="0" distL="0" distR="0" wp14:anchorId="609150E0" wp14:editId="0C1C77F1">
            <wp:extent cx="2796555" cy="1498023"/>
            <wp:effectExtent l="19050" t="19050" r="22860" b="2603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pic:cNvPicPr/>
                  </pic:nvPicPr>
                  <pic:blipFill rotWithShape="1">
                    <a:blip r:embed="rId14" cstate="print">
                      <a:extLst>
                        <a:ext uri="{28A0092B-C50C-407E-A947-70E740481C1C}">
                          <a14:useLocalDpi xmlns:a14="http://schemas.microsoft.com/office/drawing/2010/main" val="0"/>
                        </a:ext>
                      </a:extLst>
                    </a:blip>
                    <a:srcRect l="-1" t="10602" r="20369"/>
                    <a:stretch/>
                  </pic:blipFill>
                  <pic:spPr bwMode="auto">
                    <a:xfrm>
                      <a:off x="0" y="0"/>
                      <a:ext cx="2811246" cy="1505892"/>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F3C3DD" w14:textId="01CD89FC" w:rsidR="00541D9B" w:rsidRDefault="00541D9B" w:rsidP="00541D9B">
      <w:pPr>
        <w:rPr>
          <w:rFonts w:cstheme="minorBidi"/>
          <w:sz w:val="18"/>
          <w:szCs w:val="18"/>
          <w:lang w:val="en-US" w:bidi="th-TH"/>
        </w:rPr>
      </w:pPr>
      <w:r w:rsidRPr="00541D9B">
        <w:rPr>
          <w:sz w:val="18"/>
          <w:szCs w:val="18"/>
          <w:lang w:val="en-US" w:bidi="th-TH"/>
        </w:rPr>
        <w:t xml:space="preserve">Figure </w:t>
      </w:r>
      <w:r w:rsidR="001E3105">
        <w:rPr>
          <w:rFonts w:cs="Angsana New"/>
          <w:sz w:val="18"/>
          <w:szCs w:val="22"/>
          <w:lang w:val="en-US" w:bidi="th-TH"/>
        </w:rPr>
        <w:t>4</w:t>
      </w:r>
      <w:r w:rsidRPr="00541D9B">
        <w:rPr>
          <w:sz w:val="18"/>
          <w:szCs w:val="18"/>
          <w:lang w:val="en-US" w:bidi="th-TH"/>
        </w:rPr>
        <w:t>:</w:t>
      </w:r>
      <w:r w:rsidR="000622B4">
        <w:rPr>
          <w:sz w:val="18"/>
          <w:szCs w:val="18"/>
          <w:lang w:val="en-US" w:bidi="th-TH"/>
        </w:rPr>
        <w:t xml:space="preserve"> Healthy Trend</w:t>
      </w:r>
    </w:p>
    <w:p w14:paraId="45332BD7" w14:textId="77777777" w:rsidR="00E933E8" w:rsidRPr="00E933E8" w:rsidRDefault="00E933E8" w:rsidP="00541D9B">
      <w:pPr>
        <w:rPr>
          <w:rFonts w:cstheme="minorBidi"/>
          <w:sz w:val="18"/>
          <w:szCs w:val="18"/>
          <w:lang w:val="en-US" w:bidi="th-TH"/>
        </w:rPr>
      </w:pPr>
    </w:p>
    <w:p w14:paraId="6BA20565" w14:textId="4DE8F07D" w:rsidR="001D74D6" w:rsidRDefault="001D74D6" w:rsidP="001D74D6">
      <w:pPr>
        <w:pStyle w:val="Heading3"/>
        <w:jc w:val="left"/>
      </w:pPr>
      <w:bookmarkStart w:id="2" w:name="_Hlk93282106"/>
      <w:r w:rsidRPr="008E29E8">
        <w:lastRenderedPageBreak/>
        <w:t>Description</w:t>
      </w:r>
    </w:p>
    <w:p w14:paraId="7C5ECEE9" w14:textId="1C65432C" w:rsidR="00AB716A" w:rsidRDefault="000969EA" w:rsidP="000969EA">
      <w:pPr>
        <w:ind w:firstLine="288"/>
        <w:jc w:val="both"/>
        <w:rPr>
          <w:lang w:val="en-US"/>
        </w:rPr>
      </w:pPr>
      <w:r w:rsidRPr="000969EA">
        <w:rPr>
          <w:lang w:val="en-US"/>
        </w:rPr>
        <w:t>The trend of the health drink market, which is constantly rising, is depicted in this picture. With a choice year to display, the line chart shows the annual market value and the bar chart shows the market share of healthy beverages.</w:t>
      </w:r>
    </w:p>
    <w:p w14:paraId="73CEC320" w14:textId="77777777" w:rsidR="000969EA" w:rsidRPr="000969EA" w:rsidRDefault="000969EA" w:rsidP="000969EA">
      <w:pPr>
        <w:ind w:firstLine="288"/>
        <w:jc w:val="both"/>
        <w:rPr>
          <w:lang w:val="en-US"/>
        </w:rPr>
      </w:pPr>
    </w:p>
    <w:p w14:paraId="24F99201" w14:textId="2C891129" w:rsidR="000969EA" w:rsidRDefault="001D74D6" w:rsidP="000969EA">
      <w:pPr>
        <w:pStyle w:val="Heading3"/>
        <w:jc w:val="left"/>
      </w:pPr>
      <w:r w:rsidRPr="008E29E8">
        <w:t>Justification</w:t>
      </w:r>
    </w:p>
    <w:p w14:paraId="790FA5F6" w14:textId="18022A8B" w:rsidR="00B43518" w:rsidRDefault="00B43518" w:rsidP="00B43518">
      <w:pPr>
        <w:jc w:val="both"/>
        <w:rPr>
          <w:rFonts w:cstheme="minorBidi"/>
          <w:szCs w:val="25"/>
          <w:lang w:bidi="th-TH"/>
        </w:rPr>
      </w:pPr>
      <w:r w:rsidRPr="00B43518">
        <w:rPr>
          <w:rFonts w:cstheme="minorBidi"/>
          <w:szCs w:val="25"/>
          <w:lang w:bidi="th-TH"/>
        </w:rPr>
        <w:t xml:space="preserve">In Figure 4, the trend of healthy beverages continues to grow, which is a good trend in the soft drink category. </w:t>
      </w:r>
      <w:proofErr w:type="gramStart"/>
      <w:r w:rsidRPr="00B43518">
        <w:rPr>
          <w:rFonts w:cstheme="minorBidi"/>
          <w:szCs w:val="25"/>
          <w:lang w:bidi="th-TH"/>
        </w:rPr>
        <w:t>So</w:t>
      </w:r>
      <w:proofErr w:type="gramEnd"/>
      <w:r w:rsidRPr="00B43518">
        <w:rPr>
          <w:rFonts w:cstheme="minorBidi"/>
          <w:szCs w:val="25"/>
          <w:lang w:bidi="th-TH"/>
        </w:rPr>
        <w:t xml:space="preserve"> it makes sense to focus on what types of healthy beverages are available and to find out the significance of the drivers of this trend.</w:t>
      </w:r>
    </w:p>
    <w:p w14:paraId="2626E6AC" w14:textId="77777777" w:rsidR="00B43518" w:rsidRPr="00B43518" w:rsidRDefault="00B43518" w:rsidP="00B43518">
      <w:pPr>
        <w:jc w:val="both"/>
        <w:rPr>
          <w:rFonts w:cstheme="minorBidi"/>
          <w:szCs w:val="25"/>
          <w:cs/>
          <w:lang w:bidi="th-TH"/>
        </w:rPr>
      </w:pPr>
    </w:p>
    <w:p w14:paraId="0108AD80" w14:textId="314338ED" w:rsidR="001D74D6" w:rsidRDefault="001D74D6" w:rsidP="001D74D6">
      <w:pPr>
        <w:pStyle w:val="Heading3"/>
        <w:jc w:val="left"/>
      </w:pPr>
      <w:r w:rsidRPr="008E29E8">
        <w:t>Narrative Design Patterns</w:t>
      </w:r>
    </w:p>
    <w:p w14:paraId="21BA6438" w14:textId="77777777" w:rsidR="001448FE" w:rsidRDefault="001448FE" w:rsidP="001448FE">
      <w:pPr>
        <w:ind w:firstLine="288"/>
        <w:jc w:val="both"/>
      </w:pPr>
      <w:r>
        <w:t>This Narrative Design pattern represents a limiting of the content to identify the market's primary topics and trends.</w:t>
      </w:r>
    </w:p>
    <w:p w14:paraId="271E855C" w14:textId="49014B37" w:rsidR="004E6EE8" w:rsidRDefault="001448FE" w:rsidP="001448FE">
      <w:pPr>
        <w:jc w:val="both"/>
      </w:pPr>
      <w:r>
        <w:t>This illustration depicts the features of each year's wings' features to demonstrate and explain shifting tendencies. better customer behaviour</w:t>
      </w:r>
    </w:p>
    <w:p w14:paraId="51AF619C" w14:textId="77777777" w:rsidR="001448FE" w:rsidRPr="00B43518" w:rsidRDefault="001448FE" w:rsidP="001448FE">
      <w:pPr>
        <w:jc w:val="both"/>
      </w:pPr>
    </w:p>
    <w:p w14:paraId="0A0D4457" w14:textId="5AA4BA4B" w:rsidR="001D74D6" w:rsidRDefault="001D74D6" w:rsidP="001D74D6">
      <w:pPr>
        <w:pStyle w:val="Heading3"/>
        <w:jc w:val="left"/>
      </w:pPr>
      <w:r w:rsidRPr="008E29E8">
        <w:t>Strengths and Weaknesses</w:t>
      </w:r>
    </w:p>
    <w:p w14:paraId="7C8BA915" w14:textId="520C6BDC" w:rsidR="004E6EE8" w:rsidRDefault="00D35D1D" w:rsidP="00D35D1D">
      <w:pPr>
        <w:ind w:firstLine="288"/>
        <w:jc w:val="left"/>
      </w:pPr>
      <w:r w:rsidRPr="00D35D1D">
        <w:t>The advantage of this visualization is A clear representation of the trend of healthy beverages. This shows that nowadays people are more conscious about their health. The bar chart shows difference in market share from year to year. The disadvantage is that it is unable to display data on other trends occurring in soft drinks.</w:t>
      </w:r>
    </w:p>
    <w:p w14:paraId="4192A72C" w14:textId="77777777" w:rsidR="000F1CEC" w:rsidRPr="004E6EE8" w:rsidRDefault="000F1CEC" w:rsidP="00D35D1D">
      <w:pPr>
        <w:ind w:firstLine="288"/>
        <w:jc w:val="left"/>
      </w:pPr>
    </w:p>
    <w:p w14:paraId="111D8E0A" w14:textId="1FFDEE69" w:rsidR="001D74D6" w:rsidRPr="001D74D6" w:rsidRDefault="001D74D6" w:rsidP="001448FE">
      <w:pPr>
        <w:pStyle w:val="Heading3"/>
        <w:jc w:val="left"/>
      </w:pPr>
      <w:r w:rsidRPr="008E29E8">
        <w:t>Improvements</w:t>
      </w:r>
      <w:bookmarkEnd w:id="2"/>
    </w:p>
    <w:p w14:paraId="0ACA32D8" w14:textId="048C2DBA" w:rsidR="001D74D6" w:rsidRPr="001D74D6" w:rsidRDefault="001448FE" w:rsidP="001448FE">
      <w:pPr>
        <w:ind w:firstLine="288"/>
        <w:jc w:val="left"/>
      </w:pPr>
      <w:r w:rsidRPr="001448FE">
        <w:t>Find a way to include a second chart to provide more detail of the other trends, both positive and negative. such that the</w:t>
      </w:r>
      <w:r>
        <w:rPr>
          <w:rFonts w:cstheme="minorBidi" w:hint="cs"/>
          <w:szCs w:val="25"/>
          <w:cs/>
          <w:lang w:bidi="th-TH"/>
        </w:rPr>
        <w:t xml:space="preserve"> </w:t>
      </w:r>
      <w:r w:rsidRPr="001448FE">
        <w:t>details are not all pointing in the same direction</w:t>
      </w:r>
    </w:p>
    <w:p w14:paraId="5BBC9C82" w14:textId="3178E7D3" w:rsidR="001D74D6" w:rsidRPr="00AA7E26" w:rsidRDefault="00AA7E26" w:rsidP="00AA7E26">
      <w:pPr>
        <w:pStyle w:val="Heading2"/>
        <w:rPr>
          <w:rFonts w:cs="Cordia New"/>
          <w:szCs w:val="25"/>
          <w:lang w:val="en-US" w:bidi="th-TH"/>
        </w:rPr>
      </w:pPr>
      <w:r w:rsidRPr="00AA7E26">
        <w:t xml:space="preserve">Expanding information on health drink </w:t>
      </w:r>
      <w:r>
        <w:t>trend visualization</w:t>
      </w:r>
      <w:r w:rsidRPr="008E29E8">
        <w:t xml:space="preserve"> </w:t>
      </w:r>
      <w:r>
        <w:rPr>
          <w:rFonts w:cs="Cordia New"/>
          <w:szCs w:val="25"/>
          <w:lang w:val="en-US" w:bidi="th-TH"/>
        </w:rPr>
        <w:t>4</w:t>
      </w:r>
    </w:p>
    <w:p w14:paraId="2B97F489" w14:textId="31E59ED0" w:rsidR="000622B4" w:rsidRDefault="000622B4" w:rsidP="00541D9B">
      <w:pPr>
        <w:rPr>
          <w:sz w:val="18"/>
          <w:szCs w:val="18"/>
          <w:lang w:val="en-US" w:bidi="th-TH"/>
        </w:rPr>
      </w:pPr>
    </w:p>
    <w:p w14:paraId="510A6F39" w14:textId="13D2C961" w:rsidR="000622B4" w:rsidRDefault="000622B4" w:rsidP="00541D9B">
      <w:pPr>
        <w:rPr>
          <w:sz w:val="18"/>
          <w:szCs w:val="18"/>
          <w:lang w:val="en-US" w:bidi="th-TH"/>
        </w:rPr>
      </w:pPr>
      <w:r>
        <w:rPr>
          <w:noProof/>
          <w:sz w:val="18"/>
          <w:szCs w:val="18"/>
          <w:lang w:val="en-US" w:bidi="th-TH"/>
        </w:rPr>
        <w:drawing>
          <wp:inline distT="0" distB="0" distL="0" distR="0" wp14:anchorId="18844B88" wp14:editId="40996737">
            <wp:extent cx="3116275" cy="153230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cstate="print">
                      <a:extLst>
                        <a:ext uri="{28A0092B-C50C-407E-A947-70E740481C1C}">
                          <a14:useLocalDpi xmlns:a14="http://schemas.microsoft.com/office/drawing/2010/main" val="0"/>
                        </a:ext>
                      </a:extLst>
                    </a:blip>
                    <a:srcRect t="9112" r="-853"/>
                    <a:stretch/>
                  </pic:blipFill>
                  <pic:spPr bwMode="auto">
                    <a:xfrm>
                      <a:off x="0" y="0"/>
                      <a:ext cx="3116275" cy="1532306"/>
                    </a:xfrm>
                    <a:prstGeom prst="rect">
                      <a:avLst/>
                    </a:prstGeom>
                    <a:ln>
                      <a:noFill/>
                    </a:ln>
                    <a:extLst>
                      <a:ext uri="{53640926-AAD7-44D8-BBD7-CCE9431645EC}">
                        <a14:shadowObscured xmlns:a14="http://schemas.microsoft.com/office/drawing/2010/main"/>
                      </a:ext>
                    </a:extLst>
                  </pic:spPr>
                </pic:pic>
              </a:graphicData>
            </a:graphic>
          </wp:inline>
        </w:drawing>
      </w:r>
    </w:p>
    <w:p w14:paraId="7A5E4855" w14:textId="538F0CA9" w:rsidR="000622B4" w:rsidRDefault="000622B4" w:rsidP="000622B4">
      <w:pPr>
        <w:rPr>
          <w:sz w:val="18"/>
          <w:szCs w:val="18"/>
          <w:lang w:val="en-US" w:bidi="th-TH"/>
        </w:rPr>
      </w:pPr>
      <w:r w:rsidRPr="00541D9B">
        <w:rPr>
          <w:sz w:val="18"/>
          <w:szCs w:val="18"/>
          <w:lang w:val="en-US" w:bidi="th-TH"/>
        </w:rPr>
        <w:t xml:space="preserve">Figure </w:t>
      </w:r>
      <w:r>
        <w:rPr>
          <w:rFonts w:cs="Angsana New"/>
          <w:sz w:val="18"/>
          <w:szCs w:val="22"/>
          <w:lang w:val="en-US" w:bidi="th-TH"/>
        </w:rPr>
        <w:t>5</w:t>
      </w:r>
      <w:r w:rsidRPr="00541D9B">
        <w:rPr>
          <w:sz w:val="18"/>
          <w:szCs w:val="18"/>
          <w:lang w:val="en-US" w:bidi="th-TH"/>
        </w:rPr>
        <w:t>:</w:t>
      </w:r>
      <w:r>
        <w:rPr>
          <w:sz w:val="18"/>
          <w:szCs w:val="18"/>
          <w:lang w:val="en-US" w:bidi="th-TH"/>
        </w:rPr>
        <w:t xml:space="preserve"> </w:t>
      </w:r>
      <w:r w:rsidRPr="000622B4">
        <w:rPr>
          <w:sz w:val="18"/>
          <w:szCs w:val="18"/>
          <w:lang w:val="en-US" w:bidi="th-TH"/>
        </w:rPr>
        <w:t xml:space="preserve">Expanding key information on </w:t>
      </w:r>
      <w:r>
        <w:rPr>
          <w:sz w:val="18"/>
          <w:szCs w:val="18"/>
          <w:lang w:val="en-US" w:bidi="th-TH"/>
        </w:rPr>
        <w:t>H</w:t>
      </w:r>
      <w:r w:rsidRPr="000622B4">
        <w:rPr>
          <w:sz w:val="18"/>
          <w:szCs w:val="18"/>
          <w:lang w:val="en-US" w:bidi="th-TH"/>
        </w:rPr>
        <w:t>ealth</w:t>
      </w:r>
      <w:r>
        <w:rPr>
          <w:rFonts w:cs="Angsana New"/>
          <w:sz w:val="18"/>
          <w:szCs w:val="22"/>
          <w:lang w:val="en-US" w:bidi="th-TH"/>
        </w:rPr>
        <w:t>y</w:t>
      </w:r>
      <w:r w:rsidRPr="000622B4">
        <w:rPr>
          <w:sz w:val="18"/>
          <w:szCs w:val="18"/>
          <w:lang w:val="en-US" w:bidi="th-TH"/>
        </w:rPr>
        <w:t xml:space="preserve"> trends</w:t>
      </w:r>
    </w:p>
    <w:p w14:paraId="6F2F4C2D" w14:textId="6D18E4AA" w:rsidR="000622B4" w:rsidRDefault="000622B4" w:rsidP="000622B4">
      <w:pPr>
        <w:jc w:val="both"/>
        <w:rPr>
          <w:sz w:val="18"/>
          <w:szCs w:val="18"/>
          <w:lang w:val="en-US" w:bidi="th-TH"/>
        </w:rPr>
      </w:pPr>
    </w:p>
    <w:p w14:paraId="3D05FD0F" w14:textId="192E698F" w:rsidR="00541D9B" w:rsidRDefault="00541D9B" w:rsidP="00541D9B">
      <w:pPr>
        <w:rPr>
          <w:sz w:val="18"/>
          <w:szCs w:val="18"/>
          <w:lang w:val="en-US" w:bidi="th-TH"/>
        </w:rPr>
      </w:pPr>
      <w:r>
        <w:rPr>
          <w:noProof/>
          <w:sz w:val="18"/>
          <w:szCs w:val="18"/>
          <w:lang w:val="en-US" w:bidi="th-TH"/>
        </w:rPr>
        <w:drawing>
          <wp:inline distT="0" distB="0" distL="0" distR="0" wp14:anchorId="2494544A" wp14:editId="6D8C7827">
            <wp:extent cx="3302919" cy="419862"/>
            <wp:effectExtent l="19050" t="19050" r="12065" b="1841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7148" cy="435654"/>
                    </a:xfrm>
                    <a:prstGeom prst="rect">
                      <a:avLst/>
                    </a:prstGeom>
                    <a:ln>
                      <a:solidFill>
                        <a:schemeClr val="bg1">
                          <a:lumMod val="85000"/>
                        </a:schemeClr>
                      </a:solidFill>
                    </a:ln>
                  </pic:spPr>
                </pic:pic>
              </a:graphicData>
            </a:graphic>
          </wp:inline>
        </w:drawing>
      </w:r>
    </w:p>
    <w:p w14:paraId="43E69827" w14:textId="57259FCA" w:rsidR="00541D9B" w:rsidRDefault="00541D9B" w:rsidP="00541D9B">
      <w:pPr>
        <w:rPr>
          <w:rFonts w:cstheme="minorBidi"/>
          <w:sz w:val="18"/>
          <w:szCs w:val="18"/>
          <w:lang w:val="en-US" w:bidi="th-TH"/>
        </w:rPr>
      </w:pPr>
      <w:r>
        <w:rPr>
          <w:sz w:val="18"/>
          <w:szCs w:val="18"/>
          <w:lang w:val="en-US" w:bidi="th-TH"/>
        </w:rPr>
        <w:t xml:space="preserve">Figure </w:t>
      </w:r>
      <w:r w:rsidR="000622B4">
        <w:rPr>
          <w:sz w:val="18"/>
          <w:szCs w:val="18"/>
          <w:lang w:val="en-US" w:bidi="th-TH"/>
        </w:rPr>
        <w:t>6</w:t>
      </w:r>
      <w:r>
        <w:rPr>
          <w:sz w:val="18"/>
          <w:szCs w:val="18"/>
          <w:lang w:val="en-US" w:bidi="th-TH"/>
        </w:rPr>
        <w:t>:</w:t>
      </w:r>
      <w:r w:rsidR="00586EA4" w:rsidRPr="00586EA4">
        <w:t xml:space="preserve"> </w:t>
      </w:r>
      <w:r w:rsidR="00586EA4">
        <w:rPr>
          <w:sz w:val="18"/>
          <w:szCs w:val="18"/>
          <w:lang w:val="en-US" w:bidi="th-TH"/>
        </w:rPr>
        <w:t>R</w:t>
      </w:r>
      <w:r w:rsidR="00586EA4" w:rsidRPr="00586EA4">
        <w:rPr>
          <w:sz w:val="18"/>
          <w:szCs w:val="18"/>
          <w:lang w:val="en-US" w:bidi="th-TH"/>
        </w:rPr>
        <w:t>hetorical question pattern of visuali</w:t>
      </w:r>
      <w:r w:rsidR="000622B4">
        <w:rPr>
          <w:sz w:val="18"/>
          <w:szCs w:val="18"/>
          <w:lang w:val="en-US" w:bidi="th-TH"/>
        </w:rPr>
        <w:t>z</w:t>
      </w:r>
      <w:r w:rsidR="00586EA4" w:rsidRPr="00586EA4">
        <w:rPr>
          <w:sz w:val="18"/>
          <w:szCs w:val="18"/>
          <w:lang w:val="en-US" w:bidi="th-TH"/>
        </w:rPr>
        <w:t xml:space="preserve">ation </w:t>
      </w:r>
      <w:r w:rsidR="00AA7E26">
        <w:rPr>
          <w:sz w:val="18"/>
          <w:szCs w:val="18"/>
          <w:lang w:val="en-US" w:bidi="th-TH"/>
        </w:rPr>
        <w:t>3,4</w:t>
      </w:r>
    </w:p>
    <w:p w14:paraId="596FDA34" w14:textId="77777777" w:rsidR="00E933E8" w:rsidRPr="00E933E8" w:rsidRDefault="00E933E8" w:rsidP="00541D9B">
      <w:pPr>
        <w:rPr>
          <w:rFonts w:cstheme="minorBidi"/>
          <w:sz w:val="18"/>
          <w:szCs w:val="18"/>
          <w:lang w:val="en-US" w:bidi="th-TH"/>
        </w:rPr>
      </w:pPr>
    </w:p>
    <w:p w14:paraId="23D98245" w14:textId="044E2930" w:rsidR="00AA7E26" w:rsidRDefault="00AA7E26" w:rsidP="00AA7E26">
      <w:pPr>
        <w:pStyle w:val="Heading3"/>
        <w:jc w:val="left"/>
      </w:pPr>
      <w:r w:rsidRPr="008E29E8">
        <w:t>Description</w:t>
      </w:r>
    </w:p>
    <w:p w14:paraId="1F16E9D4" w14:textId="2A6755BF" w:rsidR="00E933E8" w:rsidRDefault="00D35D1D" w:rsidP="000F1CEC">
      <w:pPr>
        <w:ind w:firstLine="288"/>
        <w:jc w:val="both"/>
      </w:pPr>
      <w:r w:rsidRPr="00D35D1D">
        <w:t>Functional Drinks Trend and Natural Healthy Trend are the two forms of healthy beverages highlighted in Figure 5. The chart clearly shows the changing trends in healthy beverages, something that happened in 2018.</w:t>
      </w:r>
    </w:p>
    <w:p w14:paraId="595144F2" w14:textId="77777777" w:rsidR="00D35D1D" w:rsidRPr="001448FE" w:rsidRDefault="00D35D1D" w:rsidP="00E933E8">
      <w:pPr>
        <w:jc w:val="both"/>
      </w:pPr>
    </w:p>
    <w:p w14:paraId="4B716C08" w14:textId="3409D097" w:rsidR="00AA7E26" w:rsidRDefault="00AA7E26" w:rsidP="00AA7E26">
      <w:pPr>
        <w:pStyle w:val="Heading3"/>
        <w:jc w:val="left"/>
      </w:pPr>
      <w:r w:rsidRPr="008E29E8">
        <w:t>Justification</w:t>
      </w:r>
    </w:p>
    <w:p w14:paraId="027EE198" w14:textId="77777777" w:rsidR="00E5089E" w:rsidRPr="00E5089E" w:rsidRDefault="00E5089E" w:rsidP="00E5089E">
      <w:pPr>
        <w:jc w:val="both"/>
        <w:rPr>
          <w:rFonts w:cstheme="minorBidi"/>
          <w:szCs w:val="25"/>
          <w:lang w:val="en-US" w:bidi="th-TH"/>
        </w:rPr>
      </w:pPr>
    </w:p>
    <w:p w14:paraId="58A135F8" w14:textId="77777777" w:rsidR="00E5089E" w:rsidRPr="00E5089E" w:rsidRDefault="00E5089E" w:rsidP="000F1CEC">
      <w:pPr>
        <w:ind w:firstLine="288"/>
        <w:jc w:val="both"/>
        <w:rPr>
          <w:rFonts w:cstheme="minorBidi"/>
          <w:szCs w:val="25"/>
          <w:lang w:val="en-US" w:bidi="th-TH"/>
        </w:rPr>
      </w:pPr>
      <w:r w:rsidRPr="00E5089E">
        <w:rPr>
          <w:rFonts w:cstheme="minorBidi"/>
          <w:szCs w:val="25"/>
          <w:lang w:val="en-US" w:bidi="th-TH"/>
        </w:rPr>
        <w:t>This visualization It is a perfect fit for a chart like this one as it can clearly see the changing trends in 2018. Moreover, saw a markedly positive trend in healthy beverages.</w:t>
      </w:r>
    </w:p>
    <w:p w14:paraId="377066E5" w14:textId="12024527" w:rsidR="009422AF" w:rsidRDefault="00E5089E" w:rsidP="00E5089E">
      <w:pPr>
        <w:jc w:val="both"/>
        <w:rPr>
          <w:rFonts w:cstheme="minorBidi"/>
          <w:szCs w:val="25"/>
          <w:lang w:val="en-US" w:bidi="th-TH"/>
        </w:rPr>
      </w:pPr>
      <w:r w:rsidRPr="00E5089E">
        <w:rPr>
          <w:rFonts w:cstheme="minorBidi"/>
          <w:szCs w:val="25"/>
          <w:lang w:val="en-US" w:bidi="th-TH"/>
        </w:rPr>
        <w:t>It is essential to indicate that the trend direction is correct in the data. The reason for using three separate graphs is that they want to show the different trends in the health drink market clearly.</w:t>
      </w:r>
    </w:p>
    <w:p w14:paraId="7C23A5B5" w14:textId="77777777" w:rsidR="00E5089E" w:rsidRPr="009422AF" w:rsidRDefault="00E5089E" w:rsidP="00E5089E">
      <w:pPr>
        <w:jc w:val="both"/>
        <w:rPr>
          <w:rFonts w:cstheme="minorBidi"/>
          <w:szCs w:val="25"/>
          <w:cs/>
          <w:lang w:val="en-US" w:bidi="th-TH"/>
        </w:rPr>
      </w:pPr>
    </w:p>
    <w:p w14:paraId="24BCE9D2" w14:textId="6E282F96" w:rsidR="00AA7E26" w:rsidRDefault="00AA7E26" w:rsidP="00AA7E26">
      <w:pPr>
        <w:pStyle w:val="Heading3"/>
        <w:jc w:val="left"/>
      </w:pPr>
      <w:r w:rsidRPr="008E29E8">
        <w:t>Narrative Design Patterns</w:t>
      </w:r>
    </w:p>
    <w:p w14:paraId="16B689E0" w14:textId="2CA64725" w:rsidR="009422AF" w:rsidRDefault="00061501" w:rsidP="00061501">
      <w:pPr>
        <w:ind w:firstLine="288"/>
        <w:jc w:val="both"/>
      </w:pPr>
      <w:r>
        <w:t xml:space="preserve">This visualisation begins with a rhetorical question pattern [4] to make audiences argumentation and more engagement its stories in the visualisation as shown in Fig. 4 and Fig.5. Moreover, concretise pattern [4] has been added to the visualisation by showing. </w:t>
      </w:r>
      <w:r w:rsidR="007E6294" w:rsidRPr="007E6294">
        <w:t>This Narrative Design pattern effectively conveys crucial information regarding Thailand's sugar tax increase. There was a comparison of the model's metamorphosis since they saw the difference in the legislation. The manufacturer's latest product, which focuses on low-sugar and sugar-free beverages.</w:t>
      </w:r>
    </w:p>
    <w:p w14:paraId="371A239F" w14:textId="77777777" w:rsidR="007E6294" w:rsidRPr="009422AF" w:rsidRDefault="007E6294" w:rsidP="007E6294">
      <w:pPr>
        <w:ind w:firstLine="288"/>
        <w:jc w:val="both"/>
      </w:pPr>
    </w:p>
    <w:p w14:paraId="51A9FF2B" w14:textId="00D56C06" w:rsidR="00AA7E26" w:rsidRDefault="00AA7E26" w:rsidP="00AA7E26">
      <w:pPr>
        <w:pStyle w:val="Heading3"/>
        <w:jc w:val="left"/>
      </w:pPr>
      <w:r w:rsidRPr="008E29E8">
        <w:t>Strengths and Weaknesses</w:t>
      </w:r>
    </w:p>
    <w:p w14:paraId="169DCCD1" w14:textId="131CD29F" w:rsidR="007E6294" w:rsidRDefault="007E6294" w:rsidP="007E6294">
      <w:pPr>
        <w:ind w:firstLine="288"/>
        <w:jc w:val="both"/>
      </w:pPr>
      <w:r>
        <w:t>The advantages of this visualization It represents a trend that has clearly changed. consistent with the information obtained</w:t>
      </w:r>
      <w:r>
        <w:rPr>
          <w:rFonts w:cstheme="minorBidi" w:hint="cs"/>
          <w:szCs w:val="25"/>
          <w:cs/>
          <w:lang w:bidi="th-TH"/>
        </w:rPr>
        <w:t xml:space="preserve"> </w:t>
      </w:r>
      <w:proofErr w:type="gramStart"/>
      <w:r>
        <w:t>The</w:t>
      </w:r>
      <w:proofErr w:type="gramEnd"/>
      <w:r>
        <w:t xml:space="preserve"> disadvantage is that it can display less information and is not as detailed as other types of information.</w:t>
      </w:r>
    </w:p>
    <w:p w14:paraId="53C8DDAD" w14:textId="77777777" w:rsidR="007E6294" w:rsidRPr="007E6294" w:rsidRDefault="007E6294" w:rsidP="007E6294">
      <w:pPr>
        <w:ind w:firstLine="288"/>
        <w:jc w:val="both"/>
      </w:pPr>
    </w:p>
    <w:p w14:paraId="2127EA2C" w14:textId="77777777" w:rsidR="00AA7E26" w:rsidRPr="008E29E8" w:rsidRDefault="00AA7E26" w:rsidP="00AA7E26">
      <w:pPr>
        <w:pStyle w:val="Heading3"/>
        <w:jc w:val="left"/>
      </w:pPr>
      <w:r w:rsidRPr="008E29E8">
        <w:t>Improvements</w:t>
      </w:r>
    </w:p>
    <w:p w14:paraId="6C15F369" w14:textId="7688D235" w:rsidR="00AA7E26" w:rsidRPr="007E6294" w:rsidRDefault="007E6294" w:rsidP="007E6294">
      <w:pPr>
        <w:ind w:firstLine="288"/>
        <w:jc w:val="both"/>
        <w:rPr>
          <w:rFonts w:cs="Angsana New"/>
          <w:szCs w:val="25"/>
          <w:lang w:val="en-US" w:bidi="th-TH"/>
        </w:rPr>
      </w:pPr>
      <w:r w:rsidRPr="007E6294">
        <w:t xml:space="preserve">Find another way to display data or charts. Add interesting functions and </w:t>
      </w:r>
      <w:proofErr w:type="spellStart"/>
      <w:r w:rsidRPr="007E6294">
        <w:rPr>
          <w:sz w:val="14"/>
          <w:cs/>
          <w:lang w:bidi="th-TH"/>
        </w:rPr>
        <w:t>expand</w:t>
      </w:r>
      <w:proofErr w:type="spellEnd"/>
      <w:r w:rsidRPr="007E6294">
        <w:rPr>
          <w:sz w:val="14"/>
          <w:szCs w:val="14"/>
        </w:rPr>
        <w:t xml:space="preserve"> </w:t>
      </w:r>
      <w:r w:rsidRPr="007E6294">
        <w:t>information including other types of beverages that are affected by Thailand's sugar tax increase</w:t>
      </w:r>
      <w:r>
        <w:rPr>
          <w:rFonts w:cs="Angsana New"/>
          <w:szCs w:val="25"/>
          <w:lang w:val="en-US" w:bidi="th-TH"/>
        </w:rPr>
        <w:t>.</w:t>
      </w:r>
    </w:p>
    <w:p w14:paraId="68B6C75C" w14:textId="796F4C98" w:rsidR="00AA7E26" w:rsidRPr="001679AB" w:rsidRDefault="001679AB" w:rsidP="00AA7E26">
      <w:pPr>
        <w:pStyle w:val="Heading2"/>
        <w:rPr>
          <w:lang w:val="en-US" w:bidi="th-TH"/>
        </w:rPr>
      </w:pPr>
      <w:r w:rsidRPr="001679AB">
        <w:t xml:space="preserve">Show the impact of covid 19 </w:t>
      </w:r>
      <w:r w:rsidRPr="001679AB">
        <w:rPr>
          <w:cs/>
          <w:lang w:bidi="th-TH"/>
        </w:rPr>
        <w:t>on</w:t>
      </w:r>
      <w:r w:rsidRPr="001679AB">
        <w:t xml:space="preserve"> the soft drink </w:t>
      </w:r>
      <w:r w:rsidRPr="001679AB">
        <w:rPr>
          <w:cs/>
          <w:lang w:bidi="th-TH"/>
        </w:rPr>
        <w:t>market</w:t>
      </w:r>
      <w:r w:rsidR="00623D13">
        <w:rPr>
          <w:rFonts w:cs="Angsana New"/>
          <w:szCs w:val="25"/>
          <w:lang w:val="en-US" w:bidi="th-TH"/>
        </w:rPr>
        <w:t>.</w:t>
      </w:r>
      <w:r w:rsidRPr="001679AB">
        <w:rPr>
          <w:cs/>
          <w:lang w:bidi="th-TH"/>
        </w:rPr>
        <w:t xml:space="preserve"> visualization</w:t>
      </w:r>
      <w:r w:rsidR="00AA7E26" w:rsidRPr="001679AB">
        <w:t xml:space="preserve"> </w:t>
      </w:r>
      <w:r w:rsidR="00AA7E26" w:rsidRPr="001679AB">
        <w:rPr>
          <w:lang w:val="en-US" w:bidi="th-TH"/>
        </w:rPr>
        <w:t>5</w:t>
      </w:r>
    </w:p>
    <w:p w14:paraId="4C6B7666" w14:textId="3BCE0C35" w:rsidR="00AA7E26" w:rsidRDefault="00623D13" w:rsidP="00AA7E26">
      <w:pPr>
        <w:rPr>
          <w:lang w:val="en-US"/>
        </w:rPr>
      </w:pPr>
      <w:r>
        <w:rPr>
          <w:noProof/>
          <w:lang w:val="en-US"/>
        </w:rPr>
        <w:drawing>
          <wp:inline distT="0" distB="0" distL="0" distR="0" wp14:anchorId="6AB71D33" wp14:editId="484DC3D6">
            <wp:extent cx="3089223" cy="18980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4752" cy="1901470"/>
                    </a:xfrm>
                    <a:prstGeom prst="rect">
                      <a:avLst/>
                    </a:prstGeom>
                  </pic:spPr>
                </pic:pic>
              </a:graphicData>
            </a:graphic>
          </wp:inline>
        </w:drawing>
      </w:r>
    </w:p>
    <w:p w14:paraId="7F364692" w14:textId="40B6607D" w:rsidR="00623D13" w:rsidRPr="00623D13" w:rsidRDefault="00623D13" w:rsidP="00623D13">
      <w:pPr>
        <w:rPr>
          <w:rFonts w:cs="Angsana New"/>
          <w:sz w:val="18"/>
          <w:szCs w:val="22"/>
          <w:lang w:val="en-US" w:bidi="th-TH"/>
        </w:rPr>
      </w:pPr>
      <w:r>
        <w:rPr>
          <w:sz w:val="18"/>
          <w:szCs w:val="18"/>
          <w:lang w:val="en-US" w:bidi="th-TH"/>
        </w:rPr>
        <w:t>Figure 6:</w:t>
      </w:r>
      <w:r w:rsidRPr="00586EA4">
        <w:t xml:space="preserve"> </w:t>
      </w:r>
      <w:r w:rsidRPr="00623D13">
        <w:rPr>
          <w:sz w:val="18"/>
          <w:szCs w:val="18"/>
          <w:lang w:val="en-US" w:bidi="th-TH"/>
        </w:rPr>
        <w:t xml:space="preserve">Line </w:t>
      </w:r>
      <w:r>
        <w:rPr>
          <w:sz w:val="18"/>
          <w:szCs w:val="18"/>
          <w:lang w:val="en-US" w:bidi="th-TH"/>
        </w:rPr>
        <w:t>chart</w:t>
      </w:r>
      <w:r w:rsidRPr="00623D13">
        <w:rPr>
          <w:sz w:val="18"/>
          <w:szCs w:val="18"/>
          <w:lang w:val="en-US" w:bidi="th-TH"/>
        </w:rPr>
        <w:t xml:space="preserve"> showing the impact of COVID on soft drinks using market growth rates.</w:t>
      </w:r>
      <w:r>
        <w:rPr>
          <w:sz w:val="18"/>
          <w:szCs w:val="18"/>
          <w:lang w:val="en-US" w:bidi="th-TH"/>
        </w:rPr>
        <w:t xml:space="preserve"> </w:t>
      </w:r>
      <w:r w:rsidRPr="00586EA4">
        <w:rPr>
          <w:sz w:val="18"/>
          <w:szCs w:val="18"/>
          <w:lang w:val="en-US" w:bidi="th-TH"/>
        </w:rPr>
        <w:t>visuali</w:t>
      </w:r>
      <w:r>
        <w:rPr>
          <w:sz w:val="18"/>
          <w:szCs w:val="18"/>
          <w:lang w:val="en-US" w:bidi="th-TH"/>
        </w:rPr>
        <w:t>z</w:t>
      </w:r>
      <w:r w:rsidRPr="00586EA4">
        <w:rPr>
          <w:sz w:val="18"/>
          <w:szCs w:val="18"/>
          <w:lang w:val="en-US" w:bidi="th-TH"/>
        </w:rPr>
        <w:t xml:space="preserve">ation </w:t>
      </w:r>
      <w:r>
        <w:rPr>
          <w:rFonts w:cs="Angsana New"/>
          <w:sz w:val="18"/>
          <w:szCs w:val="22"/>
          <w:lang w:val="en-US" w:bidi="th-TH"/>
        </w:rPr>
        <w:t>5</w:t>
      </w:r>
    </w:p>
    <w:p w14:paraId="56DAAEF9" w14:textId="77777777" w:rsidR="001679AB" w:rsidRPr="00AA7E26" w:rsidRDefault="001679AB" w:rsidP="00AA7E26">
      <w:pPr>
        <w:rPr>
          <w:lang w:val="en-US"/>
        </w:rPr>
      </w:pPr>
    </w:p>
    <w:p w14:paraId="6ECD82B8" w14:textId="08279912" w:rsidR="001679AB" w:rsidRDefault="001679AB" w:rsidP="001679AB">
      <w:pPr>
        <w:pStyle w:val="Heading3"/>
        <w:jc w:val="left"/>
      </w:pPr>
      <w:r w:rsidRPr="008E29E8">
        <w:t>Description</w:t>
      </w:r>
    </w:p>
    <w:p w14:paraId="22F860CF" w14:textId="2D3E3677" w:rsidR="00061501" w:rsidRDefault="000F1CEC" w:rsidP="000F1CEC">
      <w:pPr>
        <w:ind w:firstLine="288"/>
        <w:jc w:val="both"/>
      </w:pPr>
      <w:r w:rsidRPr="000F1CEC">
        <w:t xml:space="preserve">The percentage of soft drink growth significantly decreased in 2020, as shown in the graph Figure 6. The market impact will be classified into two parts: </w:t>
      </w:r>
      <w:r w:rsidR="00DA64BB">
        <w:t>Retail and</w:t>
      </w:r>
      <w:r w:rsidRPr="000F1CEC">
        <w:t xml:space="preserve"> Food</w:t>
      </w:r>
      <w:r w:rsidR="00DA64BB">
        <w:t xml:space="preserve"> </w:t>
      </w:r>
      <w:r w:rsidRPr="000F1CEC">
        <w:t>service.</w:t>
      </w:r>
    </w:p>
    <w:p w14:paraId="36D7788A" w14:textId="77777777" w:rsidR="000F1CEC" w:rsidRPr="001448FE" w:rsidRDefault="000F1CEC" w:rsidP="000F1CEC">
      <w:pPr>
        <w:ind w:firstLine="288"/>
        <w:jc w:val="both"/>
      </w:pPr>
    </w:p>
    <w:p w14:paraId="177D8705" w14:textId="07AEC5DA" w:rsidR="004D0B6C" w:rsidRDefault="001679AB" w:rsidP="004D0B6C">
      <w:pPr>
        <w:pStyle w:val="Heading3"/>
        <w:jc w:val="left"/>
      </w:pPr>
      <w:r w:rsidRPr="008E29E8">
        <w:t>Justification</w:t>
      </w:r>
    </w:p>
    <w:p w14:paraId="56E8E87A" w14:textId="3C1D6AB2" w:rsidR="004D0B6C" w:rsidRDefault="004D0B6C" w:rsidP="004D0B6C">
      <w:pPr>
        <w:ind w:firstLine="288"/>
        <w:jc w:val="both"/>
        <w:rPr>
          <w:rFonts w:cstheme="minorBidi"/>
          <w:szCs w:val="25"/>
          <w:lang w:bidi="th-TH"/>
        </w:rPr>
      </w:pPr>
      <w:r w:rsidRPr="004D0B6C">
        <w:rPr>
          <w:rFonts w:cstheme="minorBidi"/>
          <w:szCs w:val="25"/>
          <w:lang w:bidi="th-TH"/>
        </w:rPr>
        <w:t xml:space="preserve">this illustration It clearly demonstrates COVID's impact. By comparing the growth rates of various types of beverages </w:t>
      </w:r>
      <w:r w:rsidRPr="004D0B6C">
        <w:rPr>
          <w:rFonts w:cstheme="minorBidi"/>
          <w:szCs w:val="25"/>
          <w:lang w:bidi="th-TH"/>
        </w:rPr>
        <w:lastRenderedPageBreak/>
        <w:t xml:space="preserve">from </w:t>
      </w:r>
      <w:r w:rsidRPr="004D0B6C">
        <w:rPr>
          <w:rFonts w:cs="Cordia New"/>
          <w:szCs w:val="25"/>
          <w:cs/>
          <w:lang w:bidi="th-TH"/>
        </w:rPr>
        <w:t xml:space="preserve">2019 </w:t>
      </w:r>
      <w:r w:rsidRPr="004D0B6C">
        <w:rPr>
          <w:rFonts w:cstheme="minorBidi"/>
          <w:szCs w:val="25"/>
          <w:lang w:bidi="th-TH"/>
        </w:rPr>
        <w:t xml:space="preserve">to </w:t>
      </w:r>
      <w:r w:rsidRPr="004D0B6C">
        <w:rPr>
          <w:rFonts w:cs="Cordia New"/>
          <w:szCs w:val="25"/>
          <w:cs/>
          <w:lang w:bidi="th-TH"/>
        </w:rPr>
        <w:t>2021</w:t>
      </w:r>
      <w:r w:rsidRPr="004D0B6C">
        <w:rPr>
          <w:rFonts w:cstheme="minorBidi"/>
          <w:szCs w:val="25"/>
          <w:lang w:bidi="th-TH"/>
        </w:rPr>
        <w:t>, the period of the outbreak, both before and after the first wave of coronavirus.</w:t>
      </w:r>
    </w:p>
    <w:p w14:paraId="4F931038" w14:textId="77777777" w:rsidR="004D0B6C" w:rsidRPr="004D0B6C" w:rsidRDefault="004D0B6C" w:rsidP="004D0B6C">
      <w:pPr>
        <w:ind w:firstLine="288"/>
        <w:jc w:val="both"/>
        <w:rPr>
          <w:rFonts w:cstheme="minorBidi"/>
          <w:szCs w:val="25"/>
          <w:cs/>
          <w:lang w:bidi="th-TH"/>
        </w:rPr>
      </w:pPr>
    </w:p>
    <w:p w14:paraId="494FE13C" w14:textId="57E22137" w:rsidR="001679AB" w:rsidRDefault="001679AB" w:rsidP="001679AB">
      <w:pPr>
        <w:pStyle w:val="Heading3"/>
        <w:jc w:val="left"/>
      </w:pPr>
      <w:r w:rsidRPr="008E29E8">
        <w:t>Narrative Design Patterns</w:t>
      </w:r>
    </w:p>
    <w:p w14:paraId="192111E6" w14:textId="4E445B5D" w:rsidR="004D0B6C" w:rsidRDefault="00243330" w:rsidP="00243330">
      <w:pPr>
        <w:jc w:val="both"/>
      </w:pPr>
      <w:r>
        <w:t>The differences that have occurred during the COVID-19 epidemic are well illustrated in these Narrative Design Patterns.</w:t>
      </w:r>
      <w:r>
        <w:rPr>
          <w:rFonts w:cstheme="minorBidi" w:hint="cs"/>
          <w:szCs w:val="25"/>
          <w:cs/>
          <w:lang w:bidi="th-TH"/>
        </w:rPr>
        <w:t xml:space="preserve"> </w:t>
      </w:r>
      <w:r>
        <w:t xml:space="preserve">To emphasize the disparities and shifting </w:t>
      </w:r>
      <w:proofErr w:type="spellStart"/>
      <w:r w:rsidRPr="00243330">
        <w:rPr>
          <w:sz w:val="14"/>
          <w:cs/>
          <w:lang w:bidi="th-TH"/>
        </w:rPr>
        <w:t>behaviour</w:t>
      </w:r>
      <w:proofErr w:type="spellEnd"/>
      <w:r w:rsidRPr="00243330">
        <w:rPr>
          <w:sz w:val="14"/>
          <w:szCs w:val="14"/>
        </w:rPr>
        <w:t xml:space="preserve"> </w:t>
      </w:r>
      <w:r>
        <w:t>of customers as a result of Thailand's anti-COVID legislation, there are two forms of beverage trade.</w:t>
      </w:r>
    </w:p>
    <w:p w14:paraId="2F71DB06" w14:textId="77777777" w:rsidR="00243330" w:rsidRPr="004D0B6C" w:rsidRDefault="00243330" w:rsidP="00243330">
      <w:pPr>
        <w:jc w:val="both"/>
      </w:pPr>
    </w:p>
    <w:p w14:paraId="31D6B786" w14:textId="2A0D7D37" w:rsidR="001679AB" w:rsidRDefault="001679AB" w:rsidP="001679AB">
      <w:pPr>
        <w:pStyle w:val="Heading3"/>
        <w:jc w:val="left"/>
      </w:pPr>
      <w:r w:rsidRPr="008E29E8">
        <w:t>Strengths and Weaknesses</w:t>
      </w:r>
    </w:p>
    <w:p w14:paraId="0EA7BA95" w14:textId="77777777" w:rsidR="00243330" w:rsidRDefault="00243330" w:rsidP="00243330">
      <w:pPr>
        <w:ind w:firstLine="288"/>
        <w:jc w:val="both"/>
      </w:pPr>
      <w:r>
        <w:t>The chart's advantages reveal a stark contrast between Covid's impact on the soft drink market before and after.</w:t>
      </w:r>
    </w:p>
    <w:p w14:paraId="62897521" w14:textId="53ADAA03" w:rsidR="00243330" w:rsidRPr="00243330" w:rsidRDefault="00243330" w:rsidP="00243330">
      <w:pPr>
        <w:jc w:val="both"/>
      </w:pPr>
      <w:r>
        <w:t>The negative is that you won't be able to concentrate on other years. It's unique to the year the coronavirus was discovered.</w:t>
      </w:r>
    </w:p>
    <w:p w14:paraId="2B52FF00" w14:textId="77777777" w:rsidR="00243330" w:rsidRPr="00243330" w:rsidRDefault="00243330" w:rsidP="00243330"/>
    <w:p w14:paraId="1C098016" w14:textId="77777777" w:rsidR="001679AB" w:rsidRPr="008E29E8" w:rsidRDefault="001679AB" w:rsidP="001679AB">
      <w:pPr>
        <w:pStyle w:val="Heading3"/>
        <w:jc w:val="left"/>
      </w:pPr>
      <w:r w:rsidRPr="008E29E8">
        <w:t>Improvements</w:t>
      </w:r>
    </w:p>
    <w:p w14:paraId="1211AEF3" w14:textId="22B25EE4" w:rsidR="00AA7E26" w:rsidRDefault="00243330" w:rsidP="00243330">
      <w:pPr>
        <w:ind w:firstLine="288"/>
        <w:jc w:val="both"/>
        <w:rPr>
          <w:rFonts w:cs="Angsana New"/>
          <w:szCs w:val="25"/>
          <w:lang w:val="en-US" w:bidi="th-TH"/>
        </w:rPr>
      </w:pPr>
      <w:r w:rsidRPr="00243330">
        <w:t xml:space="preserve">Extend the year to display the beverage category. Increase the function of accessing more information and </w:t>
      </w:r>
      <w:proofErr w:type="spellStart"/>
      <w:r w:rsidRPr="00243330">
        <w:rPr>
          <w:sz w:val="14"/>
          <w:cs/>
          <w:lang w:bidi="th-TH"/>
        </w:rPr>
        <w:t>additional</w:t>
      </w:r>
      <w:proofErr w:type="spellEnd"/>
      <w:r w:rsidRPr="00243330">
        <w:rPr>
          <w:sz w:val="14"/>
          <w:szCs w:val="14"/>
        </w:rPr>
        <w:t xml:space="preserve"> </w:t>
      </w:r>
      <w:r w:rsidRPr="00243330">
        <w:t>details to solve the covid problem</w:t>
      </w:r>
      <w:r w:rsidR="000F1CEC">
        <w:rPr>
          <w:rFonts w:cs="Angsana New"/>
          <w:szCs w:val="25"/>
          <w:lang w:val="en-US" w:bidi="th-TH"/>
        </w:rPr>
        <w:t>.</w:t>
      </w:r>
    </w:p>
    <w:p w14:paraId="2FEF0CEC" w14:textId="77777777" w:rsidR="000F1CEC" w:rsidRPr="000F1CEC" w:rsidRDefault="000F1CEC" w:rsidP="00243330">
      <w:pPr>
        <w:ind w:firstLine="288"/>
        <w:jc w:val="both"/>
        <w:rPr>
          <w:rFonts w:cs="Angsana New"/>
          <w:szCs w:val="25"/>
          <w:lang w:val="en-US" w:bidi="th-TH"/>
        </w:rPr>
      </w:pPr>
    </w:p>
    <w:p w14:paraId="78913CE1" w14:textId="7784D2EA" w:rsidR="00623D13" w:rsidRPr="001679AB" w:rsidRDefault="00325280" w:rsidP="00623D13">
      <w:pPr>
        <w:pStyle w:val="Heading2"/>
        <w:rPr>
          <w:lang w:val="en-US" w:bidi="th-TH"/>
        </w:rPr>
      </w:pPr>
      <w:r w:rsidRPr="00325280">
        <w:t>Expanded key data of the soft drink category with a positive growth rate</w:t>
      </w:r>
      <w:r w:rsidR="00623D13">
        <w:rPr>
          <w:rFonts w:cs="Angsana New"/>
          <w:szCs w:val="25"/>
          <w:lang w:val="en-US" w:bidi="th-TH"/>
        </w:rPr>
        <w:t>.</w:t>
      </w:r>
      <w:r w:rsidR="00623D13" w:rsidRPr="001679AB">
        <w:rPr>
          <w:cs/>
          <w:lang w:bidi="th-TH"/>
        </w:rPr>
        <w:t xml:space="preserve"> visualization</w:t>
      </w:r>
      <w:r w:rsidR="00623D13" w:rsidRPr="001679AB">
        <w:t xml:space="preserve"> </w:t>
      </w:r>
      <w:r>
        <w:rPr>
          <w:rFonts w:cs="Angsana New"/>
          <w:szCs w:val="25"/>
          <w:lang w:val="en-US" w:bidi="th-TH"/>
        </w:rPr>
        <w:t>6</w:t>
      </w:r>
    </w:p>
    <w:p w14:paraId="43ED832F" w14:textId="7F83AA21" w:rsidR="00640AB6" w:rsidRDefault="00640AB6" w:rsidP="00541D9B">
      <w:pPr>
        <w:rPr>
          <w:sz w:val="18"/>
          <w:szCs w:val="18"/>
          <w:lang w:val="en-US" w:bidi="th-TH"/>
        </w:rPr>
      </w:pPr>
    </w:p>
    <w:p w14:paraId="7922AB0C" w14:textId="1464F2F4" w:rsidR="00325280" w:rsidRDefault="00325280" w:rsidP="00541D9B">
      <w:pPr>
        <w:rPr>
          <w:sz w:val="18"/>
          <w:szCs w:val="18"/>
          <w:lang w:val="en-US" w:bidi="th-TH"/>
        </w:rPr>
      </w:pPr>
      <w:r>
        <w:rPr>
          <w:noProof/>
          <w:sz w:val="18"/>
          <w:szCs w:val="18"/>
          <w:lang w:val="en-US" w:bidi="th-TH"/>
        </w:rPr>
        <w:drawing>
          <wp:inline distT="0" distB="0" distL="0" distR="0" wp14:anchorId="7CEF1994" wp14:editId="5D2FF8B4">
            <wp:extent cx="3089910" cy="945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945515"/>
                    </a:xfrm>
                    <a:prstGeom prst="rect">
                      <a:avLst/>
                    </a:prstGeom>
                  </pic:spPr>
                </pic:pic>
              </a:graphicData>
            </a:graphic>
          </wp:inline>
        </w:drawing>
      </w:r>
    </w:p>
    <w:p w14:paraId="7FC931C9" w14:textId="63F404DE" w:rsidR="00325280" w:rsidRDefault="00325280" w:rsidP="00541D9B">
      <w:pPr>
        <w:rPr>
          <w:lang w:bidi="th-TH"/>
        </w:rPr>
      </w:pPr>
      <w:r>
        <w:rPr>
          <w:sz w:val="18"/>
          <w:szCs w:val="18"/>
          <w:lang w:val="en-US" w:bidi="th-TH"/>
        </w:rPr>
        <w:t xml:space="preserve">Figure 7: </w:t>
      </w:r>
      <w:r w:rsidRPr="00325280">
        <w:rPr>
          <w:sz w:val="18"/>
          <w:szCs w:val="18"/>
          <w:lang w:val="en-US" w:bidi="th-TH"/>
        </w:rPr>
        <w:t>Bar chart for soft drink type focusing on growth rate.</w:t>
      </w:r>
      <w:r w:rsidRPr="00325280">
        <w:rPr>
          <w:lang w:bidi="th-TH"/>
        </w:rPr>
        <w:t xml:space="preserve"> </w:t>
      </w:r>
    </w:p>
    <w:p w14:paraId="236BAE23" w14:textId="7504475C" w:rsidR="00325280" w:rsidRDefault="00325280" w:rsidP="00541D9B">
      <w:pPr>
        <w:rPr>
          <w:lang w:bidi="th-TH"/>
        </w:rPr>
      </w:pPr>
    </w:p>
    <w:p w14:paraId="40327BAC" w14:textId="23975734" w:rsidR="00325280" w:rsidRDefault="00325280" w:rsidP="00541D9B">
      <w:pPr>
        <w:rPr>
          <w:sz w:val="18"/>
          <w:szCs w:val="18"/>
          <w:lang w:val="en-US" w:bidi="th-TH"/>
        </w:rPr>
      </w:pPr>
      <w:r>
        <w:rPr>
          <w:noProof/>
          <w:sz w:val="18"/>
          <w:szCs w:val="18"/>
          <w:lang w:val="en-US" w:bidi="th-TH"/>
        </w:rPr>
        <w:drawing>
          <wp:inline distT="0" distB="0" distL="0" distR="0" wp14:anchorId="2D6FA323" wp14:editId="09FAFE30">
            <wp:extent cx="3089910" cy="431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431800"/>
                    </a:xfrm>
                    <a:prstGeom prst="rect">
                      <a:avLst/>
                    </a:prstGeom>
                  </pic:spPr>
                </pic:pic>
              </a:graphicData>
            </a:graphic>
          </wp:inline>
        </w:drawing>
      </w:r>
    </w:p>
    <w:p w14:paraId="2091A3BA" w14:textId="72E03A69" w:rsidR="00325280" w:rsidRDefault="00325280" w:rsidP="00325280">
      <w:pPr>
        <w:rPr>
          <w:sz w:val="18"/>
          <w:szCs w:val="18"/>
          <w:lang w:val="en-US" w:bidi="th-TH"/>
        </w:rPr>
      </w:pPr>
      <w:r>
        <w:rPr>
          <w:sz w:val="18"/>
          <w:szCs w:val="18"/>
          <w:lang w:val="en-US" w:bidi="th-TH"/>
        </w:rPr>
        <w:t>Figure 8:</w:t>
      </w:r>
      <w:r w:rsidRPr="00586EA4">
        <w:t xml:space="preserve"> </w:t>
      </w:r>
      <w:r>
        <w:rPr>
          <w:sz w:val="18"/>
          <w:szCs w:val="18"/>
          <w:lang w:val="en-US" w:bidi="th-TH"/>
        </w:rPr>
        <w:t>R</w:t>
      </w:r>
      <w:r w:rsidRPr="00586EA4">
        <w:rPr>
          <w:sz w:val="18"/>
          <w:szCs w:val="18"/>
          <w:lang w:val="en-US" w:bidi="th-TH"/>
        </w:rPr>
        <w:t>hetorical question pattern of visuali</w:t>
      </w:r>
      <w:r>
        <w:rPr>
          <w:sz w:val="18"/>
          <w:szCs w:val="18"/>
          <w:lang w:val="en-US" w:bidi="th-TH"/>
        </w:rPr>
        <w:t>z</w:t>
      </w:r>
      <w:r w:rsidRPr="00586EA4">
        <w:rPr>
          <w:sz w:val="18"/>
          <w:szCs w:val="18"/>
          <w:lang w:val="en-US" w:bidi="th-TH"/>
        </w:rPr>
        <w:t xml:space="preserve">ation </w:t>
      </w:r>
      <w:r>
        <w:rPr>
          <w:sz w:val="18"/>
          <w:szCs w:val="18"/>
          <w:lang w:val="en-US" w:bidi="th-TH"/>
        </w:rPr>
        <w:t>5,6</w:t>
      </w:r>
    </w:p>
    <w:p w14:paraId="0BEA3866" w14:textId="77777777" w:rsidR="00325280" w:rsidRPr="00080E82" w:rsidRDefault="00325280" w:rsidP="00080E82">
      <w:pPr>
        <w:jc w:val="both"/>
        <w:rPr>
          <w:rFonts w:cstheme="minorBidi"/>
          <w:sz w:val="18"/>
          <w:szCs w:val="18"/>
          <w:lang w:val="en-US" w:bidi="th-TH"/>
        </w:rPr>
      </w:pPr>
    </w:p>
    <w:p w14:paraId="3A8BCDBE" w14:textId="5A10D40C" w:rsidR="00325280" w:rsidRDefault="00325280" w:rsidP="00325280">
      <w:pPr>
        <w:pStyle w:val="Heading3"/>
        <w:jc w:val="left"/>
      </w:pPr>
      <w:r w:rsidRPr="008E29E8">
        <w:t>Description</w:t>
      </w:r>
    </w:p>
    <w:p w14:paraId="27E4B98D" w14:textId="71280264" w:rsidR="00080E82" w:rsidRPr="00080E82" w:rsidRDefault="00FF3D2A" w:rsidP="00080E82">
      <w:pPr>
        <w:ind w:firstLine="288"/>
        <w:jc w:val="both"/>
      </w:pPr>
      <w:r w:rsidRPr="00FF3D2A">
        <w:t>The bar chart shows the 2019/2020 growth rate of the soft-drink type and expands to the positive-growth soft-drink type.</w:t>
      </w:r>
    </w:p>
    <w:p w14:paraId="30388B66" w14:textId="0CAF1790" w:rsidR="00325280" w:rsidRDefault="00325280" w:rsidP="00325280">
      <w:pPr>
        <w:pStyle w:val="Heading3"/>
        <w:jc w:val="left"/>
      </w:pPr>
      <w:r w:rsidRPr="008E29E8">
        <w:t>Justification</w:t>
      </w:r>
    </w:p>
    <w:p w14:paraId="3427B1C6" w14:textId="74EE0937" w:rsidR="00080E82" w:rsidRDefault="005B505E" w:rsidP="005B505E">
      <w:pPr>
        <w:ind w:firstLine="288"/>
        <w:jc w:val="both"/>
      </w:pPr>
      <w:r>
        <w:t xml:space="preserve">this visualization It represents </w:t>
      </w:r>
      <w:proofErr w:type="spellStart"/>
      <w:r w:rsidRPr="005B505E">
        <w:rPr>
          <w:sz w:val="16"/>
          <w:cs/>
          <w:lang w:bidi="th-TH"/>
        </w:rPr>
        <w:t>behaviours</w:t>
      </w:r>
      <w:proofErr w:type="spellEnd"/>
      <w:r w:rsidRPr="005B505E">
        <w:rPr>
          <w:sz w:val="16"/>
          <w:szCs w:val="16"/>
        </w:rPr>
        <w:t xml:space="preserve"> </w:t>
      </w:r>
      <w:r>
        <w:t xml:space="preserve">that have changed during the coronavirus and the trends that have taken place are important enough to sustain the growth rate of those beverages despite the coronavirus crisis. The division into 3 charts </w:t>
      </w:r>
      <w:proofErr w:type="gramStart"/>
      <w:r>
        <w:t>To</w:t>
      </w:r>
      <w:proofErr w:type="gramEnd"/>
      <w:r>
        <w:t xml:space="preserve"> illustrate the data more clearly by expanding to each type of data that is important to the soft drink market during the Covid It shows the </w:t>
      </w:r>
      <w:proofErr w:type="spellStart"/>
      <w:r>
        <w:t>behavio</w:t>
      </w:r>
      <w:proofErr w:type="spellEnd"/>
      <w:r>
        <w:rPr>
          <w:rFonts w:cs="Angsana New"/>
          <w:szCs w:val="25"/>
          <w:lang w:val="en-US" w:bidi="th-TH"/>
        </w:rPr>
        <w:t>u</w:t>
      </w:r>
      <w:r>
        <w:t>r and trends of the market as well.</w:t>
      </w:r>
    </w:p>
    <w:p w14:paraId="6AE4886D" w14:textId="77777777" w:rsidR="00665D09" w:rsidRPr="00080E82" w:rsidRDefault="00665D09" w:rsidP="005B505E">
      <w:pPr>
        <w:ind w:firstLine="288"/>
        <w:jc w:val="both"/>
      </w:pPr>
    </w:p>
    <w:p w14:paraId="10E62A25" w14:textId="334C12B9" w:rsidR="00325280" w:rsidRDefault="00325280" w:rsidP="00325280">
      <w:pPr>
        <w:pStyle w:val="Heading3"/>
        <w:jc w:val="left"/>
      </w:pPr>
      <w:r w:rsidRPr="008E29E8">
        <w:t>Narrative Design Patterns</w:t>
      </w:r>
    </w:p>
    <w:p w14:paraId="08771F86" w14:textId="0F462009" w:rsidR="00080E82" w:rsidRDefault="00080E82" w:rsidP="00080E82">
      <w:pPr>
        <w:ind w:firstLine="288"/>
        <w:jc w:val="both"/>
        <w:rPr>
          <w:rFonts w:cs="Angsana New"/>
          <w:szCs w:val="25"/>
          <w:lang w:val="en-US" w:bidi="th-TH"/>
        </w:rPr>
      </w:pPr>
      <w:r w:rsidRPr="00080E82">
        <w:rPr>
          <w:rFonts w:cs="Angsana New"/>
          <w:szCs w:val="25"/>
          <w:lang w:val="en-US" w:bidi="th-TH"/>
        </w:rPr>
        <w:t xml:space="preserve">From Figure </w:t>
      </w:r>
      <w:r w:rsidRPr="00080E82">
        <w:rPr>
          <w:rFonts w:cs="Angsana New"/>
          <w:szCs w:val="25"/>
          <w:cs/>
          <w:lang w:val="en-US" w:bidi="th-TH"/>
        </w:rPr>
        <w:t>8</w:t>
      </w:r>
      <w:r w:rsidRPr="00080E82">
        <w:rPr>
          <w:rFonts w:cs="Angsana New"/>
          <w:szCs w:val="25"/>
          <w:lang w:val="en-US" w:bidi="th-TH"/>
        </w:rPr>
        <w:t>, the question is used to start the issue to be discussed</w:t>
      </w:r>
      <w:r>
        <w:rPr>
          <w:rFonts w:cs="Angsana New"/>
          <w:szCs w:val="25"/>
          <w:lang w:val="en-US" w:bidi="th-TH"/>
        </w:rPr>
        <w:t xml:space="preserve"> [4]</w:t>
      </w:r>
      <w:r w:rsidRPr="00080E82">
        <w:rPr>
          <w:rFonts w:cs="Angsana New"/>
          <w:szCs w:val="25"/>
          <w:lang w:val="en-US" w:bidi="th-TH"/>
        </w:rPr>
        <w:t>. And invites the reader to be more interested in the topic, causing empathy or a feeling of curiosity about what is going on.</w:t>
      </w:r>
      <w:r w:rsidR="005B505E" w:rsidRPr="005B505E">
        <w:t xml:space="preserve"> </w:t>
      </w:r>
      <w:r w:rsidR="005B505E" w:rsidRPr="005B505E">
        <w:rPr>
          <w:rFonts w:cs="Angsana New"/>
          <w:szCs w:val="25"/>
          <w:lang w:val="en-US" w:bidi="th-TH"/>
        </w:rPr>
        <w:t>this Narrative Design Patterns.</w:t>
      </w:r>
      <w:r w:rsidR="005B505E">
        <w:rPr>
          <w:rFonts w:cs="Angsana New" w:hint="cs"/>
          <w:szCs w:val="25"/>
          <w:cs/>
          <w:lang w:val="en-US" w:bidi="th-TH"/>
        </w:rPr>
        <w:t xml:space="preserve"> </w:t>
      </w:r>
      <w:r w:rsidR="005B505E" w:rsidRPr="005B505E">
        <w:rPr>
          <w:rFonts w:cs="Angsana New"/>
          <w:szCs w:val="25"/>
          <w:lang w:val="en-US" w:bidi="th-TH"/>
        </w:rPr>
        <w:t>Figure 7 shows a specific beverage growth rate data that shows positive growth during COVID. To clearly differentiate what happened during the epidemic. How do consumers behave?</w:t>
      </w:r>
    </w:p>
    <w:p w14:paraId="6A6E1411" w14:textId="77777777" w:rsidR="00665D09" w:rsidRPr="00080E82" w:rsidRDefault="00665D09" w:rsidP="00080E82">
      <w:pPr>
        <w:ind w:firstLine="288"/>
        <w:jc w:val="both"/>
        <w:rPr>
          <w:rFonts w:cs="Angsana New"/>
          <w:szCs w:val="25"/>
          <w:cs/>
          <w:lang w:val="en-US" w:bidi="th-TH"/>
        </w:rPr>
      </w:pPr>
    </w:p>
    <w:p w14:paraId="2EC31D47" w14:textId="7EC95E85" w:rsidR="00325280" w:rsidRDefault="00325280" w:rsidP="00325280">
      <w:pPr>
        <w:pStyle w:val="Heading3"/>
        <w:jc w:val="left"/>
        <w:rPr>
          <w:lang w:val="en-US"/>
        </w:rPr>
      </w:pPr>
      <w:r w:rsidRPr="008E29E8">
        <w:t>Strengths and Weaknesses</w:t>
      </w:r>
    </w:p>
    <w:p w14:paraId="6E8EBC1D" w14:textId="512ABDA5" w:rsidR="00665D09" w:rsidRPr="00665D09" w:rsidRDefault="00665D09" w:rsidP="00665D09">
      <w:pPr>
        <w:ind w:firstLine="288"/>
        <w:jc w:val="left"/>
        <w:rPr>
          <w:lang w:val="en-US"/>
        </w:rPr>
      </w:pPr>
      <w:r w:rsidRPr="00665D09">
        <w:rPr>
          <w:lang w:val="en-US"/>
        </w:rPr>
        <w:t xml:space="preserve">The benefit of exhibiting a chart like this is that the differences between beverage types and people's </w:t>
      </w:r>
      <w:proofErr w:type="spellStart"/>
      <w:r w:rsidRPr="00665D09">
        <w:rPr>
          <w:lang w:val="en-US"/>
        </w:rPr>
        <w:t>behavio</w:t>
      </w:r>
      <w:r>
        <w:rPr>
          <w:lang w:val="en-US"/>
        </w:rPr>
        <w:t>u</w:t>
      </w:r>
      <w:r w:rsidRPr="00665D09">
        <w:rPr>
          <w:lang w:val="en-US"/>
        </w:rPr>
        <w:t>r</w:t>
      </w:r>
      <w:proofErr w:type="spellEnd"/>
      <w:r w:rsidRPr="00665D09">
        <w:rPr>
          <w:lang w:val="en-US"/>
        </w:rPr>
        <w:t xml:space="preserve"> during the COVID-19 pandemic can be readily seen.</w:t>
      </w:r>
    </w:p>
    <w:p w14:paraId="0E3C0529" w14:textId="0AA5D8BA" w:rsidR="00665D09" w:rsidRDefault="00665D09" w:rsidP="00665D09">
      <w:pPr>
        <w:jc w:val="left"/>
        <w:rPr>
          <w:lang w:val="en-US"/>
        </w:rPr>
      </w:pPr>
      <w:r w:rsidRPr="00665D09">
        <w:rPr>
          <w:lang w:val="en-US"/>
        </w:rPr>
        <w:t xml:space="preserve">The downside is that people's </w:t>
      </w:r>
      <w:proofErr w:type="spellStart"/>
      <w:r w:rsidRPr="00665D09">
        <w:rPr>
          <w:lang w:val="en-US"/>
        </w:rPr>
        <w:t>behavio</w:t>
      </w:r>
      <w:r>
        <w:rPr>
          <w:lang w:val="en-US"/>
        </w:rPr>
        <w:t>u</w:t>
      </w:r>
      <w:r w:rsidRPr="00665D09">
        <w:rPr>
          <w:lang w:val="en-US"/>
        </w:rPr>
        <w:t>r</w:t>
      </w:r>
      <w:proofErr w:type="spellEnd"/>
      <w:r w:rsidRPr="00665D09">
        <w:rPr>
          <w:lang w:val="en-US"/>
        </w:rPr>
        <w:t xml:space="preserve"> prior to the Covid-19 period is not visible.</w:t>
      </w:r>
    </w:p>
    <w:p w14:paraId="7C98EEFD" w14:textId="77777777" w:rsidR="00665D09" w:rsidRPr="00665D09" w:rsidRDefault="00665D09" w:rsidP="00665D09">
      <w:pPr>
        <w:jc w:val="left"/>
        <w:rPr>
          <w:lang w:val="en-US"/>
        </w:rPr>
      </w:pPr>
    </w:p>
    <w:p w14:paraId="514FDAA4" w14:textId="77777777" w:rsidR="00325280" w:rsidRPr="008E29E8" w:rsidRDefault="00325280" w:rsidP="00325280">
      <w:pPr>
        <w:pStyle w:val="Heading3"/>
        <w:jc w:val="left"/>
      </w:pPr>
      <w:r w:rsidRPr="008E29E8">
        <w:t>Improvements</w:t>
      </w:r>
    </w:p>
    <w:p w14:paraId="6308F636" w14:textId="17781AEF" w:rsidR="00623D13" w:rsidRPr="000F1CEC" w:rsidRDefault="00665D09" w:rsidP="000F1CEC">
      <w:pPr>
        <w:ind w:firstLine="288"/>
        <w:jc w:val="left"/>
        <w:rPr>
          <w:rFonts w:cstheme="minorBidi" w:hint="cs"/>
          <w:szCs w:val="25"/>
          <w:lang w:val="en-US" w:bidi="th-TH"/>
        </w:rPr>
      </w:pPr>
      <w:r w:rsidRPr="00665D09">
        <w:rPr>
          <w:rFonts w:cstheme="minorBidi"/>
          <w:szCs w:val="25"/>
          <w:lang w:bidi="th-TH"/>
        </w:rPr>
        <w:t xml:space="preserve">Show more years to see consumer </w:t>
      </w:r>
      <w:proofErr w:type="spellStart"/>
      <w:r w:rsidRPr="00665D09">
        <w:rPr>
          <w:rFonts w:cstheme="minorBidi"/>
          <w:szCs w:val="25"/>
          <w:lang w:bidi="th-TH"/>
        </w:rPr>
        <w:t>behavio</w:t>
      </w:r>
      <w:proofErr w:type="spellEnd"/>
      <w:r>
        <w:rPr>
          <w:rFonts w:cstheme="minorBidi"/>
          <w:szCs w:val="25"/>
          <w:lang w:val="en-US" w:bidi="th-TH"/>
        </w:rPr>
        <w:t>u</w:t>
      </w:r>
      <w:r w:rsidRPr="00665D09">
        <w:rPr>
          <w:rFonts w:cstheme="minorBidi"/>
          <w:szCs w:val="25"/>
          <w:lang w:bidi="th-TH"/>
        </w:rPr>
        <w:t>r in the pre-Covid period. and add a function to browse information</w:t>
      </w:r>
      <w:r>
        <w:rPr>
          <w:rFonts w:cstheme="minorBidi"/>
          <w:szCs w:val="25"/>
          <w:lang w:val="en-US" w:bidi="th-TH"/>
        </w:rPr>
        <w:t>.</w:t>
      </w:r>
    </w:p>
    <w:p w14:paraId="2426380A" w14:textId="6FD95B3B" w:rsidR="000F1CEC" w:rsidRPr="000F1CEC" w:rsidRDefault="00A67F70" w:rsidP="000F1CEC">
      <w:pPr>
        <w:pStyle w:val="Heading1"/>
        <w:jc w:val="left"/>
      </w:pPr>
      <w:r w:rsidRPr="008E29E8">
        <w:t>Conclusion</w:t>
      </w:r>
    </w:p>
    <w:p w14:paraId="516F67A8" w14:textId="77777777" w:rsidR="000F1CEC" w:rsidRDefault="00D85CA5" w:rsidP="000F1CEC">
      <w:pPr>
        <w:pStyle w:val="Heading1"/>
        <w:numPr>
          <w:ilvl w:val="0"/>
          <w:numId w:val="0"/>
        </w:numPr>
        <w:jc w:val="left"/>
        <w:rPr>
          <w:rFonts w:cs="Cordia New"/>
          <w:smallCaps w:val="0"/>
          <w:noProof w:val="0"/>
          <w:szCs w:val="25"/>
          <w:lang w:val="en-US" w:bidi="th-TH"/>
        </w:rPr>
      </w:pPr>
      <w:r>
        <w:rPr>
          <w:rFonts w:cs="Cordia New"/>
          <w:smallCaps w:val="0"/>
          <w:noProof w:val="0"/>
          <w:szCs w:val="25"/>
          <w:cs/>
          <w:lang w:val="en-US" w:bidi="th-TH"/>
        </w:rPr>
        <w:tab/>
      </w:r>
      <w:r w:rsidRPr="00D85CA5">
        <w:rPr>
          <w:rFonts w:cs="Cordia New"/>
          <w:smallCaps w:val="0"/>
          <w:noProof w:val="0"/>
          <w:szCs w:val="25"/>
          <w:lang w:val="en-US" w:bidi="th-TH"/>
        </w:rPr>
        <w:t>This data narrative focuses on soft drinks and includes information, significance, and trends in the beverage business because soft drinks have the highest turnover of any beverage category.</w:t>
      </w:r>
      <w:r w:rsidRPr="00D85CA5">
        <w:rPr>
          <w:rFonts w:cs="Cordia New" w:hint="cs"/>
          <w:smallCaps w:val="0"/>
          <w:noProof w:val="0"/>
          <w:szCs w:val="25"/>
          <w:cs/>
          <w:lang w:val="en-US" w:bidi="th-TH"/>
        </w:rPr>
        <w:t xml:space="preserve"> </w:t>
      </w:r>
      <w:r w:rsidRPr="00D85CA5">
        <w:rPr>
          <w:rFonts w:cs="Cordia New"/>
          <w:smallCaps w:val="0"/>
          <w:noProof w:val="0"/>
          <w:szCs w:val="25"/>
          <w:lang w:val="en-US" w:bidi="th-TH"/>
        </w:rPr>
        <w:t>Because of this visualization, describe the rationale for focusing on the soft drink market and the market's importance, impact, and incidents. Knowing the trends and their impact on the market is critical in assisting producers in properly adjusting or launching new items and reaching consumers.</w:t>
      </w:r>
    </w:p>
    <w:p w14:paraId="3633C66D" w14:textId="421C4427" w:rsidR="009303D9" w:rsidRPr="000F1CEC" w:rsidRDefault="009303D9" w:rsidP="000F1CEC">
      <w:pPr>
        <w:pStyle w:val="Heading1"/>
        <w:numPr>
          <w:ilvl w:val="0"/>
          <w:numId w:val="0"/>
        </w:numPr>
        <w:jc w:val="left"/>
        <w:rPr>
          <w:rFonts w:cs="Cordia New"/>
          <w:smallCaps w:val="0"/>
          <w:noProof w:val="0"/>
          <w:szCs w:val="25"/>
          <w:lang w:val="en-US" w:bidi="th-TH"/>
        </w:rPr>
      </w:pPr>
      <w:r w:rsidRPr="008E29E8">
        <w:t>References</w:t>
      </w:r>
    </w:p>
    <w:p w14:paraId="4E63386D" w14:textId="77777777" w:rsidR="00D85CA5" w:rsidRPr="00D85CA5" w:rsidRDefault="00D85CA5" w:rsidP="00D85CA5"/>
    <w:p w14:paraId="2A640418" w14:textId="390FA418" w:rsidR="00036841" w:rsidRPr="00036841" w:rsidRDefault="00036841" w:rsidP="00036841">
      <w:pPr>
        <w:pStyle w:val="references"/>
        <w:jc w:val="left"/>
        <w:rPr>
          <w:rFonts w:eastAsia="SimSun"/>
          <w:bCs/>
          <w:noProof w:val="0"/>
          <w:spacing w:val="-1"/>
          <w:lang w:eastAsia="x-none"/>
        </w:rPr>
      </w:pPr>
      <w:r w:rsidRPr="00036841">
        <w:rPr>
          <w:rFonts w:eastAsia="SimSun"/>
          <w:bCs/>
          <w:noProof w:val="0"/>
          <w:spacing w:val="-1"/>
          <w:lang w:eastAsia="x-none"/>
        </w:rPr>
        <w:t xml:space="preserve">Beverage Industry Outlook 2017-2021: Beverage Industry. Available: https://www.krungsri.com/en/research/industry/industry-outlook/Food-Beverage/Beverage/IO/io-beverage-20-th [Accessed November, 20 2021]. </w:t>
      </w:r>
    </w:p>
    <w:p w14:paraId="2DE44C28" w14:textId="6C5EA549" w:rsidR="00036841" w:rsidRDefault="00036841" w:rsidP="00036841">
      <w:pPr>
        <w:pStyle w:val="references"/>
        <w:jc w:val="left"/>
        <w:rPr>
          <w:rFonts w:eastAsia="SimSun"/>
          <w:bCs/>
          <w:noProof w:val="0"/>
          <w:spacing w:val="-1"/>
          <w:lang w:eastAsia="x-none"/>
        </w:rPr>
      </w:pPr>
      <w:r w:rsidRPr="00036841">
        <w:rPr>
          <w:rFonts w:eastAsia="SimSun"/>
          <w:bCs/>
          <w:noProof w:val="0"/>
          <w:spacing w:val="-1"/>
          <w:lang w:eastAsia="x-none"/>
        </w:rPr>
        <w:t xml:space="preserve">Going beyond immunity: Thai beverage manufacturers cash in on beauty and wellness By </w:t>
      </w:r>
      <w:proofErr w:type="spellStart"/>
      <w:r w:rsidRPr="00036841">
        <w:rPr>
          <w:rFonts w:eastAsia="SimSun"/>
          <w:bCs/>
          <w:noProof w:val="0"/>
          <w:spacing w:val="-1"/>
          <w:lang w:eastAsia="x-none"/>
        </w:rPr>
        <w:t>Globaldata</w:t>
      </w:r>
      <w:proofErr w:type="spellEnd"/>
      <w:r w:rsidRPr="00036841">
        <w:rPr>
          <w:rFonts w:eastAsia="SimSun"/>
          <w:bCs/>
          <w:noProof w:val="0"/>
          <w:spacing w:val="-1"/>
          <w:lang w:eastAsia="x-none"/>
        </w:rPr>
        <w:t xml:space="preserve"> consumer [Online]. Available: </w:t>
      </w:r>
      <w:proofErr w:type="gramStart"/>
      <w:r w:rsidRPr="00036841">
        <w:rPr>
          <w:rFonts w:eastAsia="SimSun"/>
          <w:bCs/>
          <w:noProof w:val="0"/>
          <w:spacing w:val="-1"/>
          <w:lang w:eastAsia="x-none"/>
        </w:rPr>
        <w:t>https://www.drinks-insight-network.com/comment/thai-beverage-beauty-wellness/  [</w:t>
      </w:r>
      <w:proofErr w:type="gramEnd"/>
      <w:r w:rsidRPr="00036841">
        <w:rPr>
          <w:rFonts w:eastAsia="SimSun"/>
          <w:bCs/>
          <w:noProof w:val="0"/>
          <w:spacing w:val="-1"/>
          <w:lang w:eastAsia="x-none"/>
        </w:rPr>
        <w:t>Accessed July 9 2021].</w:t>
      </w:r>
    </w:p>
    <w:p w14:paraId="7C7A2E01" w14:textId="2816F088" w:rsidR="00036841" w:rsidRDefault="00036841" w:rsidP="00036841">
      <w:pPr>
        <w:pStyle w:val="references"/>
        <w:jc w:val="left"/>
        <w:rPr>
          <w:rFonts w:eastAsia="SimSun"/>
          <w:bCs/>
          <w:noProof w:val="0"/>
          <w:spacing w:val="-1"/>
          <w:lang w:eastAsia="x-none"/>
        </w:rPr>
      </w:pPr>
      <w:r w:rsidRPr="00036841">
        <w:rPr>
          <w:rFonts w:eastAsia="SimSun"/>
          <w:bCs/>
          <w:noProof w:val="0"/>
          <w:spacing w:val="-1"/>
          <w:lang w:eastAsia="x-none"/>
        </w:rPr>
        <w:t>Soft Drinks in Thailand Data | MARKET DATA. [Online]. Available: https://www.euromonitor.com/soft-drinks-in-thailand/report [Accessed November, 20   2021].</w:t>
      </w:r>
    </w:p>
    <w:p w14:paraId="625A3766" w14:textId="57A9ABF6" w:rsidR="007A768A" w:rsidRDefault="00036841" w:rsidP="007A768A">
      <w:pPr>
        <w:pStyle w:val="references"/>
        <w:jc w:val="left"/>
        <w:rPr>
          <w:rFonts w:eastAsia="SimSun"/>
          <w:bCs/>
          <w:noProof w:val="0"/>
          <w:spacing w:val="-1"/>
          <w:lang w:eastAsia="x-none"/>
        </w:rPr>
      </w:pPr>
      <w:r w:rsidRPr="00036841">
        <w:rPr>
          <w:rFonts w:eastAsia="SimSun"/>
          <w:bCs/>
          <w:noProof w:val="0"/>
          <w:spacing w:val="-1"/>
          <w:lang w:eastAsia="x-none"/>
        </w:rPr>
        <w:t xml:space="preserve">B. Bach, M. </w:t>
      </w:r>
      <w:proofErr w:type="spellStart"/>
      <w:r w:rsidRPr="00036841">
        <w:rPr>
          <w:rFonts w:eastAsia="SimSun"/>
          <w:bCs/>
          <w:noProof w:val="0"/>
          <w:spacing w:val="-1"/>
          <w:lang w:eastAsia="x-none"/>
        </w:rPr>
        <w:t>Stefaner</w:t>
      </w:r>
      <w:proofErr w:type="spellEnd"/>
      <w:r w:rsidRPr="00036841">
        <w:rPr>
          <w:rFonts w:eastAsia="SimSun"/>
          <w:bCs/>
          <w:noProof w:val="0"/>
          <w:spacing w:val="-1"/>
          <w:lang w:eastAsia="x-none"/>
        </w:rPr>
        <w:t xml:space="preserve">, J. Boy, S. Drucker, L. Bartram, J. Wood, P. </w:t>
      </w:r>
      <w:proofErr w:type="spellStart"/>
      <w:r w:rsidRPr="00036841">
        <w:rPr>
          <w:rFonts w:eastAsia="SimSun"/>
          <w:bCs/>
          <w:noProof w:val="0"/>
          <w:spacing w:val="-1"/>
          <w:lang w:eastAsia="x-none"/>
        </w:rPr>
        <w:t>Ciuccarelli</w:t>
      </w:r>
      <w:proofErr w:type="spellEnd"/>
      <w:r w:rsidRPr="00036841">
        <w:rPr>
          <w:rFonts w:eastAsia="SimSun"/>
          <w:bCs/>
          <w:noProof w:val="0"/>
          <w:spacing w:val="-1"/>
          <w:lang w:eastAsia="x-none"/>
        </w:rPr>
        <w:t xml:space="preserve">, Y. </w:t>
      </w:r>
      <w:proofErr w:type="spellStart"/>
      <w:r w:rsidRPr="00036841">
        <w:rPr>
          <w:rFonts w:eastAsia="SimSun"/>
          <w:bCs/>
          <w:noProof w:val="0"/>
          <w:spacing w:val="-1"/>
          <w:lang w:eastAsia="x-none"/>
        </w:rPr>
        <w:t>Engehardt</w:t>
      </w:r>
      <w:proofErr w:type="spellEnd"/>
      <w:r w:rsidRPr="00036841">
        <w:rPr>
          <w:rFonts w:eastAsia="SimSun"/>
          <w:bCs/>
          <w:noProof w:val="0"/>
          <w:spacing w:val="-1"/>
          <w:lang w:eastAsia="x-none"/>
        </w:rPr>
        <w:t xml:space="preserve">, U. </w:t>
      </w:r>
      <w:proofErr w:type="spellStart"/>
      <w:r w:rsidRPr="00036841">
        <w:rPr>
          <w:rFonts w:eastAsia="SimSun"/>
          <w:bCs/>
          <w:noProof w:val="0"/>
          <w:spacing w:val="-1"/>
          <w:lang w:eastAsia="x-none"/>
        </w:rPr>
        <w:t>Köppen</w:t>
      </w:r>
      <w:proofErr w:type="spellEnd"/>
      <w:r w:rsidRPr="00036841">
        <w:rPr>
          <w:rFonts w:eastAsia="SimSun"/>
          <w:bCs/>
          <w:noProof w:val="0"/>
          <w:spacing w:val="-1"/>
          <w:lang w:eastAsia="x-none"/>
        </w:rPr>
        <w:t xml:space="preserve">, and B Tversky. “Narrative design patterns for data-driven storytelling.” In Data-Driven Storytelling, N. H. Riche, C. Hurter, N. </w:t>
      </w:r>
      <w:proofErr w:type="spellStart"/>
      <w:r w:rsidRPr="00036841">
        <w:rPr>
          <w:rFonts w:eastAsia="SimSun"/>
          <w:bCs/>
          <w:noProof w:val="0"/>
          <w:spacing w:val="-1"/>
          <w:lang w:eastAsia="x-none"/>
        </w:rPr>
        <w:t>Diakopoulos</w:t>
      </w:r>
      <w:proofErr w:type="spellEnd"/>
      <w:r w:rsidRPr="00036841">
        <w:rPr>
          <w:rFonts w:eastAsia="SimSun"/>
          <w:bCs/>
          <w:noProof w:val="0"/>
          <w:spacing w:val="-1"/>
          <w:lang w:eastAsia="x-none"/>
        </w:rPr>
        <w:t xml:space="preserve">, and S. </w:t>
      </w:r>
      <w:proofErr w:type="spellStart"/>
      <w:r w:rsidRPr="00036841">
        <w:rPr>
          <w:rFonts w:eastAsia="SimSun"/>
          <w:bCs/>
          <w:noProof w:val="0"/>
          <w:spacing w:val="-1"/>
          <w:lang w:eastAsia="x-none"/>
        </w:rPr>
        <w:t>Carpendale</w:t>
      </w:r>
      <w:proofErr w:type="spellEnd"/>
      <w:r w:rsidRPr="00036841">
        <w:rPr>
          <w:rFonts w:eastAsia="SimSun"/>
          <w:bCs/>
          <w:noProof w:val="0"/>
          <w:spacing w:val="-1"/>
          <w:lang w:eastAsia="x-none"/>
        </w:rPr>
        <w:t xml:space="preserve">, Eds. CRC Press, USA, 2018, </w:t>
      </w:r>
      <w:proofErr w:type="spellStart"/>
      <w:r w:rsidRPr="00036841">
        <w:rPr>
          <w:rFonts w:eastAsia="SimSun"/>
          <w:bCs/>
          <w:noProof w:val="0"/>
          <w:spacing w:val="-1"/>
          <w:lang w:eastAsia="x-none"/>
        </w:rPr>
        <w:t>ch.</w:t>
      </w:r>
      <w:proofErr w:type="spellEnd"/>
      <w:r w:rsidRPr="00036841">
        <w:rPr>
          <w:rFonts w:eastAsia="SimSun"/>
          <w:bCs/>
          <w:noProof w:val="0"/>
          <w:spacing w:val="-1"/>
          <w:lang w:eastAsia="x-none"/>
        </w:rPr>
        <w:t xml:space="preserve"> 5, pp. 107–134.</w:t>
      </w:r>
      <w:r w:rsidR="007A768A" w:rsidRPr="007A768A">
        <w:t xml:space="preserve"> </w:t>
      </w:r>
      <w:hyperlink r:id="rId20" w:history="1">
        <w:r w:rsidR="007A768A" w:rsidRPr="007D2110">
          <w:rPr>
            <w:rStyle w:val="Hyperlink"/>
            <w:rFonts w:eastAsia="SimSun"/>
            <w:bCs/>
            <w:noProof w:val="0"/>
            <w:spacing w:val="-1"/>
            <w:lang w:eastAsia="x-none"/>
          </w:rPr>
          <w:t>https://research.utwente.nl/en/publications/narrative-design-patterns-for-data-driven-storytelling</w:t>
        </w:r>
      </w:hyperlink>
      <w:r w:rsidR="007A768A">
        <w:rPr>
          <w:rFonts w:eastAsia="SimSun"/>
          <w:bCs/>
          <w:noProof w:val="0"/>
          <w:spacing w:val="-1"/>
          <w:lang w:eastAsia="x-none"/>
        </w:rPr>
        <w:t>.</w:t>
      </w:r>
    </w:p>
    <w:p w14:paraId="3AA0A348" w14:textId="77777777" w:rsidR="007A768A" w:rsidRPr="007A768A" w:rsidRDefault="007A768A" w:rsidP="007A768A">
      <w:pPr>
        <w:pStyle w:val="references"/>
        <w:numPr>
          <w:ilvl w:val="0"/>
          <w:numId w:val="0"/>
        </w:numPr>
        <w:ind w:left="360"/>
        <w:jc w:val="left"/>
        <w:rPr>
          <w:rFonts w:eastAsia="SimSun"/>
          <w:bCs/>
          <w:noProof w:val="0"/>
          <w:spacing w:val="-1"/>
          <w:lang w:eastAsia="x-none"/>
        </w:rPr>
      </w:pPr>
    </w:p>
    <w:p w14:paraId="3AB1CE50" w14:textId="77777777" w:rsidR="007A768A" w:rsidRDefault="007A768A" w:rsidP="007A768A">
      <w:pPr>
        <w:pStyle w:val="references"/>
        <w:numPr>
          <w:ilvl w:val="0"/>
          <w:numId w:val="0"/>
        </w:numPr>
        <w:ind w:left="360"/>
        <w:jc w:val="left"/>
        <w:rPr>
          <w:rFonts w:eastAsia="SimSun"/>
          <w:bCs/>
          <w:noProof w:val="0"/>
          <w:spacing w:val="-1"/>
          <w:lang w:eastAsia="x-none"/>
        </w:rPr>
      </w:pPr>
    </w:p>
    <w:p w14:paraId="54FC6771" w14:textId="77777777" w:rsidR="008579EB" w:rsidRDefault="008579EB" w:rsidP="008E29E8">
      <w:pPr>
        <w:pStyle w:val="references"/>
        <w:numPr>
          <w:ilvl w:val="0"/>
          <w:numId w:val="0"/>
        </w:numPr>
        <w:ind w:left="360" w:hanging="360"/>
        <w:jc w:val="left"/>
        <w:rPr>
          <w:rFonts w:ascii="ff2" w:hAnsi="ff2" w:hint="eastAsia"/>
          <w:color w:val="000000"/>
          <w:spacing w:val="1"/>
          <w:sz w:val="66"/>
          <w:szCs w:val="66"/>
          <w:shd w:val="clear" w:color="auto" w:fill="FFFFFF"/>
        </w:rPr>
      </w:pPr>
    </w:p>
    <w:p w14:paraId="5F0A9533" w14:textId="1391A1E4" w:rsidR="00E03CB4" w:rsidRPr="008E29E8" w:rsidRDefault="00E03CB4" w:rsidP="00E03CB4">
      <w:pPr>
        <w:pStyle w:val="references"/>
        <w:numPr>
          <w:ilvl w:val="0"/>
          <w:numId w:val="0"/>
        </w:numPr>
        <w:jc w:val="left"/>
        <w:rPr>
          <w:rFonts w:eastAsia="SimSun"/>
          <w:bCs/>
          <w:noProof w:val="0"/>
          <w:spacing w:val="-1"/>
          <w:lang w:val="x-none" w:eastAsia="x-none"/>
        </w:rPr>
        <w:sectPr w:rsidR="00E03CB4" w:rsidRPr="008E29E8" w:rsidSect="003B4E04">
          <w:type w:val="continuous"/>
          <w:pgSz w:w="11906" w:h="16838" w:code="9"/>
          <w:pgMar w:top="1080" w:right="907" w:bottom="1440" w:left="907" w:header="720" w:footer="720" w:gutter="0"/>
          <w:cols w:num="2" w:space="360"/>
          <w:docGrid w:linePitch="360"/>
        </w:sectPr>
      </w:pPr>
    </w:p>
    <w:p w14:paraId="340AA716"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17B8BD81"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254AAE6B" w14:textId="77777777" w:rsidR="001A6EA6" w:rsidRPr="008E29E8" w:rsidRDefault="001A6EA6" w:rsidP="008E29E8">
      <w:pPr>
        <w:pStyle w:val="references"/>
        <w:numPr>
          <w:ilvl w:val="0"/>
          <w:numId w:val="0"/>
        </w:numPr>
        <w:ind w:left="360"/>
        <w:jc w:val="left"/>
        <w:rPr>
          <w:rFonts w:eastAsia="SimSun"/>
          <w:bCs/>
          <w:noProof w:val="0"/>
          <w:spacing w:val="-1"/>
          <w:lang w:eastAsia="x-none"/>
        </w:rPr>
      </w:pPr>
    </w:p>
    <w:p w14:paraId="3D120D52"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7895E372"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29437265"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1B884869" w14:textId="77777777" w:rsidR="001A6EA6" w:rsidRPr="00D85CA5" w:rsidRDefault="001A6EA6" w:rsidP="008E29E8">
      <w:pPr>
        <w:pStyle w:val="references"/>
        <w:numPr>
          <w:ilvl w:val="0"/>
          <w:numId w:val="0"/>
        </w:numPr>
        <w:ind w:left="360"/>
        <w:jc w:val="left"/>
        <w:rPr>
          <w:rFonts w:eastAsia="SimSun"/>
          <w:bCs/>
          <w:noProof w:val="0"/>
          <w:spacing w:val="-1"/>
          <w:lang w:eastAsia="x-none"/>
        </w:rPr>
      </w:pPr>
    </w:p>
    <w:p w14:paraId="564EB511" w14:textId="77777777" w:rsidR="001A6EA6" w:rsidRPr="008E29E8" w:rsidRDefault="001A6EA6" w:rsidP="008E29E8">
      <w:pPr>
        <w:pStyle w:val="references"/>
        <w:numPr>
          <w:ilvl w:val="0"/>
          <w:numId w:val="0"/>
        </w:numPr>
        <w:ind w:left="360"/>
        <w:jc w:val="left"/>
        <w:rPr>
          <w:rFonts w:eastAsia="SimSun"/>
          <w:bCs/>
          <w:noProof w:val="0"/>
          <w:spacing w:val="-1"/>
          <w:lang w:val="x-none" w:eastAsia="x-none"/>
        </w:rPr>
      </w:pPr>
    </w:p>
    <w:p w14:paraId="5F696A40" w14:textId="77777777" w:rsidR="009303D9" w:rsidRPr="008E29E8" w:rsidRDefault="009303D9" w:rsidP="008E29E8">
      <w:pPr>
        <w:jc w:val="left"/>
        <w:rPr>
          <w:lang w:val="x-none"/>
        </w:rPr>
      </w:pPr>
    </w:p>
    <w:sectPr w:rsidR="009303D9" w:rsidRPr="008E29E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202A" w14:textId="77777777" w:rsidR="00370259" w:rsidRDefault="00370259" w:rsidP="001A3B3D">
      <w:r>
        <w:separator/>
      </w:r>
    </w:p>
  </w:endnote>
  <w:endnote w:type="continuationSeparator" w:id="0">
    <w:p w14:paraId="433CA339" w14:textId="77777777" w:rsidR="00370259" w:rsidRDefault="003702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0AAD" w14:textId="77777777" w:rsidR="004323F5" w:rsidRPr="006F6D3D" w:rsidRDefault="004323F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0B3C" w14:textId="77777777" w:rsidR="00370259" w:rsidRDefault="00370259" w:rsidP="001A3B3D">
      <w:r>
        <w:separator/>
      </w:r>
    </w:p>
  </w:footnote>
  <w:footnote w:type="continuationSeparator" w:id="0">
    <w:p w14:paraId="0417F1B2" w14:textId="77777777" w:rsidR="00370259" w:rsidRDefault="0037025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6309" w14:textId="77777777" w:rsidR="00B724B3" w:rsidRPr="00B724B3" w:rsidRDefault="00B724B3" w:rsidP="00B724B3">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9642771"/>
    <w:multiLevelType w:val="hybridMultilevel"/>
    <w:tmpl w:val="AF5A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B493B"/>
    <w:multiLevelType w:val="hybridMultilevel"/>
    <w:tmpl w:val="5344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D734C"/>
    <w:multiLevelType w:val="hybridMultilevel"/>
    <w:tmpl w:val="EFE271F6"/>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94B55"/>
    <w:multiLevelType w:val="hybridMultilevel"/>
    <w:tmpl w:val="BCBAA33E"/>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B01984"/>
    <w:multiLevelType w:val="hybridMultilevel"/>
    <w:tmpl w:val="03EE12C6"/>
    <w:lvl w:ilvl="0" w:tplc="04090001">
      <w:start w:val="1"/>
      <w:numFmt w:val="bullet"/>
      <w:lvlText w:val=""/>
      <w:lvlJc w:val="left"/>
      <w:rPr>
        <w:rFonts w:ascii="Symbol" w:hAnsi="Symbol"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1" w15:restartNumberingAfterBreak="0">
    <w:nsid w:val="3D2B6D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F6552"/>
    <w:multiLevelType w:val="hybridMultilevel"/>
    <w:tmpl w:val="74E4E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20CB4"/>
    <w:multiLevelType w:val="hybridMultilevel"/>
    <w:tmpl w:val="24D2D9AC"/>
    <w:lvl w:ilvl="0" w:tplc="CCD22200">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FEC3CCF"/>
    <w:multiLevelType w:val="hybridMultilevel"/>
    <w:tmpl w:val="132A6F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3D5FB3"/>
    <w:multiLevelType w:val="hybridMultilevel"/>
    <w:tmpl w:val="3056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5515C"/>
    <w:multiLevelType w:val="hybridMultilevel"/>
    <w:tmpl w:val="B704C188"/>
    <w:lvl w:ilvl="0" w:tplc="CCD222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66E11A79"/>
    <w:multiLevelType w:val="hybridMultilevel"/>
    <w:tmpl w:val="A6E4E4A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684746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E1E406B"/>
    <w:multiLevelType w:val="hybridMultilevel"/>
    <w:tmpl w:val="182E0524"/>
    <w:lvl w:ilvl="0" w:tplc="0409001B">
      <w:start w:val="1"/>
      <w:numFmt w:val="lowerRoman"/>
      <w:lvlText w:val="%1."/>
      <w:lvlJc w:val="right"/>
      <w:pPr>
        <w:ind w:left="64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330852"/>
    <w:multiLevelType w:val="hybridMultilevel"/>
    <w:tmpl w:val="A4FC094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FE2E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32"/>
  </w:num>
  <w:num w:numId="3">
    <w:abstractNumId w:val="13"/>
  </w:num>
  <w:num w:numId="4">
    <w:abstractNumId w:val="22"/>
  </w:num>
  <w:num w:numId="5">
    <w:abstractNumId w:val="22"/>
  </w:num>
  <w:num w:numId="6">
    <w:abstractNumId w:val="22"/>
  </w:num>
  <w:num w:numId="7">
    <w:abstractNumId w:val="22"/>
  </w:num>
  <w:num w:numId="8">
    <w:abstractNumId w:val="26"/>
  </w:num>
  <w:num w:numId="9">
    <w:abstractNumId w:val="33"/>
  </w:num>
  <w:num w:numId="10">
    <w:abstractNumId w:val="19"/>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5"/>
  </w:num>
  <w:num w:numId="26">
    <w:abstractNumId w:val="36"/>
  </w:num>
  <w:num w:numId="27">
    <w:abstractNumId w:val="15"/>
  </w:num>
  <w:num w:numId="28">
    <w:abstractNumId w:val="26"/>
    <w:lvlOverride w:ilvl="0">
      <w:startOverride w:val="1"/>
    </w:lvlOverride>
  </w:num>
  <w:num w:numId="29">
    <w:abstractNumId w:val="30"/>
  </w:num>
  <w:num w:numId="30">
    <w:abstractNumId w:val="29"/>
  </w:num>
  <w:num w:numId="31">
    <w:abstractNumId w:val="20"/>
  </w:num>
  <w:num w:numId="32">
    <w:abstractNumId w:val="25"/>
  </w:num>
  <w:num w:numId="33">
    <w:abstractNumId w:val="34"/>
  </w:num>
  <w:num w:numId="34">
    <w:abstractNumId w:val="23"/>
  </w:num>
  <w:num w:numId="35">
    <w:abstractNumId w:val="17"/>
  </w:num>
  <w:num w:numId="36">
    <w:abstractNumId w:val="16"/>
  </w:num>
  <w:num w:numId="37">
    <w:abstractNumId w:val="27"/>
  </w:num>
  <w:num w:numId="38">
    <w:abstractNumId w:val="31"/>
  </w:num>
  <w:num w:numId="39">
    <w:abstractNumId w:val="21"/>
  </w:num>
  <w:num w:numId="40">
    <w:abstractNumId w:val="1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rA0MDM1Nbc0MrVQ0lEKTi0uzszPAykwqgUA0lQ5RSwAAAA="/>
  </w:docVars>
  <w:rsids>
    <w:rsidRoot w:val="009303D9"/>
    <w:rsid w:val="0000297E"/>
    <w:rsid w:val="00036841"/>
    <w:rsid w:val="0004759A"/>
    <w:rsid w:val="0004781E"/>
    <w:rsid w:val="00052441"/>
    <w:rsid w:val="00057FA8"/>
    <w:rsid w:val="00061501"/>
    <w:rsid w:val="000622B4"/>
    <w:rsid w:val="00071144"/>
    <w:rsid w:val="00071BA6"/>
    <w:rsid w:val="00080E82"/>
    <w:rsid w:val="000830CD"/>
    <w:rsid w:val="00084DFC"/>
    <w:rsid w:val="0008758A"/>
    <w:rsid w:val="00091B5A"/>
    <w:rsid w:val="000969EA"/>
    <w:rsid w:val="00096BD6"/>
    <w:rsid w:val="000B003F"/>
    <w:rsid w:val="000B3D40"/>
    <w:rsid w:val="000C1E68"/>
    <w:rsid w:val="000D7CA0"/>
    <w:rsid w:val="000E6FE4"/>
    <w:rsid w:val="000F1CEC"/>
    <w:rsid w:val="000F302A"/>
    <w:rsid w:val="00111B36"/>
    <w:rsid w:val="00111B8E"/>
    <w:rsid w:val="00121727"/>
    <w:rsid w:val="00122AEE"/>
    <w:rsid w:val="00125F49"/>
    <w:rsid w:val="00142842"/>
    <w:rsid w:val="00142882"/>
    <w:rsid w:val="001448FE"/>
    <w:rsid w:val="001679AB"/>
    <w:rsid w:val="00171FB8"/>
    <w:rsid w:val="00183DA2"/>
    <w:rsid w:val="001903A5"/>
    <w:rsid w:val="001A2EFD"/>
    <w:rsid w:val="001A3B3D"/>
    <w:rsid w:val="001A570C"/>
    <w:rsid w:val="001A6EA6"/>
    <w:rsid w:val="001B436C"/>
    <w:rsid w:val="001B67DC"/>
    <w:rsid w:val="001C4679"/>
    <w:rsid w:val="001C494B"/>
    <w:rsid w:val="001C6742"/>
    <w:rsid w:val="001D74D6"/>
    <w:rsid w:val="001E01E8"/>
    <w:rsid w:val="001E3105"/>
    <w:rsid w:val="001F4264"/>
    <w:rsid w:val="002012D1"/>
    <w:rsid w:val="00212A0C"/>
    <w:rsid w:val="00213EA5"/>
    <w:rsid w:val="00217AAE"/>
    <w:rsid w:val="002254A9"/>
    <w:rsid w:val="00227516"/>
    <w:rsid w:val="0023202F"/>
    <w:rsid w:val="00233D97"/>
    <w:rsid w:val="002347A2"/>
    <w:rsid w:val="00243330"/>
    <w:rsid w:val="00246F68"/>
    <w:rsid w:val="00270BCB"/>
    <w:rsid w:val="00274740"/>
    <w:rsid w:val="002850E3"/>
    <w:rsid w:val="00296CF0"/>
    <w:rsid w:val="002A39F4"/>
    <w:rsid w:val="002B3FD9"/>
    <w:rsid w:val="002B5A63"/>
    <w:rsid w:val="002C5F79"/>
    <w:rsid w:val="002D5A42"/>
    <w:rsid w:val="003015CC"/>
    <w:rsid w:val="00315F23"/>
    <w:rsid w:val="003249CD"/>
    <w:rsid w:val="003249CE"/>
    <w:rsid w:val="00325280"/>
    <w:rsid w:val="00346ED2"/>
    <w:rsid w:val="00354FCF"/>
    <w:rsid w:val="00370259"/>
    <w:rsid w:val="00373779"/>
    <w:rsid w:val="00383118"/>
    <w:rsid w:val="00385292"/>
    <w:rsid w:val="003A1851"/>
    <w:rsid w:val="003A19E2"/>
    <w:rsid w:val="003A30FD"/>
    <w:rsid w:val="003B4E04"/>
    <w:rsid w:val="003C24DC"/>
    <w:rsid w:val="003C6B8D"/>
    <w:rsid w:val="003D7E7B"/>
    <w:rsid w:val="003E2D59"/>
    <w:rsid w:val="003F5A08"/>
    <w:rsid w:val="003F7DCD"/>
    <w:rsid w:val="00400C40"/>
    <w:rsid w:val="0040431F"/>
    <w:rsid w:val="004043F3"/>
    <w:rsid w:val="00420716"/>
    <w:rsid w:val="004323F5"/>
    <w:rsid w:val="004325FB"/>
    <w:rsid w:val="004341B5"/>
    <w:rsid w:val="00435008"/>
    <w:rsid w:val="004432BA"/>
    <w:rsid w:val="0044407E"/>
    <w:rsid w:val="00447BB9"/>
    <w:rsid w:val="004514B7"/>
    <w:rsid w:val="00460A60"/>
    <w:rsid w:val="004830BB"/>
    <w:rsid w:val="00485C73"/>
    <w:rsid w:val="004869AA"/>
    <w:rsid w:val="004B434F"/>
    <w:rsid w:val="004D06FF"/>
    <w:rsid w:val="004D0B6C"/>
    <w:rsid w:val="004D681D"/>
    <w:rsid w:val="004D72B5"/>
    <w:rsid w:val="004E4EB2"/>
    <w:rsid w:val="004E6EE8"/>
    <w:rsid w:val="004F4977"/>
    <w:rsid w:val="004F4CE2"/>
    <w:rsid w:val="00511A80"/>
    <w:rsid w:val="00521A0C"/>
    <w:rsid w:val="00524729"/>
    <w:rsid w:val="00537DD4"/>
    <w:rsid w:val="00541D9B"/>
    <w:rsid w:val="0055020C"/>
    <w:rsid w:val="00551B7F"/>
    <w:rsid w:val="00554152"/>
    <w:rsid w:val="0056610F"/>
    <w:rsid w:val="00575BCA"/>
    <w:rsid w:val="00577C1E"/>
    <w:rsid w:val="00582686"/>
    <w:rsid w:val="00583CED"/>
    <w:rsid w:val="0058433D"/>
    <w:rsid w:val="00586EA4"/>
    <w:rsid w:val="0059108C"/>
    <w:rsid w:val="00594B6C"/>
    <w:rsid w:val="005959ED"/>
    <w:rsid w:val="00597300"/>
    <w:rsid w:val="005A2F0F"/>
    <w:rsid w:val="005A5626"/>
    <w:rsid w:val="005B0344"/>
    <w:rsid w:val="005B262A"/>
    <w:rsid w:val="005B505E"/>
    <w:rsid w:val="005B520E"/>
    <w:rsid w:val="005C51EE"/>
    <w:rsid w:val="005C76B0"/>
    <w:rsid w:val="005E1641"/>
    <w:rsid w:val="005E2800"/>
    <w:rsid w:val="005E71D1"/>
    <w:rsid w:val="005F22B5"/>
    <w:rsid w:val="00601F34"/>
    <w:rsid w:val="00605825"/>
    <w:rsid w:val="00616236"/>
    <w:rsid w:val="006167D6"/>
    <w:rsid w:val="00623D13"/>
    <w:rsid w:val="00634766"/>
    <w:rsid w:val="00640AB6"/>
    <w:rsid w:val="0064306F"/>
    <w:rsid w:val="00644B20"/>
    <w:rsid w:val="00645D22"/>
    <w:rsid w:val="00650F00"/>
    <w:rsid w:val="00651A08"/>
    <w:rsid w:val="0065326F"/>
    <w:rsid w:val="00654204"/>
    <w:rsid w:val="00665D09"/>
    <w:rsid w:val="00670434"/>
    <w:rsid w:val="00687DC2"/>
    <w:rsid w:val="006913DB"/>
    <w:rsid w:val="00695BE7"/>
    <w:rsid w:val="006A7AD7"/>
    <w:rsid w:val="006B66C7"/>
    <w:rsid w:val="006B6B66"/>
    <w:rsid w:val="006D08DC"/>
    <w:rsid w:val="006D5198"/>
    <w:rsid w:val="006F6D3D"/>
    <w:rsid w:val="00715BEA"/>
    <w:rsid w:val="00720590"/>
    <w:rsid w:val="00740AC3"/>
    <w:rsid w:val="00740EEA"/>
    <w:rsid w:val="00755A41"/>
    <w:rsid w:val="00763A22"/>
    <w:rsid w:val="007706DB"/>
    <w:rsid w:val="00771D4F"/>
    <w:rsid w:val="00773567"/>
    <w:rsid w:val="007739AE"/>
    <w:rsid w:val="00790920"/>
    <w:rsid w:val="00792B3F"/>
    <w:rsid w:val="00794804"/>
    <w:rsid w:val="0079686A"/>
    <w:rsid w:val="007A768A"/>
    <w:rsid w:val="007B33F1"/>
    <w:rsid w:val="007B6BB8"/>
    <w:rsid w:val="007B6DDA"/>
    <w:rsid w:val="007C0308"/>
    <w:rsid w:val="007C2FF2"/>
    <w:rsid w:val="007D20E3"/>
    <w:rsid w:val="007D6232"/>
    <w:rsid w:val="007E6294"/>
    <w:rsid w:val="007F1F99"/>
    <w:rsid w:val="007F32BB"/>
    <w:rsid w:val="007F4AB0"/>
    <w:rsid w:val="007F768F"/>
    <w:rsid w:val="00801CE5"/>
    <w:rsid w:val="0080791D"/>
    <w:rsid w:val="00830A4C"/>
    <w:rsid w:val="00836367"/>
    <w:rsid w:val="00843681"/>
    <w:rsid w:val="00854C09"/>
    <w:rsid w:val="008579EB"/>
    <w:rsid w:val="00867B85"/>
    <w:rsid w:val="00873603"/>
    <w:rsid w:val="00873C0A"/>
    <w:rsid w:val="00874524"/>
    <w:rsid w:val="0087624A"/>
    <w:rsid w:val="0088394A"/>
    <w:rsid w:val="008866AD"/>
    <w:rsid w:val="00890F8E"/>
    <w:rsid w:val="008A0662"/>
    <w:rsid w:val="008A2C7D"/>
    <w:rsid w:val="008C0B30"/>
    <w:rsid w:val="008C4904"/>
    <w:rsid w:val="008C4B23"/>
    <w:rsid w:val="008E29E8"/>
    <w:rsid w:val="008E653F"/>
    <w:rsid w:val="008F0862"/>
    <w:rsid w:val="008F36AF"/>
    <w:rsid w:val="008F6E2C"/>
    <w:rsid w:val="00916488"/>
    <w:rsid w:val="009303D9"/>
    <w:rsid w:val="00933C64"/>
    <w:rsid w:val="009422AF"/>
    <w:rsid w:val="00950D24"/>
    <w:rsid w:val="009637A0"/>
    <w:rsid w:val="00972203"/>
    <w:rsid w:val="00972BC2"/>
    <w:rsid w:val="0097317F"/>
    <w:rsid w:val="009901DD"/>
    <w:rsid w:val="00995717"/>
    <w:rsid w:val="00996A72"/>
    <w:rsid w:val="009A28B4"/>
    <w:rsid w:val="009C2F6A"/>
    <w:rsid w:val="009D512B"/>
    <w:rsid w:val="009E420B"/>
    <w:rsid w:val="009F1D79"/>
    <w:rsid w:val="00A011FB"/>
    <w:rsid w:val="00A059B3"/>
    <w:rsid w:val="00A113C9"/>
    <w:rsid w:val="00A14DAF"/>
    <w:rsid w:val="00A15F77"/>
    <w:rsid w:val="00A221CC"/>
    <w:rsid w:val="00A30179"/>
    <w:rsid w:val="00A30381"/>
    <w:rsid w:val="00A31BAD"/>
    <w:rsid w:val="00A4558F"/>
    <w:rsid w:val="00A549DF"/>
    <w:rsid w:val="00A54BFE"/>
    <w:rsid w:val="00A622DD"/>
    <w:rsid w:val="00A638FA"/>
    <w:rsid w:val="00A67F70"/>
    <w:rsid w:val="00A848C1"/>
    <w:rsid w:val="00A975E5"/>
    <w:rsid w:val="00AA7E26"/>
    <w:rsid w:val="00AB2EE8"/>
    <w:rsid w:val="00AB328A"/>
    <w:rsid w:val="00AB716A"/>
    <w:rsid w:val="00AC13E8"/>
    <w:rsid w:val="00AE0DBA"/>
    <w:rsid w:val="00AE1F7C"/>
    <w:rsid w:val="00AE2C77"/>
    <w:rsid w:val="00AE3409"/>
    <w:rsid w:val="00AF308F"/>
    <w:rsid w:val="00B00B23"/>
    <w:rsid w:val="00B018D6"/>
    <w:rsid w:val="00B11A60"/>
    <w:rsid w:val="00B14414"/>
    <w:rsid w:val="00B22613"/>
    <w:rsid w:val="00B255E3"/>
    <w:rsid w:val="00B25AB7"/>
    <w:rsid w:val="00B30AEE"/>
    <w:rsid w:val="00B43518"/>
    <w:rsid w:val="00B724B3"/>
    <w:rsid w:val="00B73E49"/>
    <w:rsid w:val="00B76F88"/>
    <w:rsid w:val="00B847B7"/>
    <w:rsid w:val="00B9200E"/>
    <w:rsid w:val="00B95409"/>
    <w:rsid w:val="00B9631E"/>
    <w:rsid w:val="00BA09B0"/>
    <w:rsid w:val="00BA1025"/>
    <w:rsid w:val="00BC27C8"/>
    <w:rsid w:val="00BC3420"/>
    <w:rsid w:val="00BD5390"/>
    <w:rsid w:val="00BD670B"/>
    <w:rsid w:val="00BE4256"/>
    <w:rsid w:val="00BE7D3C"/>
    <w:rsid w:val="00BF2EFB"/>
    <w:rsid w:val="00BF5FF6"/>
    <w:rsid w:val="00C00461"/>
    <w:rsid w:val="00C0207F"/>
    <w:rsid w:val="00C16117"/>
    <w:rsid w:val="00C20E0D"/>
    <w:rsid w:val="00C3075A"/>
    <w:rsid w:val="00C45658"/>
    <w:rsid w:val="00C474D8"/>
    <w:rsid w:val="00C715BB"/>
    <w:rsid w:val="00C8230F"/>
    <w:rsid w:val="00C8231D"/>
    <w:rsid w:val="00C85713"/>
    <w:rsid w:val="00C919A4"/>
    <w:rsid w:val="00C9625E"/>
    <w:rsid w:val="00CA4392"/>
    <w:rsid w:val="00CC0458"/>
    <w:rsid w:val="00CC393F"/>
    <w:rsid w:val="00CD0D0E"/>
    <w:rsid w:val="00CD322C"/>
    <w:rsid w:val="00D1487F"/>
    <w:rsid w:val="00D2176E"/>
    <w:rsid w:val="00D32588"/>
    <w:rsid w:val="00D33E10"/>
    <w:rsid w:val="00D3485E"/>
    <w:rsid w:val="00D35D1D"/>
    <w:rsid w:val="00D632BE"/>
    <w:rsid w:val="00D72D06"/>
    <w:rsid w:val="00D7522C"/>
    <w:rsid w:val="00D7536F"/>
    <w:rsid w:val="00D76668"/>
    <w:rsid w:val="00D85CA5"/>
    <w:rsid w:val="00D92AFB"/>
    <w:rsid w:val="00D95D0A"/>
    <w:rsid w:val="00DA64BB"/>
    <w:rsid w:val="00DB3E54"/>
    <w:rsid w:val="00DC00F3"/>
    <w:rsid w:val="00DC336E"/>
    <w:rsid w:val="00DF336E"/>
    <w:rsid w:val="00DF4455"/>
    <w:rsid w:val="00DF6535"/>
    <w:rsid w:val="00E03313"/>
    <w:rsid w:val="00E03CB4"/>
    <w:rsid w:val="00E07383"/>
    <w:rsid w:val="00E165BC"/>
    <w:rsid w:val="00E172BF"/>
    <w:rsid w:val="00E17E97"/>
    <w:rsid w:val="00E213EB"/>
    <w:rsid w:val="00E33CBA"/>
    <w:rsid w:val="00E5089E"/>
    <w:rsid w:val="00E536C7"/>
    <w:rsid w:val="00E61E12"/>
    <w:rsid w:val="00E64A44"/>
    <w:rsid w:val="00E7596C"/>
    <w:rsid w:val="00E80AE6"/>
    <w:rsid w:val="00E878F2"/>
    <w:rsid w:val="00E905F5"/>
    <w:rsid w:val="00E933E8"/>
    <w:rsid w:val="00EC3B19"/>
    <w:rsid w:val="00ED0149"/>
    <w:rsid w:val="00ED5024"/>
    <w:rsid w:val="00EF4CE1"/>
    <w:rsid w:val="00EF69D8"/>
    <w:rsid w:val="00EF7DE3"/>
    <w:rsid w:val="00F03103"/>
    <w:rsid w:val="00F10C7A"/>
    <w:rsid w:val="00F12D46"/>
    <w:rsid w:val="00F16022"/>
    <w:rsid w:val="00F271DE"/>
    <w:rsid w:val="00F627DA"/>
    <w:rsid w:val="00F7288F"/>
    <w:rsid w:val="00F8137F"/>
    <w:rsid w:val="00F836DD"/>
    <w:rsid w:val="00F847A6"/>
    <w:rsid w:val="00F8683A"/>
    <w:rsid w:val="00F91BCD"/>
    <w:rsid w:val="00F9441B"/>
    <w:rsid w:val="00FA3F8C"/>
    <w:rsid w:val="00FA4C32"/>
    <w:rsid w:val="00FB79B4"/>
    <w:rsid w:val="00FC1A57"/>
    <w:rsid w:val="00FD06E3"/>
    <w:rsid w:val="00FE46BD"/>
    <w:rsid w:val="00FE4C7D"/>
    <w:rsid w:val="00FE7114"/>
    <w:rsid w:val="00FF2560"/>
    <w:rsid w:val="00FF3D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5C31E"/>
  <w15:chartTrackingRefBased/>
  <w15:docId w15:val="{4306F607-2984-41B3-8ED0-3B4AB9FA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8683A"/>
    <w:rPr>
      <w:color w:val="0563C1"/>
      <w:u w:val="single"/>
    </w:rPr>
  </w:style>
  <w:style w:type="character" w:styleId="UnresolvedMention">
    <w:name w:val="Unresolved Mention"/>
    <w:uiPriority w:val="99"/>
    <w:semiHidden/>
    <w:unhideWhenUsed/>
    <w:rsid w:val="00A113C9"/>
    <w:rPr>
      <w:color w:val="605E5C"/>
      <w:shd w:val="clear" w:color="auto" w:fill="E1DFDD"/>
    </w:rPr>
  </w:style>
  <w:style w:type="character" w:styleId="FollowedHyperlink">
    <w:name w:val="FollowedHyperlink"/>
    <w:rsid w:val="008579EB"/>
    <w:rPr>
      <w:color w:val="954F72"/>
      <w:u w:val="single"/>
    </w:rPr>
  </w:style>
  <w:style w:type="character" w:styleId="PlaceholderText">
    <w:name w:val="Placeholder Text"/>
    <w:basedOn w:val="DefaultParagraphFont"/>
    <w:uiPriority w:val="99"/>
    <w:semiHidden/>
    <w:rsid w:val="00541D9B"/>
    <w:rPr>
      <w:color w:val="808080"/>
    </w:rPr>
  </w:style>
  <w:style w:type="paragraph" w:styleId="ListParagraph">
    <w:name w:val="List Paragraph"/>
    <w:basedOn w:val="Normal"/>
    <w:uiPriority w:val="34"/>
    <w:qFormat/>
    <w:rsid w:val="0059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429">
      <w:bodyDiv w:val="1"/>
      <w:marLeft w:val="0"/>
      <w:marRight w:val="0"/>
      <w:marTop w:val="0"/>
      <w:marBottom w:val="0"/>
      <w:divBdr>
        <w:top w:val="none" w:sz="0" w:space="0" w:color="auto"/>
        <w:left w:val="none" w:sz="0" w:space="0" w:color="auto"/>
        <w:bottom w:val="none" w:sz="0" w:space="0" w:color="auto"/>
        <w:right w:val="none" w:sz="0" w:space="0" w:color="auto"/>
      </w:divBdr>
      <w:divsChild>
        <w:div w:id="935290051">
          <w:marLeft w:val="0"/>
          <w:marRight w:val="0"/>
          <w:marTop w:val="0"/>
          <w:marBottom w:val="0"/>
          <w:divBdr>
            <w:top w:val="none" w:sz="0" w:space="0" w:color="auto"/>
            <w:left w:val="none" w:sz="0" w:space="0" w:color="auto"/>
            <w:bottom w:val="none" w:sz="0" w:space="0" w:color="auto"/>
            <w:right w:val="none" w:sz="0" w:space="0" w:color="auto"/>
          </w:divBdr>
        </w:div>
        <w:div w:id="924921387">
          <w:marLeft w:val="0"/>
          <w:marRight w:val="0"/>
          <w:marTop w:val="0"/>
          <w:marBottom w:val="0"/>
          <w:divBdr>
            <w:top w:val="none" w:sz="0" w:space="0" w:color="auto"/>
            <w:left w:val="none" w:sz="0" w:space="0" w:color="auto"/>
            <w:bottom w:val="none" w:sz="0" w:space="0" w:color="auto"/>
            <w:right w:val="none" w:sz="0" w:space="0" w:color="auto"/>
          </w:divBdr>
        </w:div>
        <w:div w:id="1063673079">
          <w:marLeft w:val="0"/>
          <w:marRight w:val="0"/>
          <w:marTop w:val="0"/>
          <w:marBottom w:val="0"/>
          <w:divBdr>
            <w:top w:val="none" w:sz="0" w:space="0" w:color="auto"/>
            <w:left w:val="none" w:sz="0" w:space="0" w:color="auto"/>
            <w:bottom w:val="none" w:sz="0" w:space="0" w:color="auto"/>
            <w:right w:val="none" w:sz="0" w:space="0" w:color="auto"/>
          </w:divBdr>
        </w:div>
      </w:divsChild>
    </w:div>
    <w:div w:id="281234920">
      <w:bodyDiv w:val="1"/>
      <w:marLeft w:val="0"/>
      <w:marRight w:val="0"/>
      <w:marTop w:val="0"/>
      <w:marBottom w:val="0"/>
      <w:divBdr>
        <w:top w:val="none" w:sz="0" w:space="0" w:color="auto"/>
        <w:left w:val="none" w:sz="0" w:space="0" w:color="auto"/>
        <w:bottom w:val="none" w:sz="0" w:space="0" w:color="auto"/>
        <w:right w:val="none" w:sz="0" w:space="0" w:color="auto"/>
      </w:divBdr>
    </w:div>
    <w:div w:id="753866332">
      <w:bodyDiv w:val="1"/>
      <w:marLeft w:val="0"/>
      <w:marRight w:val="0"/>
      <w:marTop w:val="0"/>
      <w:marBottom w:val="0"/>
      <w:divBdr>
        <w:top w:val="none" w:sz="0" w:space="0" w:color="auto"/>
        <w:left w:val="none" w:sz="0" w:space="0" w:color="auto"/>
        <w:bottom w:val="none" w:sz="0" w:space="0" w:color="auto"/>
        <w:right w:val="none" w:sz="0" w:space="0" w:color="auto"/>
      </w:divBdr>
    </w:div>
    <w:div w:id="1040134479">
      <w:bodyDiv w:val="1"/>
      <w:marLeft w:val="0"/>
      <w:marRight w:val="0"/>
      <w:marTop w:val="0"/>
      <w:marBottom w:val="0"/>
      <w:divBdr>
        <w:top w:val="none" w:sz="0" w:space="0" w:color="auto"/>
        <w:left w:val="none" w:sz="0" w:space="0" w:color="auto"/>
        <w:bottom w:val="none" w:sz="0" w:space="0" w:color="auto"/>
        <w:right w:val="none" w:sz="0" w:space="0" w:color="auto"/>
      </w:divBdr>
    </w:div>
    <w:div w:id="1407603460">
      <w:bodyDiv w:val="1"/>
      <w:marLeft w:val="0"/>
      <w:marRight w:val="0"/>
      <w:marTop w:val="0"/>
      <w:marBottom w:val="0"/>
      <w:divBdr>
        <w:top w:val="none" w:sz="0" w:space="0" w:color="auto"/>
        <w:left w:val="none" w:sz="0" w:space="0" w:color="auto"/>
        <w:bottom w:val="none" w:sz="0" w:space="0" w:color="auto"/>
        <w:right w:val="none" w:sz="0" w:space="0" w:color="auto"/>
      </w:divBdr>
    </w:div>
    <w:div w:id="1701936894">
      <w:bodyDiv w:val="1"/>
      <w:marLeft w:val="0"/>
      <w:marRight w:val="0"/>
      <w:marTop w:val="0"/>
      <w:marBottom w:val="0"/>
      <w:divBdr>
        <w:top w:val="none" w:sz="0" w:space="0" w:color="auto"/>
        <w:left w:val="none" w:sz="0" w:space="0" w:color="auto"/>
        <w:bottom w:val="none" w:sz="0" w:space="0" w:color="auto"/>
        <w:right w:val="none" w:sz="0" w:space="0" w:color="auto"/>
      </w:divBdr>
    </w:div>
    <w:div w:id="1807311481">
      <w:bodyDiv w:val="1"/>
      <w:marLeft w:val="0"/>
      <w:marRight w:val="0"/>
      <w:marTop w:val="0"/>
      <w:marBottom w:val="0"/>
      <w:divBdr>
        <w:top w:val="none" w:sz="0" w:space="0" w:color="auto"/>
        <w:left w:val="none" w:sz="0" w:space="0" w:color="auto"/>
        <w:bottom w:val="none" w:sz="0" w:space="0" w:color="auto"/>
        <w:right w:val="none" w:sz="0" w:space="0" w:color="auto"/>
      </w:divBdr>
    </w:div>
    <w:div w:id="1904292084">
      <w:bodyDiv w:val="1"/>
      <w:marLeft w:val="0"/>
      <w:marRight w:val="0"/>
      <w:marTop w:val="0"/>
      <w:marBottom w:val="0"/>
      <w:divBdr>
        <w:top w:val="none" w:sz="0" w:space="0" w:color="auto"/>
        <w:left w:val="none" w:sz="0" w:space="0" w:color="auto"/>
        <w:bottom w:val="none" w:sz="0" w:space="0" w:color="auto"/>
        <w:right w:val="none" w:sz="0" w:space="0" w:color="auto"/>
      </w:divBdr>
      <w:divsChild>
        <w:div w:id="918367293">
          <w:marLeft w:val="0"/>
          <w:marRight w:val="0"/>
          <w:marTop w:val="0"/>
          <w:marBottom w:val="0"/>
          <w:divBdr>
            <w:top w:val="none" w:sz="0" w:space="0" w:color="auto"/>
            <w:left w:val="none" w:sz="0" w:space="0" w:color="auto"/>
            <w:bottom w:val="none" w:sz="0" w:space="0" w:color="auto"/>
            <w:right w:val="none" w:sz="0" w:space="0" w:color="auto"/>
          </w:divBdr>
        </w:div>
        <w:div w:id="1209337653">
          <w:marLeft w:val="0"/>
          <w:marRight w:val="0"/>
          <w:marTop w:val="0"/>
          <w:marBottom w:val="0"/>
          <w:divBdr>
            <w:top w:val="none" w:sz="0" w:space="0" w:color="auto"/>
            <w:left w:val="none" w:sz="0" w:space="0" w:color="auto"/>
            <w:bottom w:val="none" w:sz="0" w:space="0" w:color="auto"/>
            <w:right w:val="none" w:sz="0" w:space="0" w:color="auto"/>
          </w:divBdr>
        </w:div>
        <w:div w:id="2110353182">
          <w:marLeft w:val="0"/>
          <w:marRight w:val="0"/>
          <w:marTop w:val="0"/>
          <w:marBottom w:val="0"/>
          <w:divBdr>
            <w:top w:val="none" w:sz="0" w:space="0" w:color="auto"/>
            <w:left w:val="none" w:sz="0" w:space="0" w:color="auto"/>
            <w:bottom w:val="none" w:sz="0" w:space="0" w:color="auto"/>
            <w:right w:val="none" w:sz="0" w:space="0" w:color="auto"/>
          </w:divBdr>
        </w:div>
      </w:divsChild>
    </w:div>
    <w:div w:id="1961182177">
      <w:bodyDiv w:val="1"/>
      <w:marLeft w:val="0"/>
      <w:marRight w:val="0"/>
      <w:marTop w:val="0"/>
      <w:marBottom w:val="0"/>
      <w:divBdr>
        <w:top w:val="none" w:sz="0" w:space="0" w:color="auto"/>
        <w:left w:val="none" w:sz="0" w:space="0" w:color="auto"/>
        <w:bottom w:val="none" w:sz="0" w:space="0" w:color="auto"/>
        <w:right w:val="none" w:sz="0" w:space="0" w:color="auto"/>
      </w:divBdr>
    </w:div>
    <w:div w:id="19722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esearch.utwente.nl/en/publications/narrative-design-patterns-for-data-driven-storytel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Wm2n21@soton.ac.u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4CE3-96B2-4595-8056-561D2C60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Pages>
  <Words>2341</Words>
  <Characters>13348</Characters>
  <Application>Microsoft Office Word</Application>
  <DocSecurity>0</DocSecurity>
  <Lines>111</Lines>
  <Paragraphs>31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15658</CharactersWithSpaces>
  <SharedDoc>false</SharedDoc>
  <HLinks>
    <vt:vector size="18" baseType="variant">
      <vt:variant>
        <vt:i4>7471149</vt:i4>
      </vt:variant>
      <vt:variant>
        <vt:i4>6</vt:i4>
      </vt:variant>
      <vt:variant>
        <vt:i4>0</vt:i4>
      </vt:variant>
      <vt:variant>
        <vt:i4>5</vt:i4>
      </vt:variant>
      <vt:variant>
        <vt:lpwstr>https://data.worldbank.org/</vt:lpwstr>
      </vt:variant>
      <vt:variant>
        <vt:lpwstr/>
      </vt:variant>
      <vt:variant>
        <vt:i4>8126498</vt:i4>
      </vt:variant>
      <vt:variant>
        <vt:i4>3</vt:i4>
      </vt:variant>
      <vt:variant>
        <vt:i4>0</vt:i4>
      </vt:variant>
      <vt:variant>
        <vt:i4>5</vt:i4>
      </vt:variant>
      <vt:variant>
        <vt:lpwstr>https://www.focus-economics.com/blog/the-poorest-countries-in-the-world</vt:lpwstr>
      </vt:variant>
      <vt:variant>
        <vt:lpwstr/>
      </vt:variant>
      <vt:variant>
        <vt:i4>1441845</vt:i4>
      </vt:variant>
      <vt:variant>
        <vt:i4>0</vt:i4>
      </vt:variant>
      <vt:variant>
        <vt:i4>0</vt:i4>
      </vt:variant>
      <vt:variant>
        <vt:i4>5</vt:i4>
      </vt:variant>
      <vt:variant>
        <vt:lpwstr>https://www.brookings.edu/wp-content/uploads/2020/01/ForesightAfrica2020_20200110.pdf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warayut</cp:lastModifiedBy>
  <cp:revision>51</cp:revision>
  <cp:lastPrinted>2022-01-17T05:54:00Z</cp:lastPrinted>
  <dcterms:created xsi:type="dcterms:W3CDTF">2021-01-08T12:59:00Z</dcterms:created>
  <dcterms:modified xsi:type="dcterms:W3CDTF">2022-01-17T17:44:00Z</dcterms:modified>
</cp:coreProperties>
</file>