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2022081609</w:t>
      </w:r>
      <w:bookmarkStart w:id="0" w:name="_GoBack"/>
      <w:bookmarkEnd w:id="0"/>
      <w:r>
        <w:rPr>
          <w:rStyle w:val="6"/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C325F82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39E3651"/>
    <w:rsid w:val="46510DF9"/>
    <w:rsid w:val="4A607CBC"/>
    <w:rsid w:val="4E372A29"/>
    <w:rsid w:val="4EDD2304"/>
    <w:rsid w:val="4FDF36D1"/>
    <w:rsid w:val="51346D66"/>
    <w:rsid w:val="53F86E94"/>
    <w:rsid w:val="53FE0652"/>
    <w:rsid w:val="54CB2929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1334</Words>
  <Characters>3358</Characters>
  <Lines>0</Lines>
  <Paragraphs>0</Paragraphs>
  <TotalTime>511</TotalTime>
  <ScaleCrop>false</ScaleCrop>
  <LinksUpToDate>false</LinksUpToDate>
  <CharactersWithSpaces>3594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2022-08-16T01:33:57Z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